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57" w:rsidRDefault="00D51D57" w:rsidP="00D51D57">
      <w:pPr>
        <w:rPr>
          <w:lang w:val="en-US"/>
        </w:rPr>
      </w:pPr>
      <w:r>
        <w:rPr>
          <w:lang w:val="en-US"/>
        </w:rPr>
        <w:t>Table 1: Distribution of Microorganisms isolated (n=497)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ORGANISM ISOLATED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PERCENTAGE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Escherichia coli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46%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Klebsiella</w:t>
            </w:r>
            <w:proofErr w:type="spellEnd"/>
            <w:r>
              <w:rPr>
                <w:lang w:val="en-US"/>
              </w:rPr>
              <w:t xml:space="preserve"> pneumoniae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10.3%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Klebsiella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oxytoca</w:t>
            </w:r>
            <w:proofErr w:type="spellEnd"/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6.6%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Pseudomonas aeruginosa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8%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Acinetobacter sp.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2.2%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Citrobacter</w:t>
            </w:r>
            <w:proofErr w:type="spellEnd"/>
            <w:r>
              <w:rPr>
                <w:lang w:val="en-US"/>
              </w:rPr>
              <w:t xml:space="preserve"> sp.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2.2%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Proteus sp.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2.2%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 xml:space="preserve">Enterococcus </w:t>
            </w:r>
            <w:proofErr w:type="spellStart"/>
            <w:r>
              <w:rPr>
                <w:lang w:val="en-US"/>
              </w:rPr>
              <w:t>fecalis</w:t>
            </w:r>
            <w:proofErr w:type="spellEnd"/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 xml:space="preserve">Enterococcus </w:t>
            </w:r>
            <w:proofErr w:type="spellStart"/>
            <w:r>
              <w:rPr>
                <w:lang w:val="en-US"/>
              </w:rPr>
              <w:t>faecium</w:t>
            </w:r>
            <w:proofErr w:type="spellEnd"/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Staphylococcus aureus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3.5%</w:t>
            </w:r>
          </w:p>
        </w:tc>
      </w:tr>
      <w:tr w:rsidR="00D51D57" w:rsidTr="00C230C5">
        <w:tc>
          <w:tcPr>
            <w:tcW w:w="3080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 xml:space="preserve">Candida </w:t>
            </w:r>
            <w:proofErr w:type="spellStart"/>
            <w:r>
              <w:rPr>
                <w:lang w:val="en-US"/>
              </w:rPr>
              <w:t>sp</w:t>
            </w:r>
            <w:proofErr w:type="spellEnd"/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81" w:type="dxa"/>
          </w:tcPr>
          <w:p w:rsidR="00D51D57" w:rsidRDefault="00D51D57" w:rsidP="00C230C5">
            <w:pPr>
              <w:rPr>
                <w:lang w:val="en-US"/>
              </w:rPr>
            </w:pPr>
            <w:r>
              <w:rPr>
                <w:lang w:val="en-US"/>
              </w:rPr>
              <w:t>2%</w:t>
            </w:r>
          </w:p>
        </w:tc>
      </w:tr>
    </w:tbl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  <w:r>
        <w:rPr>
          <w:lang w:val="en-US"/>
        </w:rPr>
        <w:t>Figure 1:</w:t>
      </w:r>
      <w:r w:rsidRPr="003831A8">
        <w:rPr>
          <w:lang w:val="en-US"/>
        </w:rPr>
        <w:t xml:space="preserve"> Antimicrobial resistance pattern: </w:t>
      </w:r>
      <w:proofErr w:type="spellStart"/>
      <w:r>
        <w:rPr>
          <w:lang w:val="en-US"/>
        </w:rPr>
        <w:t>Enterobacteriaceae</w:t>
      </w:r>
      <w:proofErr w:type="spellEnd"/>
    </w:p>
    <w:p w:rsidR="00D51D57" w:rsidRDefault="00D51D57" w:rsidP="00D51D57">
      <w:pPr>
        <w:rPr>
          <w:lang w:val="en-US"/>
        </w:rPr>
      </w:pPr>
      <w:r w:rsidRPr="008E087A">
        <w:rPr>
          <w:noProof/>
          <w:lang w:eastAsia="en-IN"/>
        </w:rPr>
        <w:drawing>
          <wp:inline distT="0" distB="0" distL="0" distR="0" wp14:anchorId="4667E497" wp14:editId="1AB94BED">
            <wp:extent cx="5731510" cy="3363588"/>
            <wp:effectExtent l="0" t="0" r="21590" b="279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  <w:r>
        <w:rPr>
          <w:lang w:val="en-US"/>
        </w:rPr>
        <w:lastRenderedPageBreak/>
        <w:t xml:space="preserve">Figure </w:t>
      </w:r>
      <w:proofErr w:type="gramStart"/>
      <w:r>
        <w:rPr>
          <w:lang w:val="en-US"/>
        </w:rPr>
        <w:t>2 :</w:t>
      </w:r>
      <w:proofErr w:type="gramEnd"/>
      <w:r>
        <w:rPr>
          <w:lang w:val="en-US"/>
        </w:rPr>
        <w:t xml:space="preserve"> </w:t>
      </w:r>
      <w:r w:rsidRPr="003831A8">
        <w:rPr>
          <w:lang w:val="en-US"/>
        </w:rPr>
        <w:t xml:space="preserve">Antimicrobial resistance pattern: </w:t>
      </w:r>
      <w:r>
        <w:rPr>
          <w:lang w:val="en-US"/>
        </w:rPr>
        <w:t>Non-fermenters</w:t>
      </w:r>
    </w:p>
    <w:p w:rsidR="00D51D57" w:rsidRDefault="00D51D57" w:rsidP="00D51D57">
      <w:pPr>
        <w:pStyle w:val="Heading1"/>
        <w:rPr>
          <w:lang w:val="en-US"/>
        </w:rPr>
      </w:pPr>
      <w:r w:rsidRPr="008E087A">
        <w:rPr>
          <w:noProof/>
          <w:lang w:eastAsia="en-IN"/>
        </w:rPr>
        <w:drawing>
          <wp:inline distT="0" distB="0" distL="0" distR="0" wp14:anchorId="51A2791F" wp14:editId="610D72AD">
            <wp:extent cx="5731510" cy="3362960"/>
            <wp:effectExtent l="0" t="0" r="21590" b="279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  <w:r>
        <w:rPr>
          <w:lang w:val="en-US"/>
        </w:rPr>
        <w:t>Figure 3</w:t>
      </w:r>
      <w:r w:rsidRPr="009F2DE4">
        <w:rPr>
          <w:lang w:val="en-US"/>
        </w:rPr>
        <w:t xml:space="preserve">: </w:t>
      </w:r>
      <w:r>
        <w:rPr>
          <w:lang w:val="en-US"/>
        </w:rPr>
        <w:t>Antimicrobial resistance pattern: Staphylococcus aureus</w:t>
      </w:r>
    </w:p>
    <w:p w:rsidR="00D51D57" w:rsidRDefault="00D51D57" w:rsidP="00D51D57">
      <w:pPr>
        <w:rPr>
          <w:lang w:val="en-US"/>
        </w:rPr>
      </w:pPr>
      <w:r w:rsidRPr="00541A89">
        <w:rPr>
          <w:noProof/>
          <w:lang w:eastAsia="en-IN"/>
        </w:rPr>
        <w:drawing>
          <wp:inline distT="0" distB="0" distL="0" distR="0" wp14:anchorId="5BF53D93" wp14:editId="6A480B5D">
            <wp:extent cx="5010150" cy="32480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</w:p>
    <w:p w:rsidR="00D51D57" w:rsidRDefault="00D51D57" w:rsidP="00D51D57">
      <w:pPr>
        <w:rPr>
          <w:lang w:val="en-US"/>
        </w:rPr>
      </w:pPr>
      <w:r>
        <w:rPr>
          <w:lang w:val="en-US"/>
        </w:rPr>
        <w:lastRenderedPageBreak/>
        <w:t>Figure 4</w:t>
      </w:r>
      <w:r w:rsidRPr="009F2DE4">
        <w:rPr>
          <w:lang w:val="en-US"/>
        </w:rPr>
        <w:t xml:space="preserve">: </w:t>
      </w:r>
      <w:r w:rsidRPr="003831A8">
        <w:rPr>
          <w:lang w:val="en-US"/>
        </w:rPr>
        <w:t xml:space="preserve">Antimicrobial resistance pattern: </w:t>
      </w:r>
      <w:r>
        <w:rPr>
          <w:lang w:val="en-US"/>
        </w:rPr>
        <w:t>Enterococcus sp.</w:t>
      </w:r>
    </w:p>
    <w:p w:rsidR="00D51D57" w:rsidRDefault="00D51D57" w:rsidP="00D51D57">
      <w:pPr>
        <w:rPr>
          <w:lang w:val="en-US"/>
        </w:rPr>
      </w:pPr>
      <w:r w:rsidRPr="00541A89">
        <w:rPr>
          <w:noProof/>
          <w:lang w:eastAsia="en-IN"/>
        </w:rPr>
        <w:drawing>
          <wp:inline distT="0" distB="0" distL="0" distR="0" wp14:anchorId="68E8DC41" wp14:editId="485691EA">
            <wp:extent cx="5219700" cy="3248025"/>
            <wp:effectExtent l="0" t="0" r="1905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1D57" w:rsidRDefault="00D51D57" w:rsidP="00D51D57">
      <w:pPr>
        <w:rPr>
          <w:lang w:val="en-US"/>
        </w:rPr>
      </w:pPr>
      <w:r>
        <w:rPr>
          <w:lang w:val="en-US"/>
        </w:rPr>
        <w:t>Figure 5</w:t>
      </w:r>
      <w:r w:rsidRPr="009F2DE4">
        <w:rPr>
          <w:lang w:val="en-US"/>
        </w:rPr>
        <w:t xml:space="preserve">: </w:t>
      </w:r>
      <w:r>
        <w:rPr>
          <w:lang w:val="en-US"/>
        </w:rPr>
        <w:t>Distribution of Candida sp.</w:t>
      </w:r>
    </w:p>
    <w:p w:rsidR="00D51D57" w:rsidRDefault="00D51D57" w:rsidP="00D51D57">
      <w:pPr>
        <w:rPr>
          <w:lang w:val="en-US"/>
        </w:rPr>
      </w:pPr>
      <w:r w:rsidRPr="009F2DE4">
        <w:rPr>
          <w:noProof/>
          <w:lang w:eastAsia="en-IN"/>
        </w:rPr>
        <w:drawing>
          <wp:inline distT="0" distB="0" distL="0" distR="0" wp14:anchorId="3C2891DA" wp14:editId="7B703BD9">
            <wp:extent cx="5562534" cy="3251168"/>
            <wp:effectExtent l="0" t="0" r="19685" b="260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345E" w:rsidRDefault="00F7345E">
      <w:bookmarkStart w:id="0" w:name="_GoBack"/>
      <w:bookmarkEnd w:id="0"/>
    </w:p>
    <w:sectPr w:rsidR="00F73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58"/>
    <w:rsid w:val="00152258"/>
    <w:rsid w:val="00D51D57"/>
    <w:rsid w:val="00F7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57"/>
  </w:style>
  <w:style w:type="paragraph" w:styleId="Heading1">
    <w:name w:val="heading 1"/>
    <w:basedOn w:val="Normal"/>
    <w:next w:val="Normal"/>
    <w:link w:val="Heading1Char"/>
    <w:uiPriority w:val="9"/>
    <w:qFormat/>
    <w:rsid w:val="00D51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5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57"/>
  </w:style>
  <w:style w:type="paragraph" w:styleId="Heading1">
    <w:name w:val="heading 1"/>
    <w:basedOn w:val="Normal"/>
    <w:next w:val="Normal"/>
    <w:link w:val="Heading1Char"/>
    <w:uiPriority w:val="9"/>
    <w:qFormat/>
    <w:rsid w:val="00D51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5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isolates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E.coli</c:v>
                </c:pt>
                <c:pt idx="1">
                  <c:v>Klebsiella pneumoniae</c:v>
                </c:pt>
                <c:pt idx="2">
                  <c:v>Klebsiella oxytoca</c:v>
                </c:pt>
                <c:pt idx="3">
                  <c:v>Citrobacter sp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228</c:v>
                </c:pt>
                <c:pt idx="1">
                  <c:v>51</c:v>
                </c:pt>
                <c:pt idx="2">
                  <c:v>33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ESBL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E.coli</c:v>
                </c:pt>
                <c:pt idx="1">
                  <c:v>Klebsiella pneumoniae</c:v>
                </c:pt>
                <c:pt idx="2">
                  <c:v>Klebsiella oxytoca</c:v>
                </c:pt>
                <c:pt idx="3">
                  <c:v>Citrobacter sp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69</c:v>
                </c:pt>
                <c:pt idx="1">
                  <c:v>6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CRE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Sheet1!$A$2:$A$5</c:f>
              <c:strCache>
                <c:ptCount val="4"/>
                <c:pt idx="0">
                  <c:v>E.coli</c:v>
                </c:pt>
                <c:pt idx="1">
                  <c:v>Klebsiella pneumoniae</c:v>
                </c:pt>
                <c:pt idx="2">
                  <c:v>Klebsiella oxytoca</c:v>
                </c:pt>
                <c:pt idx="3">
                  <c:v>Citrobacter sp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59</c:v>
                </c:pt>
                <c:pt idx="1">
                  <c:v>21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861376"/>
        <c:axId val="149044544"/>
      </c:barChart>
      <c:catAx>
        <c:axId val="245861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044544"/>
        <c:crosses val="autoZero"/>
        <c:auto val="1"/>
        <c:lblAlgn val="ctr"/>
        <c:lblOffset val="100"/>
        <c:noMultiLvlLbl val="0"/>
      </c:catAx>
      <c:valAx>
        <c:axId val="149044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5861376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4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20d6ef9-0b1f-40f5-a0de-3699f49d79b9}"/>
      </c:ext>
    </c:extLst>
  </c:chart>
  <c:txPr>
    <a:bodyPr/>
    <a:lstStyle/>
    <a:p>
      <a:pPr>
        <a:defRPr lang="en-US" sz="1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isolates</c:v>
                </c:pt>
              </c:strCache>
            </c:strRef>
          </c:tx>
          <c:invertIfNegative val="0"/>
          <c:dLbls>
            <c:numFmt formatCode="#\ ?/?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Pseudomonas aeruginosa</c:v>
                </c:pt>
                <c:pt idx="1">
                  <c:v>Acinetobacter sp.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Carbapenem resistance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Pseudomonas aeruginosa</c:v>
                </c:pt>
                <c:pt idx="1">
                  <c:v>Acinetobacter sp.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20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505664"/>
        <c:axId val="203252864"/>
      </c:barChart>
      <c:catAx>
        <c:axId val="2035056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52864"/>
        <c:crosses val="autoZero"/>
        <c:auto val="1"/>
        <c:lblAlgn val="ctr"/>
        <c:lblOffset val="100"/>
        <c:noMultiLvlLbl val="0"/>
      </c:catAx>
      <c:valAx>
        <c:axId val="20325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505664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20d6ef9-0b1f-40f5-a0de-3699f49d79b9}"/>
      </c:ext>
    </c:extLst>
  </c:chart>
  <c:txPr>
    <a:bodyPr/>
    <a:lstStyle/>
    <a:p>
      <a:pPr>
        <a:defRPr lang="en-US" sz="1800"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 rot="0" spcFirstLastPara="0" vertOverflow="ellipsis" vert="horz" wrap="square" anchor="ctr" anchorCtr="1"/>
        <a:lstStyle/>
        <a:p>
          <a:pPr>
            <a:defRPr lang="en-US"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Staphylococcus aureus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MSSA</c:v>
                </c:pt>
                <c:pt idx="1">
                  <c:v>MRSA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d82c0ce4-5a1b-4e4e-8422-9bdce374afbd}"/>
      </c:ext>
    </c:extLst>
  </c:chart>
  <c:txPr>
    <a:bodyPr/>
    <a:lstStyle/>
    <a:p>
      <a:pPr>
        <a:defRPr lang="en-US" sz="1800"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 rot="0" spcFirstLastPara="0" vertOverflow="ellipsis" vert="horz" wrap="square" anchor="ctr" anchorCtr="1"/>
        <a:lstStyle/>
        <a:p>
          <a:pPr>
            <a:defRPr lang="en-US"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Enterococcus sp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Vancomycin sensitive</c:v>
                </c:pt>
                <c:pt idx="1">
                  <c:v>VRE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72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655484031649328"/>
          <c:y val="0.47370109528097842"/>
          <c:w val="0.32471923673774356"/>
          <c:h val="0.1507402190561957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d82c0ce4-5a1b-4e4e-8422-9bdce374afbd}"/>
      </c:ext>
    </c:extLst>
  </c:chart>
  <c:txPr>
    <a:bodyPr/>
    <a:lstStyle/>
    <a:p>
      <a:pPr>
        <a:defRPr lang="en-US" sz="1800"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 rot="0" spcFirstLastPara="0" vertOverflow="ellipsis" vert="horz" wrap="square" anchor="ctr" anchorCtr="1"/>
        <a:lstStyle/>
        <a:p>
          <a:pPr>
            <a:defRPr lang="en-US"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Candida sp.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C.albicans</c:v>
                </c:pt>
                <c:pt idx="1">
                  <c:v>NAC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87de900d-8487-4f60-b3e7-28628dc89c00}"/>
      </c:ext>
    </c:extLst>
  </c:chart>
  <c:txPr>
    <a:bodyPr/>
    <a:lstStyle/>
    <a:p>
      <a:pPr>
        <a:defRPr lang="en-US" sz="1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">
    <a:majorFont>
      <a:latin typeface="Arial"/>
      <a:ea typeface="SimSun"/>
      <a:cs typeface=""/>
    </a:majorFont>
    <a:minorFont>
      <a:latin typeface="Arial"/>
      <a:ea typeface="SimSun"/>
      <a:cs typeface=""/>
    </a:minorFont>
  </a:fontScheme>
  <a:fmtScheme name="Office 2007-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">
    <a:majorFont>
      <a:latin typeface="Arial"/>
      <a:ea typeface="SimSun"/>
      <a:cs typeface=""/>
    </a:majorFont>
    <a:minorFont>
      <a:latin typeface="Arial"/>
      <a:ea typeface="SimSun"/>
      <a:cs typeface=""/>
    </a:minorFont>
  </a:fontScheme>
  <a:fmtScheme name="Office 2007-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">
    <a:majorFont>
      <a:latin typeface="Arial"/>
      <a:ea typeface="SimSun"/>
      <a:cs typeface=""/>
    </a:majorFont>
    <a:minorFont>
      <a:latin typeface="Arial"/>
      <a:ea typeface="SimSun"/>
      <a:cs typeface=""/>
    </a:minorFont>
  </a:fontScheme>
  <a:fmtScheme name="Office 2007-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">
    <a:majorFont>
      <a:latin typeface="Arial"/>
      <a:ea typeface="SimSun"/>
      <a:cs typeface=""/>
    </a:majorFont>
    <a:minorFont>
      <a:latin typeface="Arial"/>
      <a:ea typeface="SimSun"/>
      <a:cs typeface=""/>
    </a:minorFont>
  </a:fontScheme>
  <a:fmtScheme name="Office 2007-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">
    <a:majorFont>
      <a:latin typeface="Arial"/>
      <a:ea typeface="SimSun"/>
      <a:cs typeface=""/>
    </a:majorFont>
    <a:minorFont>
      <a:latin typeface="Arial"/>
      <a:ea typeface="SimSun"/>
      <a:cs typeface=""/>
    </a:minorFont>
  </a:fontScheme>
  <a:fmtScheme name="Office 2007-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atMod val="350000"/>
              <a:shade val="99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sample</cp:lastModifiedBy>
  <cp:revision>2</cp:revision>
  <dcterms:created xsi:type="dcterms:W3CDTF">2026-04-22T10:20:00Z</dcterms:created>
  <dcterms:modified xsi:type="dcterms:W3CDTF">2026-04-22T10:20:00Z</dcterms:modified>
</cp:coreProperties>
</file>