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DA1E" w14:textId="0B668D95" w:rsidR="000A323A" w:rsidRPr="00B127A1" w:rsidRDefault="000A323A" w:rsidP="00B127A1">
      <w:pPr>
        <w:spacing w:line="360" w:lineRule="auto"/>
        <w:ind w:left="567" w:right="567"/>
        <w:rPr>
          <w:rFonts w:ascii="Times New Roman" w:hAnsi="Times New Roman" w:cs="Times New Roman"/>
          <w:sz w:val="22"/>
          <w:szCs w:val="22"/>
        </w:rPr>
      </w:pPr>
      <w:r w:rsidRPr="00B127A1">
        <w:rPr>
          <w:rFonts w:ascii="Times New Roman" w:hAnsi="Times New Roman" w:cs="Times New Roman"/>
          <w:b/>
          <w:bCs/>
          <w:sz w:val="22"/>
          <w:szCs w:val="22"/>
        </w:rPr>
        <w:t>Abstract</w:t>
      </w:r>
    </w:p>
    <w:p w14:paraId="0F0D7D2E" w14:textId="3BA31DC5" w:rsidR="000A323A" w:rsidRPr="00B127A1" w:rsidRDefault="000A323A"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b/>
          <w:bCs/>
          <w:sz w:val="22"/>
          <w:szCs w:val="22"/>
        </w:rPr>
        <w:t>Introduction:</w:t>
      </w:r>
      <w:r w:rsidRPr="00B127A1">
        <w:rPr>
          <w:rFonts w:ascii="Times New Roman" w:hAnsi="Times New Roman" w:cs="Times New Roman"/>
          <w:b/>
          <w:bCs/>
          <w:sz w:val="22"/>
          <w:szCs w:val="22"/>
        </w:rPr>
        <w:br/>
      </w:r>
      <w:r w:rsidRPr="00B127A1">
        <w:rPr>
          <w:rFonts w:ascii="Times New Roman" w:hAnsi="Times New Roman" w:cs="Times New Roman"/>
          <w:sz w:val="22"/>
          <w:szCs w:val="22"/>
        </w:rPr>
        <w:t xml:space="preserve">Adductor-related groin strain is a prevalent musculoskeletal injury among football players, </w:t>
      </w:r>
      <w:r w:rsidR="00984769" w:rsidRPr="00B127A1">
        <w:rPr>
          <w:rFonts w:ascii="Times New Roman" w:hAnsi="Times New Roman" w:cs="Times New Roman"/>
          <w:sz w:val="22"/>
          <w:szCs w:val="22"/>
        </w:rPr>
        <w:t>affecting</w:t>
      </w:r>
      <w:r w:rsidRPr="00B127A1">
        <w:rPr>
          <w:rFonts w:ascii="Times New Roman" w:hAnsi="Times New Roman" w:cs="Times New Roman"/>
          <w:sz w:val="22"/>
          <w:szCs w:val="22"/>
        </w:rPr>
        <w:t xml:space="preserve"> dynamic stability and agility. Strengthening protocols such as the Modified Progressive Copenhagen Adduction Exercise (MPCAE) and </w:t>
      </w:r>
      <w:r w:rsidR="00984769" w:rsidRPr="00B127A1">
        <w:rPr>
          <w:rFonts w:ascii="Times New Roman" w:hAnsi="Times New Roman" w:cs="Times New Roman"/>
          <w:sz w:val="22"/>
          <w:szCs w:val="22"/>
        </w:rPr>
        <w:t>R</w:t>
      </w:r>
      <w:r w:rsidRPr="00B127A1">
        <w:rPr>
          <w:rFonts w:ascii="Times New Roman" w:hAnsi="Times New Roman" w:cs="Times New Roman"/>
          <w:sz w:val="22"/>
          <w:szCs w:val="22"/>
        </w:rPr>
        <w:t xml:space="preserve">esistance-based </w:t>
      </w:r>
      <w:r w:rsidR="00984769" w:rsidRPr="00B127A1">
        <w:rPr>
          <w:rFonts w:ascii="Times New Roman" w:hAnsi="Times New Roman" w:cs="Times New Roman"/>
          <w:sz w:val="22"/>
          <w:szCs w:val="22"/>
        </w:rPr>
        <w:t>e</w:t>
      </w:r>
      <w:r w:rsidRPr="00B127A1">
        <w:rPr>
          <w:rFonts w:ascii="Times New Roman" w:hAnsi="Times New Roman" w:cs="Times New Roman"/>
          <w:sz w:val="22"/>
          <w:szCs w:val="22"/>
        </w:rPr>
        <w:t xml:space="preserve">ccentric </w:t>
      </w:r>
      <w:r w:rsidR="00984769" w:rsidRPr="00B127A1">
        <w:rPr>
          <w:rFonts w:ascii="Times New Roman" w:hAnsi="Times New Roman" w:cs="Times New Roman"/>
          <w:sz w:val="22"/>
          <w:szCs w:val="22"/>
        </w:rPr>
        <w:t>H</w:t>
      </w:r>
      <w:r w:rsidRPr="00B127A1">
        <w:rPr>
          <w:rFonts w:ascii="Times New Roman" w:hAnsi="Times New Roman" w:cs="Times New Roman"/>
          <w:sz w:val="22"/>
          <w:szCs w:val="22"/>
        </w:rPr>
        <w:t xml:space="preserve">ip adduction (EHAD) with </w:t>
      </w:r>
      <w:r w:rsidR="00984769" w:rsidRPr="00B127A1">
        <w:rPr>
          <w:rFonts w:ascii="Times New Roman" w:hAnsi="Times New Roman" w:cs="Times New Roman"/>
          <w:sz w:val="22"/>
          <w:szCs w:val="22"/>
        </w:rPr>
        <w:t>C</w:t>
      </w:r>
      <w:r w:rsidRPr="00B127A1">
        <w:rPr>
          <w:rFonts w:ascii="Times New Roman" w:hAnsi="Times New Roman" w:cs="Times New Roman"/>
          <w:sz w:val="22"/>
          <w:szCs w:val="22"/>
        </w:rPr>
        <w:t xml:space="preserve">ore training have </w:t>
      </w:r>
      <w:r w:rsidR="00984769" w:rsidRPr="00B127A1">
        <w:rPr>
          <w:rFonts w:ascii="Times New Roman" w:hAnsi="Times New Roman" w:cs="Times New Roman"/>
          <w:sz w:val="22"/>
          <w:szCs w:val="22"/>
        </w:rPr>
        <w:t>shown</w:t>
      </w:r>
      <w:r w:rsidRPr="00B127A1">
        <w:rPr>
          <w:rFonts w:ascii="Times New Roman" w:hAnsi="Times New Roman" w:cs="Times New Roman"/>
          <w:sz w:val="22"/>
          <w:szCs w:val="22"/>
        </w:rPr>
        <w:t xml:space="preserve"> benefits in improving hip adductor function. This study aimed to compare the effectiveness of MPCAE with core training versus EHAD with core training on dynamic stability and agility in collegiate football players.</w:t>
      </w:r>
    </w:p>
    <w:p w14:paraId="1387FDBE" w14:textId="7BB9EB53" w:rsidR="000A323A" w:rsidRPr="00B127A1" w:rsidRDefault="000A323A"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b/>
          <w:bCs/>
          <w:sz w:val="22"/>
          <w:szCs w:val="22"/>
        </w:rPr>
        <w:t>Methods:</w:t>
      </w:r>
      <w:r w:rsidRPr="00B127A1">
        <w:rPr>
          <w:rFonts w:ascii="Times New Roman" w:hAnsi="Times New Roman" w:cs="Times New Roman"/>
          <w:b/>
          <w:bCs/>
          <w:sz w:val="22"/>
          <w:szCs w:val="22"/>
        </w:rPr>
        <w:br/>
      </w:r>
      <w:r w:rsidRPr="00B127A1">
        <w:rPr>
          <w:rFonts w:ascii="Times New Roman" w:hAnsi="Times New Roman" w:cs="Times New Roman"/>
          <w:sz w:val="22"/>
          <w:szCs w:val="22"/>
        </w:rPr>
        <w:t>Fifty male collegiate football players (aged 18–24 years) with adductor-related groin symptoms were randomly allocated to Group A (MPCAE with core training; n=25) and Group B (EHAD with core training; n=25). Both groups underwent an 8-week training programme, three sessions per week. Dynamic stability and agility were evaluated using the Y-Balance, Triple Hop and SEMO Agility Tests. Data were analyzed using Wilcoxon signed-rank and Mann–Whitney U tests.</w:t>
      </w:r>
    </w:p>
    <w:p w14:paraId="5A857933" w14:textId="77777777" w:rsidR="000A323A" w:rsidRPr="00B127A1" w:rsidRDefault="000A323A"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t>Observations and Results:</w:t>
      </w:r>
    </w:p>
    <w:p w14:paraId="631E260E" w14:textId="24C5FCF1" w:rsidR="000A323A" w:rsidRPr="00B127A1" w:rsidRDefault="000A323A" w:rsidP="00B127A1">
      <w:pPr>
        <w:spacing w:line="360" w:lineRule="auto"/>
        <w:ind w:left="567" w:right="567"/>
        <w:jc w:val="both"/>
        <w:rPr>
          <w:rFonts w:ascii="Times New Roman" w:hAnsi="Times New Roman" w:cs="Times New Roman"/>
          <w:b/>
          <w:bCs/>
          <w:sz w:val="22"/>
          <w:szCs w:val="22"/>
        </w:rPr>
      </w:pPr>
      <w:r w:rsidRPr="00B127A1">
        <w:rPr>
          <w:rFonts w:ascii="Times New Roman" w:hAnsi="Times New Roman" w:cs="Times New Roman"/>
          <w:sz w:val="22"/>
          <w:szCs w:val="22"/>
        </w:rPr>
        <w:t xml:space="preserve">Both groups showed significant improvements across all measures (p&lt;0.001). Group A demonstrated greater gains in Y-Balance scores (+7.9% vs +2.3%), Triple Hop distance (+0.41 m vs +0.20 m), and faster SEMO times (−0.91 s vs −0.66 s), with statistical significance </w:t>
      </w:r>
      <w:proofErr w:type="spellStart"/>
      <w:r w:rsidRPr="00B127A1">
        <w:rPr>
          <w:rFonts w:ascii="Times New Roman" w:hAnsi="Times New Roman" w:cs="Times New Roman"/>
          <w:sz w:val="22"/>
          <w:szCs w:val="22"/>
        </w:rPr>
        <w:t>favoring</w:t>
      </w:r>
      <w:proofErr w:type="spellEnd"/>
      <w:r w:rsidRPr="00B127A1">
        <w:rPr>
          <w:rFonts w:ascii="Times New Roman" w:hAnsi="Times New Roman" w:cs="Times New Roman"/>
          <w:sz w:val="22"/>
          <w:szCs w:val="22"/>
        </w:rPr>
        <w:t xml:space="preserve"> MPCAE (p&lt;0.05).</w:t>
      </w:r>
    </w:p>
    <w:p w14:paraId="16A6E498" w14:textId="73AA384B" w:rsidR="000A323A" w:rsidRPr="00B127A1" w:rsidRDefault="000A323A"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b/>
          <w:bCs/>
          <w:sz w:val="22"/>
          <w:szCs w:val="22"/>
        </w:rPr>
        <w:t>Conclusion:</w:t>
      </w:r>
      <w:r w:rsidRPr="00B127A1">
        <w:rPr>
          <w:rFonts w:ascii="Times New Roman" w:hAnsi="Times New Roman" w:cs="Times New Roman"/>
          <w:b/>
          <w:bCs/>
          <w:sz w:val="22"/>
          <w:szCs w:val="22"/>
        </w:rPr>
        <w:br/>
      </w:r>
      <w:r w:rsidRPr="00B127A1">
        <w:rPr>
          <w:rFonts w:ascii="Times New Roman" w:hAnsi="Times New Roman" w:cs="Times New Roman"/>
          <w:sz w:val="22"/>
          <w:szCs w:val="22"/>
        </w:rPr>
        <w:t>Both interventions improved dynamic stability and agility; however, MPCAE with core training provided superior functional outcomes, indicating its greater efficacy for rehabilitation and performance optimization in collegiate football players with groin strain.</w:t>
      </w:r>
    </w:p>
    <w:p w14:paraId="4C82D65B" w14:textId="77777777" w:rsidR="000A323A" w:rsidRPr="00B127A1" w:rsidRDefault="000A323A" w:rsidP="00B127A1">
      <w:pPr>
        <w:spacing w:line="360" w:lineRule="auto"/>
        <w:ind w:left="567" w:right="567"/>
        <w:rPr>
          <w:rFonts w:ascii="Times New Roman" w:hAnsi="Times New Roman" w:cs="Times New Roman"/>
          <w:sz w:val="22"/>
          <w:szCs w:val="22"/>
        </w:rPr>
      </w:pPr>
      <w:r w:rsidRPr="00B127A1">
        <w:rPr>
          <w:rFonts w:ascii="Times New Roman" w:hAnsi="Times New Roman" w:cs="Times New Roman"/>
          <w:b/>
          <w:bCs/>
          <w:sz w:val="22"/>
          <w:szCs w:val="22"/>
        </w:rPr>
        <w:t>Keywords:</w:t>
      </w:r>
      <w:r w:rsidRPr="00B127A1">
        <w:rPr>
          <w:rFonts w:ascii="Times New Roman" w:hAnsi="Times New Roman" w:cs="Times New Roman"/>
          <w:sz w:val="22"/>
          <w:szCs w:val="22"/>
        </w:rPr>
        <w:t xml:space="preserve"> </w:t>
      </w:r>
    </w:p>
    <w:p w14:paraId="1B9C5837" w14:textId="643E7E5E" w:rsidR="000A323A" w:rsidRPr="00B127A1" w:rsidRDefault="000A323A" w:rsidP="00B127A1">
      <w:pPr>
        <w:spacing w:line="360" w:lineRule="auto"/>
        <w:ind w:left="567" w:right="567"/>
        <w:rPr>
          <w:rFonts w:ascii="Times New Roman" w:hAnsi="Times New Roman" w:cs="Times New Roman"/>
          <w:sz w:val="22"/>
          <w:szCs w:val="22"/>
        </w:rPr>
      </w:pPr>
      <w:r w:rsidRPr="00B127A1">
        <w:rPr>
          <w:rFonts w:ascii="Times New Roman" w:hAnsi="Times New Roman" w:cs="Times New Roman"/>
          <w:sz w:val="22"/>
          <w:szCs w:val="22"/>
        </w:rPr>
        <w:t>Copenhagen adduction, eccentric training, groin strain.</w:t>
      </w:r>
    </w:p>
    <w:p w14:paraId="3866EA49" w14:textId="77777777" w:rsidR="000A323A" w:rsidRPr="00B127A1" w:rsidRDefault="000A323A" w:rsidP="00B127A1">
      <w:pPr>
        <w:spacing w:line="360" w:lineRule="auto"/>
        <w:ind w:left="567" w:right="567"/>
        <w:rPr>
          <w:rFonts w:ascii="Times New Roman" w:hAnsi="Times New Roman" w:cs="Times New Roman"/>
          <w:sz w:val="22"/>
          <w:szCs w:val="22"/>
        </w:rPr>
      </w:pPr>
      <w:r w:rsidRPr="00B127A1">
        <w:rPr>
          <w:rFonts w:ascii="Times New Roman" w:hAnsi="Times New Roman" w:cs="Times New Roman"/>
          <w:b/>
          <w:bCs/>
          <w:sz w:val="22"/>
          <w:szCs w:val="22"/>
        </w:rPr>
        <w:t>Keynotes:</w:t>
      </w:r>
      <w:r w:rsidRPr="00B127A1">
        <w:rPr>
          <w:rFonts w:ascii="Times New Roman" w:hAnsi="Times New Roman" w:cs="Times New Roman"/>
          <w:sz w:val="22"/>
          <w:szCs w:val="22"/>
        </w:rPr>
        <w:t xml:space="preserve"> </w:t>
      </w:r>
    </w:p>
    <w:p w14:paraId="57F0E3E9" w14:textId="2AE1AEBA" w:rsidR="000A323A" w:rsidRPr="00B127A1" w:rsidRDefault="000A323A" w:rsidP="00B127A1">
      <w:pPr>
        <w:spacing w:line="360" w:lineRule="auto"/>
        <w:ind w:left="567" w:right="567"/>
        <w:rPr>
          <w:rFonts w:ascii="Times New Roman" w:hAnsi="Times New Roman" w:cs="Times New Roman"/>
          <w:sz w:val="22"/>
          <w:szCs w:val="22"/>
        </w:rPr>
      </w:pPr>
      <w:r w:rsidRPr="00B127A1">
        <w:rPr>
          <w:rFonts w:ascii="Times New Roman" w:hAnsi="Times New Roman" w:cs="Times New Roman"/>
          <w:sz w:val="22"/>
          <w:szCs w:val="22"/>
        </w:rPr>
        <w:t xml:space="preserve">MPCAE improves stability and agility; effective rehabilitation strategy for football players; enhanced adductor function with core and </w:t>
      </w:r>
      <w:r w:rsidR="00B127A1">
        <w:rPr>
          <w:rFonts w:ascii="Times New Roman" w:hAnsi="Times New Roman" w:cs="Times New Roman"/>
          <w:sz w:val="22"/>
          <w:szCs w:val="22"/>
        </w:rPr>
        <w:t xml:space="preserve">good </w:t>
      </w:r>
      <w:r w:rsidRPr="00B127A1">
        <w:rPr>
          <w:rFonts w:ascii="Times New Roman" w:hAnsi="Times New Roman" w:cs="Times New Roman"/>
          <w:sz w:val="22"/>
          <w:szCs w:val="22"/>
        </w:rPr>
        <w:t>health.</w:t>
      </w:r>
    </w:p>
    <w:p w14:paraId="60DD4942" w14:textId="77777777" w:rsidR="000A323A" w:rsidRPr="00B127A1" w:rsidRDefault="000A323A" w:rsidP="00B127A1">
      <w:pPr>
        <w:spacing w:line="360" w:lineRule="auto"/>
        <w:ind w:left="567" w:right="567"/>
        <w:rPr>
          <w:rFonts w:ascii="Times New Roman" w:hAnsi="Times New Roman" w:cs="Times New Roman"/>
          <w:sz w:val="22"/>
          <w:szCs w:val="22"/>
        </w:rPr>
      </w:pPr>
    </w:p>
    <w:p w14:paraId="7EB2F1E5" w14:textId="77777777" w:rsidR="00457226" w:rsidRPr="00B127A1" w:rsidRDefault="00457226" w:rsidP="00B127A1">
      <w:pPr>
        <w:spacing w:line="360" w:lineRule="auto"/>
        <w:ind w:left="567" w:right="567"/>
        <w:rPr>
          <w:rFonts w:ascii="Times New Roman" w:hAnsi="Times New Roman" w:cs="Times New Roman"/>
          <w:sz w:val="22"/>
          <w:szCs w:val="22"/>
        </w:rPr>
      </w:pPr>
    </w:p>
    <w:p w14:paraId="0E4B0BD8" w14:textId="31F6ED15" w:rsidR="00063594" w:rsidRPr="00B127A1" w:rsidRDefault="00063594"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lastRenderedPageBreak/>
        <w:t>Introduction</w:t>
      </w:r>
      <w:r w:rsidR="00457226" w:rsidRPr="00B127A1">
        <w:rPr>
          <w:rFonts w:ascii="Times New Roman" w:hAnsi="Times New Roman" w:cs="Times New Roman"/>
          <w:b/>
          <w:bCs/>
          <w:sz w:val="22"/>
          <w:szCs w:val="22"/>
        </w:rPr>
        <w:t>:</w:t>
      </w:r>
    </w:p>
    <w:p w14:paraId="7012149D" w14:textId="704428FE" w:rsidR="00063594" w:rsidRPr="00B127A1" w:rsidRDefault="005925FD"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Groin injuries are a major problem in sport, especially in football, where they form a substantial share of both time</w:t>
      </w:r>
      <w:r w:rsidRPr="00B127A1">
        <w:rPr>
          <w:rFonts w:ascii="Times New Roman" w:hAnsi="Times New Roman" w:cs="Times New Roman"/>
          <w:sz w:val="22"/>
          <w:szCs w:val="22"/>
        </w:rPr>
        <w:noBreakHyphen/>
        <w:t>loss and non–time</w:t>
      </w:r>
      <w:r w:rsidRPr="00B127A1">
        <w:rPr>
          <w:rFonts w:ascii="Times New Roman" w:hAnsi="Times New Roman" w:cs="Times New Roman"/>
          <w:sz w:val="22"/>
          <w:szCs w:val="22"/>
        </w:rPr>
        <w:noBreakHyphen/>
        <w:t>loss musculoskeletal injuries. Groin pain, arising in the pubic, lower abdominal or adductor regions, may be unilateral or bilateral and is commonly associated with high running loads, repeated sprinting, rapid changes of direction and forceful kicking typical of modern football. In a Gothenburg cohort, 5% of all injuries involved the groin, and wider epidemiological data show that groin injuries constitute about 8–18% of all soccer injuries, with an incidence of roughly 0.8–1.3 per 1,000 hours of exposure. These injuries can seriously affect a player’s career by reducing performance and disturbing daily activities, and they appear less frequent in women, suggesting possible sex</w:t>
      </w:r>
      <w:r w:rsidRPr="00B127A1">
        <w:rPr>
          <w:rFonts w:ascii="Times New Roman" w:hAnsi="Times New Roman" w:cs="Times New Roman"/>
          <w:sz w:val="22"/>
          <w:szCs w:val="22"/>
        </w:rPr>
        <w:noBreakHyphen/>
        <w:t>related differences in biomechanics, exposure or training load.</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(1,2)</w:t>
      </w:r>
    </w:p>
    <w:p w14:paraId="00ADBF41" w14:textId="77E2CD5A" w:rsidR="00063594" w:rsidRPr="00B127A1" w:rsidRDefault="005925FD"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In NCAA athletics, hip and groin injuries occur at a rate of 53.06 per 100,000 athlete</w:t>
      </w:r>
      <w:r w:rsidRPr="00B127A1">
        <w:rPr>
          <w:rFonts w:ascii="Times New Roman" w:hAnsi="Times New Roman" w:cs="Times New Roman"/>
          <w:sz w:val="22"/>
          <w:szCs w:val="22"/>
        </w:rPr>
        <w:noBreakHyphen/>
        <w:t>exposures, based on 1,984 recorded cases, with adductor and groin strains being the most common diagnosis (24.5%). Of these injuries, 39.3% lead to time</w:t>
      </w:r>
      <w:r w:rsidRPr="00B127A1">
        <w:rPr>
          <w:rFonts w:ascii="Times New Roman" w:hAnsi="Times New Roman" w:cs="Times New Roman"/>
          <w:sz w:val="22"/>
          <w:szCs w:val="22"/>
        </w:rPr>
        <w:noBreakHyphen/>
        <w:t>loss from sport, but only 1.3% need surgical intervention. Men’s soccer (110.84 per 100,000) and men’s ice hockey (104.90 per 100,000) show the highest hip and groin injury rates, and in sex</w:t>
      </w:r>
      <w:r w:rsidRPr="00B127A1">
        <w:rPr>
          <w:rFonts w:ascii="Times New Roman" w:hAnsi="Times New Roman" w:cs="Times New Roman"/>
          <w:sz w:val="22"/>
          <w:szCs w:val="22"/>
        </w:rPr>
        <w:noBreakHyphen/>
        <w:t>comparable sports, men sustain significantly more such injuries than women (59.53 vs 42.27 per 100,000; RR 1.41, 95% CI 1.28–1.55), with a larger share linked to contact mechanisms.</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(3)</w:t>
      </w:r>
    </w:p>
    <w:p w14:paraId="248EC99A" w14:textId="5DF843B1" w:rsidR="00063594" w:rsidRPr="00B127A1" w:rsidRDefault="005925FD"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The hip adductor group includes adductor longus, magnus, brevis, gracilis, obturator externus, and pectineus. Except for pectineus (innervated by femoral nerve), all are supplied by the obturator nerve and facilitate hip adduction in open-chain tasks and pelvic/lower-extremity stability in closed-chain activities. Adductor longus is most commonly injured in sports, particularly in hockey, football, and Mallakhamb, where high eccentric demands occur during cutting, skating, and suspensory skills.</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(4,5)</w:t>
      </w:r>
      <w:r w:rsidR="00063594" w:rsidRPr="00B127A1">
        <w:rPr>
          <w:rFonts w:ascii="Times New Roman" w:hAnsi="Times New Roman" w:cs="Times New Roman"/>
          <w:sz w:val="22"/>
          <w:szCs w:val="22"/>
        </w:rPr>
        <w:t xml:space="preserve"> </w:t>
      </w:r>
      <w:r w:rsidRPr="00B127A1">
        <w:rPr>
          <w:rFonts w:ascii="Times New Roman" w:hAnsi="Times New Roman" w:cs="Times New Roman"/>
          <w:sz w:val="22"/>
          <w:szCs w:val="22"/>
        </w:rPr>
        <w:t>Prolonged static positions and repetitive awkward movements cause severe pain and aggravate groin symptoms. Initially, the pain is mild and vague but can rapidly worsen and become noticeable.</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(6)</w:t>
      </w:r>
      <w:r w:rsidR="00063594" w:rsidRPr="00B127A1">
        <w:rPr>
          <w:rFonts w:ascii="Times New Roman" w:hAnsi="Times New Roman" w:cs="Times New Roman"/>
          <w:sz w:val="22"/>
          <w:szCs w:val="22"/>
        </w:rPr>
        <w:t xml:space="preserve"> </w:t>
      </w:r>
      <w:r w:rsidRPr="00B127A1">
        <w:rPr>
          <w:rFonts w:ascii="Times New Roman" w:hAnsi="Times New Roman" w:cs="Times New Roman"/>
          <w:sz w:val="22"/>
          <w:szCs w:val="22"/>
        </w:rPr>
        <w:t>Several studies have shown that muscle strength deficits and fatigue increase lower-limb injury risk, along with reduced balance control and altered ankle mobility. However, adductor muscle function has received less focused attention compared to other established risk factors for injury prevention.</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(7)</w:t>
      </w:r>
    </w:p>
    <w:p w14:paraId="14D8DA23" w14:textId="7F507101" w:rsidR="00063594" w:rsidRPr="00B127A1" w:rsidRDefault="005925FD"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 xml:space="preserve">Football is played by over 260 million people worldwide and carries a significant injury burden, with 6–8 injuries per 1,000 hours of exposure—much higher during matches than training. Effective injury prevention is crucial for player availability, as teams with fewer injuries achieve better league rankings, more wins, and higher points. High-burden injuries </w:t>
      </w:r>
      <w:r w:rsidRPr="00B127A1">
        <w:rPr>
          <w:rFonts w:ascii="Times New Roman" w:hAnsi="Times New Roman" w:cs="Times New Roman"/>
          <w:sz w:val="22"/>
          <w:szCs w:val="22"/>
        </w:rPr>
        <w:lastRenderedPageBreak/>
        <w:t xml:space="preserve">causing prolonged absence harm both performance and club finances, emphasizing the need for strategic injury management. Hip and groin pain are common and persistent in young adults; in football, traditional time-loss metrics underestimate the burden since non-time-loss groin problems are highly prevalent, especially in sub-elite and female players. Professional men's soccer sees groin injuries as 14–20% of time-loss injuries (vs 10% in sub-elite males), while elite Australian football reports 2–3 hip/groin injuries per club per season; preseason prevalence nears 27%, with one in four players reporting symptoms without missing play. Hip muscle weakness and atrophy link to various groin pain types (adductor-related, </w:t>
      </w:r>
      <w:proofErr w:type="spellStart"/>
      <w:r w:rsidRPr="00B127A1">
        <w:rPr>
          <w:rFonts w:ascii="Times New Roman" w:hAnsi="Times New Roman" w:cs="Times New Roman"/>
          <w:sz w:val="22"/>
          <w:szCs w:val="22"/>
        </w:rPr>
        <w:t>femoroacetabular</w:t>
      </w:r>
      <w:proofErr w:type="spellEnd"/>
      <w:r w:rsidRPr="00B127A1">
        <w:rPr>
          <w:rFonts w:ascii="Times New Roman" w:hAnsi="Times New Roman" w:cs="Times New Roman"/>
          <w:sz w:val="22"/>
          <w:szCs w:val="22"/>
        </w:rPr>
        <w:t xml:space="preserve"> impingement, chondral pathology), making strength restoration and neuromuscular control key management goals.</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w:t>
      </w:r>
      <w:r w:rsidRPr="00B127A1">
        <w:rPr>
          <w:rFonts w:ascii="Times New Roman" w:hAnsi="Times New Roman" w:cs="Times New Roman"/>
          <w:sz w:val="22"/>
          <w:szCs w:val="22"/>
          <w:vertAlign w:val="superscript"/>
        </w:rPr>
        <w:t>8,</w:t>
      </w:r>
      <w:r w:rsidR="00063594" w:rsidRPr="00B127A1">
        <w:rPr>
          <w:rFonts w:ascii="Times New Roman" w:hAnsi="Times New Roman" w:cs="Times New Roman"/>
          <w:sz w:val="22"/>
          <w:szCs w:val="22"/>
          <w:vertAlign w:val="superscript"/>
        </w:rPr>
        <w:t>9)</w:t>
      </w:r>
    </w:p>
    <w:p w14:paraId="399BB7D0" w14:textId="72B0AD33" w:rsidR="00063594" w:rsidRPr="00B127A1" w:rsidRDefault="005925FD"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 xml:space="preserve">The core acts as an integrated muscular "corset" comprising abdominal muscles anteriorly, paraspinals and </w:t>
      </w:r>
      <w:proofErr w:type="spellStart"/>
      <w:r w:rsidRPr="00B127A1">
        <w:rPr>
          <w:rFonts w:ascii="Times New Roman" w:hAnsi="Times New Roman" w:cs="Times New Roman"/>
          <w:sz w:val="22"/>
          <w:szCs w:val="22"/>
        </w:rPr>
        <w:t>gluteals</w:t>
      </w:r>
      <w:proofErr w:type="spellEnd"/>
      <w:r w:rsidRPr="00B127A1">
        <w:rPr>
          <w:rFonts w:ascii="Times New Roman" w:hAnsi="Times New Roman" w:cs="Times New Roman"/>
          <w:sz w:val="22"/>
          <w:szCs w:val="22"/>
        </w:rPr>
        <w:t xml:space="preserve"> posteriorly, diaphragm superiorly, and pelvic floor/hip girdle inferiorly, stabilizing the spine and pelvis during dynamic tasks like running, cutting, jumping, and kicking. Following Kibler's principle of "proximal stability for distal mobility," effective limb force generation requires precise trunk-pelvic control, while Panjabi's stability model highlights interactions between passive (osseous/ligamentous), active (muscular), and neural subsystems. The central nervous system regulates intra-abdominal pressure and segmental stiffness, with passive elements (vertebrae, ligaments, fascia, thoracolumbar complex) working alongside dynamic muscular control via concepts like the "abdominal canister" and thoracolumbar fascial tensioning. Thus, core training enhances performance and reduces injury risk, as deficits in core strength, endurance, proprioception, and neuromuscular control significantly increase lower-extremity injury susceptibility.</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(10)</w:t>
      </w:r>
      <w:r w:rsidR="00DE49AE" w:rsidRPr="00B127A1">
        <w:rPr>
          <w:rFonts w:ascii="Times New Roman" w:hAnsi="Times New Roman" w:cs="Times New Roman"/>
          <w:sz w:val="22"/>
          <w:szCs w:val="22"/>
        </w:rPr>
        <w:t xml:space="preserve"> Core strengthening is widely used in rehabilitation to enhance trunk stability and overall function. To sustain the stability gains from such training, effective muscular control around the targeted region is essential, as this supports global body stabilisation and balance during daily and sporting activities.</w:t>
      </w:r>
      <w:r w:rsidR="00DE49AE"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(11)</w:t>
      </w:r>
    </w:p>
    <w:p w14:paraId="463D4A8E" w14:textId="572AAAEF" w:rsidR="005925FD" w:rsidRPr="00B127A1" w:rsidRDefault="005925FD"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The Adductor Strengthening Programme (ASP) clinical trial showed a 41% reduction in groin problems among male semi-professional football players adhering to it over one full season, supporting its routine inclusion in training. ASP focuses on the high-load Copenhagen Adduction (CA) exercise across three progressive levels with pre-season and in-season protocols. Players achieved ~70% dosage compliance—higher than many prior protocols—highlighting that consistent implementation is key to preventive efficacy.</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(12)</w:t>
      </w:r>
      <w:r w:rsidR="00063594" w:rsidRPr="00B127A1">
        <w:rPr>
          <w:rFonts w:ascii="Times New Roman" w:hAnsi="Times New Roman" w:cs="Times New Roman"/>
          <w:sz w:val="22"/>
          <w:szCs w:val="22"/>
        </w:rPr>
        <w:t xml:space="preserve"> </w:t>
      </w:r>
      <w:r w:rsidRPr="00B127A1">
        <w:rPr>
          <w:rFonts w:ascii="Times New Roman" w:hAnsi="Times New Roman" w:cs="Times New Roman"/>
          <w:sz w:val="22"/>
          <w:szCs w:val="22"/>
        </w:rPr>
        <w:t xml:space="preserve">The Copenhagen exercise is a high-intensity, equipment-free adductor strengthening exercise easily performed on the field. It involves eccentric, partner-assisted hip adduction: the athlete lies side-supported on the forearm while a partner holds the upper leg at ankle/knee height, then elevates concentrically over 3 seconds and lowers eccentrically </w:t>
      </w:r>
      <w:r w:rsidRPr="00B127A1">
        <w:rPr>
          <w:rFonts w:ascii="Times New Roman" w:hAnsi="Times New Roman" w:cs="Times New Roman"/>
          <w:sz w:val="22"/>
          <w:szCs w:val="22"/>
        </w:rPr>
        <w:lastRenderedPageBreak/>
        <w:t xml:space="preserve">over 3 seconds halfway to the ground. The Modified Progressive Copenhagen Adduction Exercise (MPCAE) builds on this with a structured protocol progressing through six levels from supported isometrics to full Copenhagen adduction, enhancing eccentric hip adduction/abduction strength and optimizing the EHAD/EHAB ratio—key for reducing groin injury risk. MPCAE produces significant strength gains with minimal DOMS, improving compliance and suitability for football/futsal athletes facing high eccentric demands during cutting and directional changes. </w:t>
      </w:r>
      <w:r w:rsidRPr="00B127A1">
        <w:rPr>
          <w:rFonts w:ascii="Times New Roman" w:hAnsi="Times New Roman" w:cs="Times New Roman"/>
          <w:sz w:val="22"/>
          <w:szCs w:val="22"/>
          <w:vertAlign w:val="superscript"/>
        </w:rPr>
        <w:t>(13,14,15)</w:t>
      </w:r>
    </w:p>
    <w:p w14:paraId="41004710" w14:textId="31144BD6" w:rsidR="00063594" w:rsidRPr="00B127A1" w:rsidRDefault="0071454A"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Resistance band-based eccentric hip adduction training has gained prominence for its practicality in enhancing adductor strength and reducing groin injury risk. A randomised controlled trial showed that an eight-week elastic band programme significantly improved eccentric hip adductor strength in soccer players, establishing it as a feasible alternative to heavy loading. A systematic review in team sports confirmed that elastic band interventions are effective, accessible, and adaptable for improving lower-limb strength and correcting muscular imbalances in high-performance settings.</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(16,17)</w:t>
      </w:r>
      <w:r w:rsidR="00063594" w:rsidRPr="00B127A1">
        <w:rPr>
          <w:rFonts w:ascii="Times New Roman" w:hAnsi="Times New Roman" w:cs="Times New Roman"/>
          <w:sz w:val="22"/>
          <w:szCs w:val="22"/>
        </w:rPr>
        <w:t xml:space="preserve"> </w:t>
      </w:r>
      <w:r w:rsidR="003B1294" w:rsidRPr="00B127A1">
        <w:rPr>
          <w:rFonts w:ascii="Times New Roman" w:hAnsi="Times New Roman" w:cs="Times New Roman"/>
          <w:sz w:val="22"/>
          <w:szCs w:val="22"/>
        </w:rPr>
        <w:t>Eccentric exercises lengthen muscles under tension, generating high forces with low energy cost to promote faster healing, greater strength gains, improved range of motion, muscle hypertrophy, insulin sensitivity, and reduced cardiovascular risks. Widely used in athlete rehabilitation, recent torque/EMG studies confirm elastic resistance at varying hip angles produces substantial contractions, with optimal band positioning enhancing recruitment—making resistance band-based eccentric adduction programmes safe, efficient, and ideal for athletic prevention and rehab.</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(19</w:t>
      </w:r>
      <w:r w:rsidR="003B1294" w:rsidRPr="00B127A1">
        <w:rPr>
          <w:rFonts w:ascii="Times New Roman" w:hAnsi="Times New Roman" w:cs="Times New Roman"/>
          <w:sz w:val="22"/>
          <w:szCs w:val="22"/>
          <w:vertAlign w:val="superscript"/>
        </w:rPr>
        <w:t>,20</w:t>
      </w:r>
      <w:r w:rsidR="00063594" w:rsidRPr="00B127A1">
        <w:rPr>
          <w:rFonts w:ascii="Times New Roman" w:hAnsi="Times New Roman" w:cs="Times New Roman"/>
          <w:sz w:val="22"/>
          <w:szCs w:val="22"/>
          <w:vertAlign w:val="superscript"/>
        </w:rPr>
        <w:t>)</w:t>
      </w:r>
    </w:p>
    <w:p w14:paraId="42B31118" w14:textId="2DC8968E" w:rsidR="00063594" w:rsidRPr="00B127A1" w:rsidRDefault="0071454A"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 xml:space="preserve">Core training is increasingly recognised for improving daily function and rehabilitation outcomes. The core comprises a functional unit from below the shoulder girdle to above the hip joint, with two systems: the local (deep) system of slow-twitch fibres (transversus abdominis, multifidi, internal oblique, deep </w:t>
      </w:r>
      <w:proofErr w:type="spellStart"/>
      <w:r w:rsidRPr="00B127A1">
        <w:rPr>
          <w:rFonts w:ascii="Times New Roman" w:hAnsi="Times New Roman" w:cs="Times New Roman"/>
          <w:sz w:val="22"/>
          <w:szCs w:val="22"/>
        </w:rPr>
        <w:t>transversospinalis</w:t>
      </w:r>
      <w:proofErr w:type="spellEnd"/>
      <w:r w:rsidRPr="00B127A1">
        <w:rPr>
          <w:rFonts w:ascii="Times New Roman" w:hAnsi="Times New Roman" w:cs="Times New Roman"/>
          <w:sz w:val="22"/>
          <w:szCs w:val="22"/>
        </w:rPr>
        <w:t>, pelvic floor) providing segmental stability, and the global (superficial) system of fast-twitch fibres (erector spinae, external oblique, rectus abdominis, quadratus lumborum) generating torque for external loads. In athletes, core stability enables distal mobility; enhancing the lower pelvic unit improves core control, prevents groin pain, and treats low back pain, making it central to modern athletic conditioning.</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(21,22</w:t>
      </w:r>
      <w:r w:rsidR="003B1294" w:rsidRPr="00B127A1">
        <w:rPr>
          <w:rFonts w:ascii="Times New Roman" w:hAnsi="Times New Roman" w:cs="Times New Roman"/>
          <w:sz w:val="22"/>
          <w:szCs w:val="22"/>
          <w:vertAlign w:val="superscript"/>
        </w:rPr>
        <w:t>,23</w:t>
      </w:r>
      <w:r w:rsidR="00063594" w:rsidRPr="00B127A1">
        <w:rPr>
          <w:rFonts w:ascii="Times New Roman" w:hAnsi="Times New Roman" w:cs="Times New Roman"/>
          <w:sz w:val="22"/>
          <w:szCs w:val="22"/>
          <w:vertAlign w:val="superscript"/>
        </w:rPr>
        <w:t>)</w:t>
      </w:r>
    </w:p>
    <w:p w14:paraId="6AA3AF37" w14:textId="3FC83E81" w:rsidR="00063594" w:rsidRPr="00B127A1" w:rsidRDefault="0071454A"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The Y-Balance Test (YBT) assesses dynamic stability in football players by measuring reach distances in three directions during single-leg stance, reliably detecting neuromuscular control, balance deficits, and injury-risk movement patterns. Scores are normalised to leg length, enabling identification of inter-limb asymmetries and guiding targeted prevention strategies.</w:t>
      </w:r>
      <w:r w:rsidR="00063594" w:rsidRPr="00B127A1">
        <w:rPr>
          <w:rFonts w:ascii="Times New Roman" w:hAnsi="Times New Roman" w:cs="Times New Roman"/>
          <w:sz w:val="22"/>
          <w:szCs w:val="22"/>
        </w:rPr>
        <w:t xml:space="preserve"> </w:t>
      </w:r>
      <w:r w:rsidRPr="00B127A1">
        <w:rPr>
          <w:rFonts w:ascii="Times New Roman" w:hAnsi="Times New Roman" w:cs="Times New Roman"/>
          <w:sz w:val="22"/>
          <w:szCs w:val="22"/>
        </w:rPr>
        <w:t xml:space="preserve">The Triple Hop Test measures lower-limb dynamic stability, </w:t>
      </w:r>
      <w:r w:rsidRPr="00B127A1">
        <w:rPr>
          <w:rFonts w:ascii="Times New Roman" w:hAnsi="Times New Roman" w:cs="Times New Roman"/>
          <w:sz w:val="22"/>
          <w:szCs w:val="22"/>
        </w:rPr>
        <w:lastRenderedPageBreak/>
        <w:t>power, and function by recording distance over three consecutive single-leg hops, assessing neuromuscular control, strength, balance, side-to-side differences, and return-to-sport readiness. The SEMO Agility Test evaluates agility by timing multidirectional course navigation, reflecting football-specific demands like forward, backward, and lateral movements. These tests are widely used in football to assess functional agility/stability and guide training/rehabilitation.</w:t>
      </w:r>
      <w:r w:rsidRPr="00B127A1">
        <w:rPr>
          <w:rFonts w:ascii="Times New Roman" w:hAnsi="Times New Roman" w:cs="Times New Roman"/>
          <w:sz w:val="22"/>
          <w:szCs w:val="22"/>
          <w:vertAlign w:val="superscript"/>
        </w:rPr>
        <w:t xml:space="preserve"> </w:t>
      </w:r>
      <w:r w:rsidR="00063594" w:rsidRPr="00B127A1">
        <w:rPr>
          <w:rFonts w:ascii="Times New Roman" w:hAnsi="Times New Roman" w:cs="Times New Roman"/>
          <w:sz w:val="22"/>
          <w:szCs w:val="22"/>
          <w:vertAlign w:val="superscript"/>
        </w:rPr>
        <w:t>(24</w:t>
      </w:r>
      <w:r w:rsidR="003B1294" w:rsidRPr="00B127A1">
        <w:rPr>
          <w:rFonts w:ascii="Times New Roman" w:hAnsi="Times New Roman" w:cs="Times New Roman"/>
          <w:sz w:val="22"/>
          <w:szCs w:val="22"/>
          <w:vertAlign w:val="superscript"/>
        </w:rPr>
        <w:t>,25</w:t>
      </w:r>
      <w:r w:rsidR="00063594" w:rsidRPr="00B127A1">
        <w:rPr>
          <w:rFonts w:ascii="Times New Roman" w:hAnsi="Times New Roman" w:cs="Times New Roman"/>
          <w:sz w:val="22"/>
          <w:szCs w:val="22"/>
          <w:vertAlign w:val="superscript"/>
        </w:rPr>
        <w:t>)</w:t>
      </w:r>
    </w:p>
    <w:p w14:paraId="37C9922F" w14:textId="77777777" w:rsidR="0071454A" w:rsidRPr="00B127A1" w:rsidRDefault="0071454A"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Although both Modified Progressive Copenhagen Adduction Exercise (MPCAE) and resistance-based eccentric hip adduction (EHAD) with core training show benefits, their comparative effectiveness on dynamic stability and agility remains unclear in collegiate football players with groin strain. Existing literature examines these interventions separately rather than through direct comparison, leaving a critical gap in identifying the optimal rehabilitation strategy for this high-risk group. This study therefore compares MPCAE versus EHAD (both with core training) to determine superior efficacy for enhancing dynamic stability and agility, with implications for optimised functional recovery and musculoskeletal health.</w:t>
      </w:r>
    </w:p>
    <w:p w14:paraId="497C18E6" w14:textId="77EC1AB5" w:rsidR="00063594" w:rsidRPr="00B127A1" w:rsidRDefault="00063594"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t>Aims and Objectives</w:t>
      </w:r>
    </w:p>
    <w:p w14:paraId="38D41CE0" w14:textId="77777777" w:rsidR="00063594" w:rsidRPr="00B127A1" w:rsidRDefault="00063594"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b/>
          <w:bCs/>
          <w:sz w:val="22"/>
          <w:szCs w:val="22"/>
        </w:rPr>
        <w:t>Aim:</w:t>
      </w:r>
      <w:r w:rsidRPr="00B127A1">
        <w:rPr>
          <w:rFonts w:ascii="Times New Roman" w:hAnsi="Times New Roman" w:cs="Times New Roman"/>
          <w:sz w:val="22"/>
          <w:szCs w:val="22"/>
        </w:rPr>
        <w:br/>
        <w:t>To compare the effects of Modified Progressive Copenhagen Adduction Exercise (MPCAE) combined with core training and resistance-based eccentric hip adduction exercise (EHAD) combined with core training on dynamic stability and agility in collegiate football players with groin strain.</w:t>
      </w:r>
    </w:p>
    <w:p w14:paraId="3C6497BD" w14:textId="77777777" w:rsidR="00063594" w:rsidRPr="00B127A1" w:rsidRDefault="00063594" w:rsidP="00B127A1">
      <w:pPr>
        <w:spacing w:line="360" w:lineRule="auto"/>
        <w:ind w:left="567" w:right="567"/>
        <w:rPr>
          <w:rFonts w:ascii="Times New Roman" w:hAnsi="Times New Roman" w:cs="Times New Roman"/>
          <w:sz w:val="22"/>
          <w:szCs w:val="22"/>
        </w:rPr>
      </w:pPr>
      <w:r w:rsidRPr="00B127A1">
        <w:rPr>
          <w:rFonts w:ascii="Times New Roman" w:hAnsi="Times New Roman" w:cs="Times New Roman"/>
          <w:b/>
          <w:bCs/>
          <w:sz w:val="22"/>
          <w:szCs w:val="22"/>
        </w:rPr>
        <w:t>Objectives:</w:t>
      </w:r>
    </w:p>
    <w:p w14:paraId="7A1E09BE" w14:textId="77777777" w:rsidR="00063594" w:rsidRPr="00B127A1" w:rsidRDefault="00063594" w:rsidP="00B127A1">
      <w:pPr>
        <w:numPr>
          <w:ilvl w:val="0"/>
          <w:numId w:val="1"/>
        </w:numPr>
        <w:tabs>
          <w:tab w:val="clear" w:pos="720"/>
          <w:tab w:val="num" w:pos="1287"/>
        </w:tabs>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To evaluate the effect of MPCAE with core training on dynamic stability and agility in football players with adductor-related groin strain.</w:t>
      </w:r>
    </w:p>
    <w:p w14:paraId="6D68C74A" w14:textId="77777777" w:rsidR="00063594" w:rsidRPr="00B127A1" w:rsidRDefault="00063594" w:rsidP="00B127A1">
      <w:pPr>
        <w:numPr>
          <w:ilvl w:val="0"/>
          <w:numId w:val="1"/>
        </w:numPr>
        <w:tabs>
          <w:tab w:val="clear" w:pos="720"/>
          <w:tab w:val="num" w:pos="1287"/>
        </w:tabs>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To assess the effect of resistance-based EHAD with core training on dynamic stability and agility in the same population.</w:t>
      </w:r>
    </w:p>
    <w:p w14:paraId="67B25917" w14:textId="77777777" w:rsidR="00063594" w:rsidRPr="00B127A1" w:rsidRDefault="00063594" w:rsidP="00B127A1">
      <w:pPr>
        <w:numPr>
          <w:ilvl w:val="0"/>
          <w:numId w:val="1"/>
        </w:numPr>
        <w:tabs>
          <w:tab w:val="clear" w:pos="720"/>
          <w:tab w:val="num" w:pos="1287"/>
        </w:tabs>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To compare the efficacy of both interventions in improving functional performance outcomes such as dynamic stability and agility.</w:t>
      </w:r>
    </w:p>
    <w:p w14:paraId="6E94AA71" w14:textId="585BB23A" w:rsidR="008020DB" w:rsidRPr="00B127A1" w:rsidRDefault="008020DB" w:rsidP="00B127A1">
      <w:pPr>
        <w:spacing w:line="360" w:lineRule="auto"/>
        <w:ind w:left="567" w:right="567"/>
        <w:rPr>
          <w:rFonts w:ascii="Times New Roman" w:hAnsi="Times New Roman" w:cs="Times New Roman"/>
          <w:sz w:val="22"/>
          <w:szCs w:val="22"/>
        </w:rPr>
      </w:pPr>
    </w:p>
    <w:p w14:paraId="05C2167E" w14:textId="77777777" w:rsidR="008020DB" w:rsidRPr="00B127A1" w:rsidRDefault="008020DB" w:rsidP="00B127A1">
      <w:pPr>
        <w:spacing w:line="360" w:lineRule="auto"/>
        <w:ind w:left="567" w:right="567"/>
        <w:rPr>
          <w:rFonts w:ascii="Times New Roman" w:hAnsi="Times New Roman" w:cs="Times New Roman"/>
          <w:sz w:val="22"/>
          <w:szCs w:val="22"/>
        </w:rPr>
      </w:pPr>
    </w:p>
    <w:p w14:paraId="5E4C1B8F" w14:textId="77777777" w:rsidR="008020DB" w:rsidRPr="00B127A1" w:rsidRDefault="008020DB" w:rsidP="00B127A1">
      <w:pPr>
        <w:spacing w:line="360" w:lineRule="auto"/>
        <w:ind w:left="567" w:right="567"/>
        <w:rPr>
          <w:rFonts w:ascii="Times New Roman" w:hAnsi="Times New Roman" w:cs="Times New Roman"/>
          <w:sz w:val="22"/>
          <w:szCs w:val="22"/>
        </w:rPr>
      </w:pPr>
    </w:p>
    <w:p w14:paraId="6F9F009A" w14:textId="77777777" w:rsidR="008020DB" w:rsidRPr="00B127A1" w:rsidRDefault="008020DB" w:rsidP="00B127A1">
      <w:pPr>
        <w:spacing w:line="360" w:lineRule="auto"/>
        <w:ind w:left="567" w:right="567"/>
        <w:rPr>
          <w:rFonts w:ascii="Times New Roman" w:hAnsi="Times New Roman" w:cs="Times New Roman"/>
          <w:sz w:val="22"/>
          <w:szCs w:val="22"/>
        </w:rPr>
      </w:pPr>
    </w:p>
    <w:p w14:paraId="2E3151F4" w14:textId="64B980EB" w:rsidR="00B70F77" w:rsidRPr="00B127A1" w:rsidRDefault="00B70F77"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lastRenderedPageBreak/>
        <w:t>Materials and Methods</w:t>
      </w:r>
    </w:p>
    <w:p w14:paraId="3521C26D"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Study Design</w:t>
      </w:r>
    </w:p>
    <w:p w14:paraId="6B2C9FB2"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This experimental study will compare the effects of a Modified Progressive Copenhagen Adduction Exercise protocol and a Resistance-based Eccentric Hip Adduction protocol, each exercise with core training, on dynamic stability and agility among collegiate football players diagnosed with adductor-related groin strain.</w:t>
      </w:r>
    </w:p>
    <w:p w14:paraId="29F7502C"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Selection criteria</w:t>
      </w:r>
    </w:p>
    <w:p w14:paraId="0FCB8007" w14:textId="4CE1EFDC"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Fifty collegiate football players (aged 18–24 years) from institutions across Chennai, India, with a history of adductor-related groin symptoms, were recruited for the study. Participants were eligible if they were actively involved in football, presented with no concurrent musculoskeletal injuries, demonstrated a Hip and Groin Outcome Score (HAGOS) between 80 and 100, and were able to commit to the eight-week intervention period. Individuals with acute injuries, systemic diseases, recent abdominal surgeries, or those unable to comply with the training schedule were excluded.</w:t>
      </w:r>
    </w:p>
    <w:p w14:paraId="0CFB506E" w14:textId="77777777" w:rsidR="00B70F77" w:rsidRPr="00B127A1" w:rsidRDefault="00B70F77" w:rsidP="00B127A1">
      <w:pPr>
        <w:spacing w:line="360" w:lineRule="auto"/>
        <w:ind w:left="567" w:right="567"/>
        <w:rPr>
          <w:rFonts w:ascii="Times New Roman" w:hAnsi="Times New Roman" w:cs="Times New Roman"/>
          <w:sz w:val="22"/>
          <w:szCs w:val="22"/>
        </w:rPr>
      </w:pPr>
      <w:r w:rsidRPr="00B127A1">
        <w:rPr>
          <w:rFonts w:ascii="Times New Roman" w:hAnsi="Times New Roman" w:cs="Times New Roman"/>
          <w:sz w:val="22"/>
          <w:szCs w:val="22"/>
        </w:rPr>
        <w:t>Procedure, materials, and tools</w:t>
      </w:r>
    </w:p>
    <w:p w14:paraId="2049552B" w14:textId="1FD7487A" w:rsidR="00B70F77" w:rsidRPr="00B127A1" w:rsidRDefault="00FA317F"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 xml:space="preserve">Eligible participants were then randomly assigned to two groups: Group A received the Modified Progressive Copenhagen Adduction Exercise combined with core training (n = 25), while Group B received the resistance-based Eccentric Hip Adduction exercise combined with core training (n = 25). </w:t>
      </w:r>
      <w:r w:rsidR="00B70F77" w:rsidRPr="00B127A1">
        <w:rPr>
          <w:rFonts w:ascii="Times New Roman" w:hAnsi="Times New Roman" w:cs="Times New Roman"/>
          <w:sz w:val="22"/>
          <w:szCs w:val="22"/>
        </w:rPr>
        <w:t>Both groups completed an 8-week structured training programme, consisting of 45–60-minute sessions performed three times per week. Each session began with a 10-minute general warm-up</w:t>
      </w:r>
      <w:r w:rsidRPr="00B127A1">
        <w:rPr>
          <w:rFonts w:ascii="Times New Roman" w:hAnsi="Times New Roman" w:cs="Times New Roman"/>
          <w:sz w:val="22"/>
          <w:szCs w:val="22"/>
        </w:rPr>
        <w:t xml:space="preserve">, </w:t>
      </w:r>
      <w:r w:rsidR="00B70F77" w:rsidRPr="00B127A1">
        <w:rPr>
          <w:rFonts w:ascii="Times New Roman" w:hAnsi="Times New Roman" w:cs="Times New Roman"/>
          <w:sz w:val="22"/>
          <w:szCs w:val="22"/>
        </w:rPr>
        <w:t>proceeded with the group-specific intervention exercises, and concluded with a 5–10-minute cool-down incorporating low-intensity mobility drills and static stretching.</w:t>
      </w:r>
    </w:p>
    <w:p w14:paraId="385517DB" w14:textId="1E82FCF1"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b/>
          <w:bCs/>
          <w:sz w:val="22"/>
          <w:szCs w:val="22"/>
        </w:rPr>
        <w:t>Group A (MPCAE + Core Training)</w:t>
      </w:r>
      <w:r w:rsidRPr="00B127A1">
        <w:rPr>
          <w:rFonts w:ascii="Times New Roman" w:hAnsi="Times New Roman" w:cs="Times New Roman"/>
          <w:sz w:val="22"/>
          <w:szCs w:val="22"/>
        </w:rPr>
        <w:t xml:space="preserve"> performed the Modified Progressive Copenhagen Adduction Exercise across six levels, progressing from supported isometric contractions to full partner-assisted eccentric loading. This was combined with core-stability exercises, including Prone Bridging on Forearms and Toes (plank; 3 sets of 20–60 seconds), Side Bridging on the Elbow (side plank; 3 sets of 15–45 seconds per side), and Abdominal Sit-Ups (3 sets of 10–20 repetitions). MPCAE was prescribed as 3 sets of 6–12 repetitions per side, incorporating a 3–5-second eccentric phase, with 60–90 seconds rest between sets and 2–3 minutes between exercises. </w:t>
      </w:r>
      <w:r w:rsidRPr="00B127A1">
        <w:rPr>
          <w:rFonts w:ascii="Times New Roman" w:hAnsi="Times New Roman" w:cs="Times New Roman"/>
          <w:sz w:val="22"/>
          <w:szCs w:val="22"/>
          <w:vertAlign w:val="superscript"/>
        </w:rPr>
        <w:t>(</w:t>
      </w:r>
      <w:r w:rsidR="003B1294" w:rsidRPr="00B127A1">
        <w:rPr>
          <w:rFonts w:ascii="Times New Roman" w:hAnsi="Times New Roman" w:cs="Times New Roman"/>
          <w:sz w:val="22"/>
          <w:szCs w:val="22"/>
          <w:vertAlign w:val="superscript"/>
        </w:rPr>
        <w:t>27</w:t>
      </w:r>
      <w:r w:rsidRPr="00B127A1">
        <w:rPr>
          <w:rFonts w:ascii="Times New Roman" w:hAnsi="Times New Roman" w:cs="Times New Roman"/>
          <w:sz w:val="22"/>
          <w:szCs w:val="22"/>
          <w:vertAlign w:val="superscript"/>
        </w:rPr>
        <w:t>)</w:t>
      </w:r>
    </w:p>
    <w:p w14:paraId="3381001B"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b/>
          <w:bCs/>
          <w:sz w:val="22"/>
          <w:szCs w:val="22"/>
        </w:rPr>
        <w:t>Group B (Resistance-Based EHAD + Core Training)</w:t>
      </w:r>
      <w:r w:rsidRPr="00B127A1">
        <w:rPr>
          <w:rFonts w:ascii="Times New Roman" w:hAnsi="Times New Roman" w:cs="Times New Roman"/>
          <w:sz w:val="22"/>
          <w:szCs w:val="22"/>
        </w:rPr>
        <w:t xml:space="preserve"> performed Resistance Eccentric Hip Adduction (EHAD) using elastic bands or squeeze devices positioned at varying hip </w:t>
      </w:r>
      <w:r w:rsidRPr="00B127A1">
        <w:rPr>
          <w:rFonts w:ascii="Times New Roman" w:hAnsi="Times New Roman" w:cs="Times New Roman"/>
          <w:sz w:val="22"/>
          <w:szCs w:val="22"/>
        </w:rPr>
        <w:lastRenderedPageBreak/>
        <w:t>abduction angles to optimize torque. The same core-stability exercises as Group A were included (plank, side plank, abdominal sit-ups at identical set–rep prescriptions). EHAD was performed as 3 sets of 8–15 repetitions per side, with a 4–6-second eccentric lowering phase, and identical rest intervals to Group A.</w:t>
      </w:r>
    </w:p>
    <w:p w14:paraId="76EDD396"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Exercise volume, intensity, and weekly progression for both groups were adjusted according to pain tolerance, performance quality and physiotherapist monitoring, ensuring a pain-guided loading model and consistent progression across groups.</w:t>
      </w:r>
    </w:p>
    <w:p w14:paraId="1CDB2226"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Materials included adjustable benches/treatment tables for MPCAE, elastic resistance bands of varying tension for EHAD, yoga mats, stopwatches, and basic gym equipment for spacing and setup. Outcome measures—including the Triple Hop Test, Vertical Jump Test, and SEMO Agility Test—were assessed at baseline and after the 8-week intervention using standardized and validated protocols.</w:t>
      </w:r>
    </w:p>
    <w:p w14:paraId="1DB9BAA3"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Data collection</w:t>
      </w:r>
    </w:p>
    <w:p w14:paraId="7939C6D8"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Dynamic stability was assessed using the Triple Hop Test and the Y-Balance Test, while agility was evaluated using the SEMO Agility Test. All outcome measures were collected at baseline and again following the eight-week intervention period using standardized testing protocols.</w:t>
      </w:r>
    </w:p>
    <w:p w14:paraId="388E3F2F"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Statistical analysis</w:t>
      </w:r>
    </w:p>
    <w:p w14:paraId="441ACB83" w14:textId="77777777" w:rsidR="00B70F77" w:rsidRPr="00B127A1" w:rsidRDefault="00B70F77"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The participants' data were analyzed using SPSS software to ensure the accuracy and reliability of the results. To confirm homogeneity between Group A (MPCAE + Core Training) and Group B (Resistance-based EHAD + Core Training) at baseline, independent t-tests were conducted on all outcome measures prior to intervention (p &gt; 0.05). Shapiro-Wilk tests revealed non-normal data distribution (p &lt; 0.05), necessitating non-parametric analyses. Wilcoxon signed-rank tests were used to assess within-group pre-to-post intervention effects across Y-Balance Test, Triple Hop Test, and SEMO Agility Test outcomes (p &lt; 0.001 for all comparisons). Mann-Whitney U tests compared between-group differences in change scores, revealing superior improvements in Group A (p &lt; 0.05).</w:t>
      </w:r>
    </w:p>
    <w:p w14:paraId="76A0D742" w14:textId="77777777" w:rsidR="008020DB" w:rsidRPr="00B127A1" w:rsidRDefault="008020DB" w:rsidP="00B127A1">
      <w:pPr>
        <w:spacing w:line="360" w:lineRule="auto"/>
        <w:ind w:left="567" w:right="567"/>
        <w:rPr>
          <w:rFonts w:ascii="Times New Roman" w:hAnsi="Times New Roman" w:cs="Times New Roman"/>
          <w:b/>
          <w:bCs/>
          <w:sz w:val="22"/>
          <w:szCs w:val="22"/>
        </w:rPr>
      </w:pPr>
    </w:p>
    <w:p w14:paraId="24295A7F" w14:textId="77777777" w:rsidR="008020DB" w:rsidRPr="00B127A1" w:rsidRDefault="008020DB" w:rsidP="00B127A1">
      <w:pPr>
        <w:spacing w:line="360" w:lineRule="auto"/>
        <w:ind w:left="567" w:right="567"/>
        <w:rPr>
          <w:rFonts w:ascii="Times New Roman" w:hAnsi="Times New Roman" w:cs="Times New Roman"/>
          <w:b/>
          <w:bCs/>
          <w:sz w:val="22"/>
          <w:szCs w:val="22"/>
        </w:rPr>
      </w:pPr>
    </w:p>
    <w:p w14:paraId="3D820FC5" w14:textId="77777777" w:rsidR="008020DB" w:rsidRPr="00B127A1" w:rsidRDefault="008020DB" w:rsidP="00B127A1">
      <w:pPr>
        <w:spacing w:line="360" w:lineRule="auto"/>
        <w:ind w:left="567" w:right="567"/>
        <w:rPr>
          <w:rFonts w:ascii="Times New Roman" w:hAnsi="Times New Roman" w:cs="Times New Roman"/>
          <w:b/>
          <w:bCs/>
          <w:sz w:val="22"/>
          <w:szCs w:val="22"/>
        </w:rPr>
      </w:pPr>
    </w:p>
    <w:p w14:paraId="4136BAB5" w14:textId="77777777" w:rsidR="008020DB" w:rsidRPr="00B127A1" w:rsidRDefault="008020DB" w:rsidP="00B127A1">
      <w:pPr>
        <w:spacing w:line="360" w:lineRule="auto"/>
        <w:ind w:left="567" w:right="567"/>
        <w:rPr>
          <w:rFonts w:ascii="Times New Roman" w:hAnsi="Times New Roman" w:cs="Times New Roman"/>
          <w:b/>
          <w:bCs/>
          <w:sz w:val="22"/>
          <w:szCs w:val="22"/>
        </w:rPr>
      </w:pPr>
    </w:p>
    <w:p w14:paraId="50B009D3" w14:textId="41A3BA81" w:rsidR="00B70F77" w:rsidRPr="00B127A1" w:rsidRDefault="00B70F77"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lastRenderedPageBreak/>
        <w:t>Table 1.</w:t>
      </w:r>
      <w:r w:rsidRPr="00B127A1">
        <w:rPr>
          <w:rFonts w:ascii="Times New Roman" w:hAnsi="Times New Roman" w:cs="Times New Roman"/>
          <w:sz w:val="22"/>
          <w:szCs w:val="22"/>
        </w:rPr>
        <w:t xml:space="preserve"> </w:t>
      </w:r>
      <w:r w:rsidRPr="00B127A1">
        <w:rPr>
          <w:rFonts w:ascii="Times New Roman" w:hAnsi="Times New Roman" w:cs="Times New Roman"/>
          <w:b/>
          <w:bCs/>
          <w:sz w:val="22"/>
          <w:szCs w:val="22"/>
        </w:rPr>
        <w:t>Baseline Characteristics and Group Comparability (Mean ± SD)</w:t>
      </w:r>
    </w:p>
    <w:tbl>
      <w:tblPr>
        <w:tblW w:w="4693" w:type="pct"/>
        <w:tblInd w:w="559" w:type="dxa"/>
        <w:tblCellMar>
          <w:top w:w="15" w:type="dxa"/>
          <w:left w:w="15" w:type="dxa"/>
          <w:bottom w:w="15" w:type="dxa"/>
          <w:right w:w="15" w:type="dxa"/>
        </w:tblCellMar>
        <w:tblLook w:val="04A0" w:firstRow="1" w:lastRow="0" w:firstColumn="1" w:lastColumn="0" w:noHBand="0" w:noVBand="1"/>
      </w:tblPr>
      <w:tblGrid>
        <w:gridCol w:w="2505"/>
        <w:gridCol w:w="1940"/>
        <w:gridCol w:w="1953"/>
        <w:gridCol w:w="1002"/>
        <w:gridCol w:w="1057"/>
      </w:tblGrid>
      <w:tr w:rsidR="00B70F77" w:rsidRPr="00B127A1" w14:paraId="13883EE2" w14:textId="77777777" w:rsidTr="00785A87">
        <w:trPr>
          <w:trHeight w:val="516"/>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C75C151"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Characteristic</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C85F5DA"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A (n=25)</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A35733A"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B (n=25)</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925967"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t-value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7C9C62"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p-value</w:t>
            </w:r>
          </w:p>
        </w:tc>
      </w:tr>
      <w:tr w:rsidR="00B70F77" w:rsidRPr="00B127A1" w14:paraId="26C3F3F2" w14:textId="77777777" w:rsidTr="00785A87">
        <w:trPr>
          <w:trHeight w:val="533"/>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E1316D"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Age (years)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320DD3"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21.2 ± 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49086F"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21.4 ± 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D54751"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1DC2B9"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0.652</w:t>
            </w:r>
          </w:p>
        </w:tc>
      </w:tr>
      <w:tr w:rsidR="00B70F77" w:rsidRPr="00B127A1" w14:paraId="06A69AAE" w14:textId="77777777" w:rsidTr="00785A87">
        <w:trPr>
          <w:trHeight w:val="516"/>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72625B"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Height (cm)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3415ED"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172.5 ± 5.6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39E8E8"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173.1 ± 6.2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A8F4E2"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C74B7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0.738</w:t>
            </w:r>
          </w:p>
        </w:tc>
      </w:tr>
      <w:tr w:rsidR="00B70F77" w:rsidRPr="00B127A1" w14:paraId="5DB17C17" w14:textId="77777777" w:rsidTr="00785A87">
        <w:trPr>
          <w:trHeight w:val="533"/>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88AA27"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Weight (kg)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F462B3"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68.3 ± 7.2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7B4046"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69.1 ± 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5D8FB3"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5EB0CD"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0.684</w:t>
            </w:r>
          </w:p>
        </w:tc>
      </w:tr>
      <w:tr w:rsidR="00B70F77" w:rsidRPr="00B127A1" w14:paraId="0CC15F69" w14:textId="77777777" w:rsidTr="00785A87">
        <w:trPr>
          <w:trHeight w:val="516"/>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F27377"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Y-Balance Test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4498C2"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87.4 ± 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A5467B"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86.7 ± 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8DCE33"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2C5B8F"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0.082</w:t>
            </w:r>
          </w:p>
        </w:tc>
      </w:tr>
      <w:tr w:rsidR="00B70F77" w:rsidRPr="00B127A1" w14:paraId="5A7CF3CF" w14:textId="77777777" w:rsidTr="00785A87">
        <w:trPr>
          <w:trHeight w:val="533"/>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75E62E"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Triple Hop Test (m)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0C64E7"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5.60 ± 0.37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87C4DE"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5.92 ± 0.60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982F0B"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1.92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51B440"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0.061</w:t>
            </w:r>
          </w:p>
        </w:tc>
      </w:tr>
      <w:tr w:rsidR="00B70F77" w:rsidRPr="00B127A1" w14:paraId="5FBB89B9" w14:textId="77777777" w:rsidTr="00785A87">
        <w:trPr>
          <w:trHeight w:val="516"/>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23015"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SEMO Agility Test (s)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1B4DF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10.65 ± 0.30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8B3A1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10.52 ± 0.31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3FC4F8"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1.65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741E4E"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0.106</w:t>
            </w:r>
          </w:p>
        </w:tc>
      </w:tr>
    </w:tbl>
    <w:p w14:paraId="389F73EC" w14:textId="77777777" w:rsidR="00B70F77" w:rsidRPr="00B127A1" w:rsidRDefault="00B70F77" w:rsidP="00B127A1">
      <w:pPr>
        <w:spacing w:line="360" w:lineRule="auto"/>
        <w:ind w:left="567" w:right="567"/>
        <w:rPr>
          <w:rFonts w:ascii="Times New Roman" w:hAnsi="Times New Roman" w:cs="Times New Roman"/>
          <w:sz w:val="22"/>
          <w:szCs w:val="22"/>
        </w:rPr>
      </w:pPr>
    </w:p>
    <w:p w14:paraId="5D4E5CFC" w14:textId="77777777" w:rsidR="008020DB" w:rsidRPr="00B127A1" w:rsidRDefault="008020DB"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This table presents demographic characteristics and baseline outcome measures for both groups. Independent t-tests showed no significant differences (p &gt; 0.05), confirming successful randomization and baseline group equivalence prior to intervention.</w:t>
      </w:r>
    </w:p>
    <w:p w14:paraId="1A3769A0" w14:textId="00BFE8B0" w:rsidR="00B70F77" w:rsidRPr="00B127A1" w:rsidRDefault="00B70F77"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t>Table 2: Pre- and Post-Intervention Descriptive Statistics (Mean ± SD)</w:t>
      </w:r>
    </w:p>
    <w:tbl>
      <w:tblPr>
        <w:tblW w:w="4647" w:type="pct"/>
        <w:tblInd w:w="559" w:type="dxa"/>
        <w:tblCellMar>
          <w:top w:w="15" w:type="dxa"/>
          <w:left w:w="15" w:type="dxa"/>
          <w:bottom w:w="15" w:type="dxa"/>
          <w:right w:w="15" w:type="dxa"/>
        </w:tblCellMar>
        <w:tblLook w:val="04A0" w:firstRow="1" w:lastRow="0" w:firstColumn="1" w:lastColumn="0" w:noHBand="0" w:noVBand="1"/>
      </w:tblPr>
      <w:tblGrid>
        <w:gridCol w:w="2289"/>
        <w:gridCol w:w="1475"/>
        <w:gridCol w:w="1555"/>
        <w:gridCol w:w="1487"/>
        <w:gridCol w:w="1568"/>
      </w:tblGrid>
      <w:tr w:rsidR="00D729B1" w:rsidRPr="00B127A1" w14:paraId="73B530C3" w14:textId="77777777" w:rsidTr="00B127A1">
        <w:trPr>
          <w:trHeight w:val="550"/>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ADBDF43"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Outcome Measure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010F9C3"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A Pre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64A814F"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A Post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34F9AE0"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B Pre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FF561C9"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B Post</w:t>
            </w:r>
          </w:p>
        </w:tc>
      </w:tr>
      <w:tr w:rsidR="00D729B1" w:rsidRPr="00B127A1" w14:paraId="5B558ED6" w14:textId="77777777" w:rsidTr="00B127A1">
        <w:trPr>
          <w:trHeight w:val="567"/>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1C936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Y-Balance Test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4F2232"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87.4 ± 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DF9AD9"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95.3 ± 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4469FF"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86.7 ± 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A33C85"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89.0 ± 2.0</w:t>
            </w:r>
          </w:p>
        </w:tc>
      </w:tr>
      <w:tr w:rsidR="00D729B1" w:rsidRPr="00B127A1" w14:paraId="4A74BF7B" w14:textId="77777777" w:rsidTr="00B127A1">
        <w:trPr>
          <w:trHeight w:val="550"/>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557D62"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Triple Hop Test (m)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B80A0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5.60 ± 0.37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662223"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6.01 ± 0.36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385FF9"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5.92 ± 0.60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C6A35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6.12 ± 0.60</w:t>
            </w:r>
          </w:p>
        </w:tc>
      </w:tr>
      <w:tr w:rsidR="00D729B1" w:rsidRPr="00B127A1" w14:paraId="02DE5213" w14:textId="77777777" w:rsidTr="00B127A1">
        <w:trPr>
          <w:trHeight w:val="567"/>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E2B616"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SEMO Agility Test (s)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70531E"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10.65 ± 0.30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3179BE"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9.74 ± 0.36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1851AD"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10.52 ± 0.31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024A0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9.86 ± 0.35</w:t>
            </w:r>
          </w:p>
        </w:tc>
      </w:tr>
    </w:tbl>
    <w:p w14:paraId="25FF557B" w14:textId="77777777" w:rsidR="00B70F77" w:rsidRPr="00B127A1" w:rsidRDefault="00B70F77" w:rsidP="00B127A1">
      <w:pPr>
        <w:spacing w:line="360" w:lineRule="auto"/>
        <w:ind w:left="567" w:right="567"/>
        <w:rPr>
          <w:rFonts w:ascii="Times New Roman" w:hAnsi="Times New Roman" w:cs="Times New Roman"/>
          <w:sz w:val="22"/>
          <w:szCs w:val="22"/>
        </w:rPr>
      </w:pPr>
    </w:p>
    <w:p w14:paraId="6BE91E7E" w14:textId="77777777" w:rsidR="008020DB" w:rsidRPr="00B127A1" w:rsidRDefault="008020DB"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This table displays mean ± SD values for all outcome measures at baseline and after the 8-week intervention. Both groups improved in Y-Balance, Triple Hop, and SEMO Agility scores; however, Group A (MPCAE) demonstrated greater magnitude of improvement across all measures, indicating superior clinical effectiveness.</w:t>
      </w:r>
    </w:p>
    <w:p w14:paraId="5A271C59" w14:textId="4D2A5419" w:rsidR="00B70F77" w:rsidRPr="00B127A1" w:rsidRDefault="00B70F77"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lastRenderedPageBreak/>
        <w:t>Table 3: Within-Group Changes (Wilcoxon Signed-Rank Test)</w:t>
      </w:r>
    </w:p>
    <w:tbl>
      <w:tblPr>
        <w:tblW w:w="4702" w:type="pct"/>
        <w:tblInd w:w="567" w:type="dxa"/>
        <w:tblCellMar>
          <w:top w:w="15" w:type="dxa"/>
          <w:left w:w="15" w:type="dxa"/>
          <w:bottom w:w="15" w:type="dxa"/>
          <w:right w:w="15" w:type="dxa"/>
        </w:tblCellMar>
        <w:tblLook w:val="04A0" w:firstRow="1" w:lastRow="0" w:firstColumn="1" w:lastColumn="0" w:noHBand="0" w:noVBand="1"/>
      </w:tblPr>
      <w:tblGrid>
        <w:gridCol w:w="2132"/>
        <w:gridCol w:w="1220"/>
        <w:gridCol w:w="1199"/>
        <w:gridCol w:w="1232"/>
        <w:gridCol w:w="1210"/>
        <w:gridCol w:w="1480"/>
      </w:tblGrid>
      <w:tr w:rsidR="00B70F77" w:rsidRPr="00B127A1" w14:paraId="447EE3BA" w14:textId="77777777" w:rsidTr="00B127A1">
        <w:trPr>
          <w:trHeight w:val="956"/>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977695C"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Outcome Measure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11BEE5"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A 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4D5342D"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A 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23F8C26"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B 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AF05390"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B 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C29947"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Effect Size (r)</w:t>
            </w:r>
          </w:p>
        </w:tc>
      </w:tr>
      <w:tr w:rsidR="00B70F77" w:rsidRPr="00B127A1" w14:paraId="2AE5D585" w14:textId="77777777" w:rsidTr="00B127A1">
        <w:trPr>
          <w:trHeight w:val="574"/>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F3337B"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Y-Balance Test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AE3F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-4.38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D8D60B"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98573D"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-4.27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578092"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EC50D5"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0.62 (large)</w:t>
            </w:r>
          </w:p>
        </w:tc>
      </w:tr>
      <w:tr w:rsidR="00B70F77" w:rsidRPr="00B127A1" w14:paraId="0BD5A6B2" w14:textId="77777777" w:rsidTr="00B127A1">
        <w:trPr>
          <w:trHeight w:val="556"/>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D167F"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Triple Hop Test (m)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94F568"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-4.41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976682"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4446E5"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-4.32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60857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ED5B5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0.63 (large)</w:t>
            </w:r>
          </w:p>
        </w:tc>
      </w:tr>
      <w:tr w:rsidR="00B70F77" w:rsidRPr="00B127A1" w14:paraId="6466557F" w14:textId="77777777" w:rsidTr="00B127A1">
        <w:trPr>
          <w:trHeight w:val="956"/>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68B3D6"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SEMO Agility Test (s)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C7E2EC"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-4.45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594AD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9891B6"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-4.29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1AE622"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FB7938"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0.64 (large)</w:t>
            </w:r>
          </w:p>
        </w:tc>
      </w:tr>
    </w:tbl>
    <w:p w14:paraId="44EAE884" w14:textId="77777777" w:rsidR="00B70F77" w:rsidRPr="00B127A1" w:rsidRDefault="00B70F77" w:rsidP="00B127A1">
      <w:pPr>
        <w:spacing w:line="360" w:lineRule="auto"/>
        <w:ind w:left="567" w:right="567"/>
        <w:rPr>
          <w:rFonts w:ascii="Times New Roman" w:hAnsi="Times New Roman" w:cs="Times New Roman"/>
          <w:sz w:val="22"/>
          <w:szCs w:val="22"/>
        </w:rPr>
      </w:pPr>
    </w:p>
    <w:p w14:paraId="777D5011" w14:textId="4A61A6F3" w:rsidR="00B70F77" w:rsidRPr="00B127A1" w:rsidRDefault="008020DB"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This table reports within-group pre–post comparisons, showing highly significant improvements across all outcome measures in both groups (p &lt; 0.001; Z = −4.27 to −4.45) with large effect sizes (r = 0.62–0.64), confirming the effectiveness of each intervention prior to between-group analysis</w:t>
      </w:r>
      <w:r w:rsidR="00B70F77" w:rsidRPr="00B127A1">
        <w:rPr>
          <w:rFonts w:ascii="Times New Roman" w:hAnsi="Times New Roman" w:cs="Times New Roman"/>
          <w:sz w:val="22"/>
          <w:szCs w:val="22"/>
        </w:rPr>
        <w:t>.</w:t>
      </w:r>
    </w:p>
    <w:p w14:paraId="1D75A5AC" w14:textId="77777777" w:rsidR="00B70F77" w:rsidRPr="00B127A1" w:rsidRDefault="00B70F77"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t>Table 4: Between-Group Comparison of Change Scores (Mann-Whitney U Test)</w:t>
      </w:r>
    </w:p>
    <w:tbl>
      <w:tblPr>
        <w:tblW w:w="4682" w:type="pct"/>
        <w:tblInd w:w="567" w:type="dxa"/>
        <w:tblCellMar>
          <w:top w:w="15" w:type="dxa"/>
          <w:left w:w="15" w:type="dxa"/>
          <w:bottom w:w="15" w:type="dxa"/>
          <w:right w:w="15" w:type="dxa"/>
        </w:tblCellMar>
        <w:tblLook w:val="04A0" w:firstRow="1" w:lastRow="0" w:firstColumn="1" w:lastColumn="0" w:noHBand="0" w:noVBand="1"/>
      </w:tblPr>
      <w:tblGrid>
        <w:gridCol w:w="1906"/>
        <w:gridCol w:w="1805"/>
        <w:gridCol w:w="1815"/>
        <w:gridCol w:w="570"/>
        <w:gridCol w:w="916"/>
        <w:gridCol w:w="1425"/>
      </w:tblGrid>
      <w:tr w:rsidR="00B70F77" w:rsidRPr="00B127A1" w14:paraId="200472FC" w14:textId="77777777" w:rsidTr="00B127A1">
        <w:trPr>
          <w:trHeight w:val="940"/>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56176F3"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Outcome Measure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71D1C59"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A Δ (95% CI)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2D55487"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Group B Δ (95% CI)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D18A2DA"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U</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52C3694"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p-value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C3673C8"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Effect Size (r)</w:t>
            </w:r>
          </w:p>
        </w:tc>
      </w:tr>
      <w:tr w:rsidR="00B70F77" w:rsidRPr="00B127A1" w14:paraId="4D4E63C1" w14:textId="77777777" w:rsidTr="00B127A1">
        <w:trPr>
          <w:trHeight w:val="951"/>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BBF148"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Y-Balance Test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438C9"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+7.9 (6.8-9.0)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A36ADB"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+2.3 (1.7-2.9)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474CDF"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5CBD6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DB3A0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0.72 (large)</w:t>
            </w:r>
          </w:p>
        </w:tc>
      </w:tr>
      <w:tr w:rsidR="00B70F77" w:rsidRPr="00B127A1" w14:paraId="4EBAC240" w14:textId="77777777" w:rsidTr="00B127A1">
        <w:trPr>
          <w:trHeight w:val="940"/>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55BFF3"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Triple Hop Test (m)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B1A92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+0.41 (0.31-0.51)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B29815"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+0.20 (0.12-0.28)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81147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178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FB64A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518728"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0.48 (medium)</w:t>
            </w:r>
          </w:p>
        </w:tc>
      </w:tr>
      <w:tr w:rsidR="00B70F77" w:rsidRPr="00B127A1" w14:paraId="4F7F6C8E" w14:textId="77777777" w:rsidTr="00B127A1">
        <w:trPr>
          <w:trHeight w:val="940"/>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BAFE58"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SEMO Agility Test (s)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BC61CB"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-0.91 (-1.04--0.78)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006AE9"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-0.66 (-0.78--0.54)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122F08"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212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A31D33"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0.015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A3F876"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0.38 (medium)</w:t>
            </w:r>
          </w:p>
        </w:tc>
      </w:tr>
    </w:tbl>
    <w:p w14:paraId="66746B6F" w14:textId="77777777" w:rsidR="00B70F77" w:rsidRPr="00B127A1" w:rsidRDefault="00B70F77" w:rsidP="00B127A1">
      <w:pPr>
        <w:spacing w:line="360" w:lineRule="auto"/>
        <w:ind w:left="567" w:right="567"/>
        <w:rPr>
          <w:rFonts w:ascii="Times New Roman" w:hAnsi="Times New Roman" w:cs="Times New Roman"/>
          <w:sz w:val="22"/>
          <w:szCs w:val="22"/>
        </w:rPr>
      </w:pPr>
    </w:p>
    <w:p w14:paraId="19C327BB" w14:textId="77777777" w:rsidR="008020DB" w:rsidRPr="008020DB" w:rsidRDefault="008020DB" w:rsidP="00B127A1">
      <w:pPr>
        <w:spacing w:line="360" w:lineRule="auto"/>
        <w:ind w:left="567" w:right="567"/>
        <w:rPr>
          <w:rFonts w:ascii="Times New Roman" w:hAnsi="Times New Roman" w:cs="Times New Roman"/>
          <w:sz w:val="22"/>
          <w:szCs w:val="22"/>
        </w:rPr>
      </w:pPr>
      <w:r w:rsidRPr="008020DB">
        <w:rPr>
          <w:rFonts w:ascii="Times New Roman" w:hAnsi="Times New Roman" w:cs="Times New Roman"/>
          <w:sz w:val="22"/>
          <w:szCs w:val="22"/>
        </w:rPr>
        <w:t xml:space="preserve">This table presents the primary between-group analysis, demonstrating that Group A (MPCAE) achieved significantly greater improvements than Group B (EHAD) across all </w:t>
      </w:r>
      <w:r w:rsidRPr="008020DB">
        <w:rPr>
          <w:rFonts w:ascii="Times New Roman" w:hAnsi="Times New Roman" w:cs="Times New Roman"/>
          <w:sz w:val="22"/>
          <w:szCs w:val="22"/>
        </w:rPr>
        <w:lastRenderedPageBreak/>
        <w:t>outcome measures. Large to medium effect sizes (r = 0.38–0.72) indicate clinically meaningful differences in favour of the MPCAE protocol.</w:t>
      </w:r>
    </w:p>
    <w:p w14:paraId="12EDBA03" w14:textId="77777777" w:rsidR="00B70F77" w:rsidRPr="00B127A1" w:rsidRDefault="00B70F77"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t>Table 5: Normality Tests and Effect Size Summary (Shapiro-Wilk)</w:t>
      </w:r>
    </w:p>
    <w:tbl>
      <w:tblPr>
        <w:tblW w:w="4838" w:type="pct"/>
        <w:tblInd w:w="567" w:type="dxa"/>
        <w:tblCellMar>
          <w:top w:w="15" w:type="dxa"/>
          <w:left w:w="15" w:type="dxa"/>
          <w:bottom w:w="15" w:type="dxa"/>
          <w:right w:w="15" w:type="dxa"/>
        </w:tblCellMar>
        <w:tblLook w:val="04A0" w:firstRow="1" w:lastRow="0" w:firstColumn="1" w:lastColumn="0" w:noHBand="0" w:noVBand="1"/>
      </w:tblPr>
      <w:tblGrid>
        <w:gridCol w:w="1896"/>
        <w:gridCol w:w="1302"/>
        <w:gridCol w:w="1302"/>
        <w:gridCol w:w="2297"/>
        <w:gridCol w:w="1921"/>
      </w:tblGrid>
      <w:tr w:rsidR="00B70F77" w:rsidRPr="00B127A1" w14:paraId="05CE5A2C" w14:textId="77777777" w:rsidTr="00B127A1">
        <w:trPr>
          <w:trHeight w:val="933"/>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505CCA5"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Outcome Measure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A88C1B1"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Pre W (p)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7B5E6B"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Post W (p)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6E214C7"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Primary Analysis Used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A43CAF8" w14:textId="77777777" w:rsidR="00B70F77" w:rsidRPr="00B127A1" w:rsidRDefault="00B70F77" w:rsidP="00B127A1">
            <w:pPr>
              <w:spacing w:line="360" w:lineRule="auto"/>
              <w:rPr>
                <w:rFonts w:ascii="Times New Roman" w:hAnsi="Times New Roman" w:cs="Times New Roman"/>
                <w:b/>
                <w:bCs/>
                <w:sz w:val="22"/>
                <w:szCs w:val="22"/>
              </w:rPr>
            </w:pPr>
            <w:r w:rsidRPr="00B127A1">
              <w:rPr>
                <w:rFonts w:ascii="Times New Roman" w:hAnsi="Times New Roman" w:cs="Times New Roman"/>
                <w:b/>
                <w:bCs/>
                <w:sz w:val="22"/>
                <w:szCs w:val="22"/>
              </w:rPr>
              <w:t>Overall Effect Size</w:t>
            </w:r>
          </w:p>
        </w:tc>
      </w:tr>
      <w:tr w:rsidR="00B70F77" w:rsidRPr="00B127A1" w14:paraId="5D3E5469" w14:textId="77777777" w:rsidTr="00B127A1">
        <w:trPr>
          <w:trHeight w:val="943"/>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6607CD"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Y-Balance Test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4617B1"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0.92 (&lt;0.01)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07C16F"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0.89 (&lt;0.01)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949AE2"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Non-parametric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06CEF4"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Large (r=0.72)</w:t>
            </w:r>
          </w:p>
        </w:tc>
      </w:tr>
      <w:tr w:rsidR="00B70F77" w:rsidRPr="00B127A1" w14:paraId="42C1ED58" w14:textId="77777777" w:rsidTr="00B127A1">
        <w:trPr>
          <w:trHeight w:val="933"/>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391DF5"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Triple Hop Test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3F035E"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0.91 (&lt;0.01)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70EBF1"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0.90 (&lt;0.01)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183846"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Non-parametric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337FFE"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Medium (r=0.48)</w:t>
            </w:r>
          </w:p>
        </w:tc>
      </w:tr>
      <w:tr w:rsidR="00B70F77" w:rsidRPr="00B127A1" w14:paraId="6D237E75" w14:textId="77777777" w:rsidTr="00B127A1">
        <w:trPr>
          <w:trHeight w:val="933"/>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BB1A0B"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SEMO Agility Test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E2E001"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0.93 (&lt;0.01)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B84F31"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0.92 (&lt;0.01)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C2F9EC"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Non-parametric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FA949A" w14:textId="77777777" w:rsidR="00B70F77" w:rsidRPr="00B127A1" w:rsidRDefault="00B70F77" w:rsidP="00B127A1">
            <w:pPr>
              <w:spacing w:line="360" w:lineRule="auto"/>
              <w:rPr>
                <w:rFonts w:ascii="Times New Roman" w:hAnsi="Times New Roman" w:cs="Times New Roman"/>
                <w:sz w:val="22"/>
                <w:szCs w:val="22"/>
              </w:rPr>
            </w:pPr>
            <w:r w:rsidRPr="00B127A1">
              <w:rPr>
                <w:rFonts w:ascii="Times New Roman" w:hAnsi="Times New Roman" w:cs="Times New Roman"/>
                <w:sz w:val="22"/>
                <w:szCs w:val="22"/>
              </w:rPr>
              <w:t>Medium (r=0.38)</w:t>
            </w:r>
          </w:p>
        </w:tc>
      </w:tr>
    </w:tbl>
    <w:p w14:paraId="05B73649" w14:textId="77777777" w:rsidR="00B70F77" w:rsidRPr="00B127A1" w:rsidRDefault="00B70F77" w:rsidP="00B127A1">
      <w:pPr>
        <w:spacing w:line="360" w:lineRule="auto"/>
        <w:ind w:left="567" w:right="567"/>
        <w:rPr>
          <w:rFonts w:ascii="Times New Roman" w:hAnsi="Times New Roman" w:cs="Times New Roman"/>
          <w:sz w:val="22"/>
          <w:szCs w:val="22"/>
        </w:rPr>
      </w:pPr>
    </w:p>
    <w:p w14:paraId="3C9B7762" w14:textId="77777777" w:rsidR="008020DB" w:rsidRPr="00B127A1" w:rsidRDefault="008020DB" w:rsidP="00B127A1">
      <w:pPr>
        <w:spacing w:line="360" w:lineRule="auto"/>
        <w:ind w:left="567" w:right="567"/>
        <w:jc w:val="both"/>
        <w:rPr>
          <w:rFonts w:ascii="Times New Roman" w:hAnsi="Times New Roman" w:cs="Times New Roman"/>
          <w:sz w:val="22"/>
          <w:szCs w:val="22"/>
        </w:rPr>
      </w:pPr>
      <w:r w:rsidRPr="00B127A1">
        <w:rPr>
          <w:rFonts w:ascii="Times New Roman" w:hAnsi="Times New Roman" w:cs="Times New Roman"/>
          <w:sz w:val="22"/>
          <w:szCs w:val="22"/>
        </w:rPr>
        <w:t>This table justifies the use of non-parametric statistical methods, as Shapiro–Wilk tests (W = 0.89–0.93; all p &lt; 0.01) confirmed non-normal data distribution. Accordingly, Wilcoxon and Mann–Whitney U tests were applied, with effect size analysis highlighting a large effect of MPCAE (r = 0.72) on dynamic stability, the primary outcome of the study.</w:t>
      </w:r>
    </w:p>
    <w:p w14:paraId="0DA82951" w14:textId="2BB43D2B" w:rsidR="005966EA" w:rsidRPr="00B127A1" w:rsidRDefault="005966EA" w:rsidP="00B127A1">
      <w:pPr>
        <w:spacing w:line="360" w:lineRule="auto"/>
        <w:ind w:left="567" w:right="567"/>
        <w:jc w:val="both"/>
        <w:rPr>
          <w:rFonts w:ascii="Times New Roman" w:hAnsi="Times New Roman" w:cs="Times New Roman"/>
          <w:b/>
          <w:bCs/>
          <w:sz w:val="22"/>
          <w:szCs w:val="22"/>
        </w:rPr>
      </w:pPr>
      <w:r w:rsidRPr="00B127A1">
        <w:rPr>
          <w:rFonts w:ascii="Times New Roman" w:hAnsi="Times New Roman" w:cs="Times New Roman"/>
          <w:b/>
          <w:bCs/>
          <w:sz w:val="22"/>
          <w:szCs w:val="22"/>
        </w:rPr>
        <w:t>Observation and Results:</w:t>
      </w:r>
    </w:p>
    <w:p w14:paraId="475223CE" w14:textId="77777777" w:rsidR="00A379AD" w:rsidRPr="00A379AD" w:rsidRDefault="00A379AD" w:rsidP="00B127A1">
      <w:pPr>
        <w:spacing w:line="360" w:lineRule="auto"/>
        <w:ind w:left="567" w:right="567"/>
        <w:jc w:val="both"/>
        <w:rPr>
          <w:rFonts w:ascii="Times New Roman" w:hAnsi="Times New Roman" w:cs="Times New Roman"/>
          <w:sz w:val="22"/>
          <w:szCs w:val="22"/>
        </w:rPr>
      </w:pPr>
      <w:r w:rsidRPr="00A379AD">
        <w:rPr>
          <w:rFonts w:ascii="Times New Roman" w:hAnsi="Times New Roman" w:cs="Times New Roman"/>
          <w:sz w:val="22"/>
          <w:szCs w:val="22"/>
        </w:rPr>
        <w:t>Both groups showed significant pre- to post-intervention improvements in Y-Balance, Triple Hop, and SEMO Agility scores (p &lt; 0.001), indicating that adductor strengthening combined with core training is effective for collegiate football players with adductor-related groin strain. However, the MPCAE group demonstrated superior gains, with greater improvements in Y-Balance, Triple Hop distance, and SEMO Agility time, along with medium-to-large effect sizes (r up to 0.72), suggesting that the Modified Progressive Copenhagen Adduction protocol yields more pronounced enhancements in dynamic stability and agility than resistance-based eccentric hip adduction when combined with core training.</w:t>
      </w:r>
    </w:p>
    <w:p w14:paraId="6D4966BA" w14:textId="77777777" w:rsidR="00507EF8" w:rsidRPr="00B127A1" w:rsidRDefault="00507EF8"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t xml:space="preserve">Discussion </w:t>
      </w:r>
    </w:p>
    <w:p w14:paraId="45D77B57" w14:textId="77777777" w:rsidR="008020DB" w:rsidRPr="008020DB" w:rsidRDefault="008020DB" w:rsidP="00B127A1">
      <w:pPr>
        <w:spacing w:line="360" w:lineRule="auto"/>
        <w:ind w:left="567" w:right="567"/>
        <w:jc w:val="both"/>
        <w:rPr>
          <w:rFonts w:ascii="Times New Roman" w:hAnsi="Times New Roman" w:cs="Times New Roman"/>
          <w:sz w:val="22"/>
          <w:szCs w:val="22"/>
        </w:rPr>
      </w:pPr>
      <w:r w:rsidRPr="008020DB">
        <w:rPr>
          <w:rFonts w:ascii="Times New Roman" w:hAnsi="Times New Roman" w:cs="Times New Roman"/>
          <w:sz w:val="22"/>
          <w:szCs w:val="22"/>
        </w:rPr>
        <w:t xml:space="preserve">This study compared an eight-week Modified Progressive Copenhagen Adduction Exercise (MPCAE) programme combined with core training with resistance-based </w:t>
      </w:r>
      <w:r w:rsidRPr="008020DB">
        <w:rPr>
          <w:rFonts w:ascii="Times New Roman" w:hAnsi="Times New Roman" w:cs="Times New Roman"/>
          <w:sz w:val="22"/>
          <w:szCs w:val="22"/>
        </w:rPr>
        <w:lastRenderedPageBreak/>
        <w:t>eccentric hip adduction (EHAD) plus core training in collegiate football players with adductor-related groin strain. Both groups demonstrated significant improvements in dynamic stability (Y-Balance Test and Triple Hop Test) and agility (SEMO Agility Test), confirming that targeted adductor strengthening in combination with core training effectively enhances functional performance in this population. However, the MPCAE group showed consistently greater improvements across all outcome measures.</w:t>
      </w:r>
    </w:p>
    <w:p w14:paraId="76A3984A" w14:textId="77777777" w:rsidR="008020DB" w:rsidRPr="008020DB" w:rsidRDefault="008020DB" w:rsidP="00B127A1">
      <w:pPr>
        <w:spacing w:line="360" w:lineRule="auto"/>
        <w:ind w:left="567" w:right="567"/>
        <w:jc w:val="both"/>
        <w:rPr>
          <w:rFonts w:ascii="Times New Roman" w:hAnsi="Times New Roman" w:cs="Times New Roman"/>
          <w:sz w:val="22"/>
          <w:szCs w:val="22"/>
        </w:rPr>
      </w:pPr>
      <w:r w:rsidRPr="008020DB">
        <w:rPr>
          <w:rFonts w:ascii="Times New Roman" w:hAnsi="Times New Roman" w:cs="Times New Roman"/>
          <w:sz w:val="22"/>
          <w:szCs w:val="22"/>
        </w:rPr>
        <w:t>These superior outcomes are in agreement with earlier studies reporting that Copenhagen-based adductor exercises substantially increase eccentric adductor strength and improve the adductor–abductor strength ratio, which are recognised modifiable risk factors for groin injury. The present findings extend existing evidence by demonstrating clear improvements in balance, power, and agility among symptomatic collegiate football players. As the core training component was identical in both groups, the additional benefits observed in the MPCAE group may be attributed to its higher-intensity eccentric loading in long-lever, sport-specific positions that more closely replicate the cutting and rapid directional changes required in football. In comparison, elastic-band-based EHAD, while effective for strengthening, may not sufficiently replicate these sport-specific demands, potentially explaining the smaller functional gains in Group B.</w:t>
      </w:r>
    </w:p>
    <w:p w14:paraId="3A52E3F4" w14:textId="6D3A6472" w:rsidR="00507EF8" w:rsidRPr="00B127A1" w:rsidRDefault="008020DB" w:rsidP="00B127A1">
      <w:pPr>
        <w:spacing w:line="360" w:lineRule="auto"/>
        <w:ind w:left="567" w:right="567"/>
        <w:jc w:val="both"/>
        <w:rPr>
          <w:rFonts w:ascii="Times New Roman" w:hAnsi="Times New Roman" w:cs="Times New Roman"/>
          <w:sz w:val="22"/>
          <w:szCs w:val="22"/>
        </w:rPr>
      </w:pPr>
      <w:r w:rsidRPr="008020DB">
        <w:rPr>
          <w:rFonts w:ascii="Times New Roman" w:hAnsi="Times New Roman" w:cs="Times New Roman"/>
          <w:sz w:val="22"/>
          <w:szCs w:val="22"/>
        </w:rPr>
        <w:t>The use of validated functional outcome measures such as the Y-Balance Test, Triple Hop Test, and SEMO Agility Test enhances the clinical relevance of this study, as these tests assess dynamic stability, neuromuscular control, limb symmetry, and multidirectional agility that are directly related to return-to-sport decision-making in football. Nevertheless, the study has certain limitations, including the inclusion of only male collegiate players from a single geographical region, a relatively short intervention period of eight weeks, and the absence of direct hip strength assessment using objective tools such as dynamometry. Future studies should include a more diverse participant population, longer follow-up periods with prospective injury surveillance, and direct strength measurements to better understand the underlying mechanisms and to determine the long-term impact on groin injury incidence</w:t>
      </w:r>
      <w:r w:rsidRPr="00B127A1">
        <w:rPr>
          <w:rFonts w:ascii="Times New Roman" w:hAnsi="Times New Roman" w:cs="Times New Roman"/>
          <w:sz w:val="22"/>
          <w:szCs w:val="22"/>
        </w:rPr>
        <w:t xml:space="preserve"> and health</w:t>
      </w:r>
      <w:r w:rsidR="00507EF8" w:rsidRPr="00B127A1">
        <w:rPr>
          <w:rFonts w:ascii="Times New Roman" w:hAnsi="Times New Roman" w:cs="Times New Roman"/>
          <w:sz w:val="22"/>
          <w:szCs w:val="22"/>
        </w:rPr>
        <w:t>.</w:t>
      </w:r>
    </w:p>
    <w:p w14:paraId="08120D60" w14:textId="77777777" w:rsidR="00507EF8" w:rsidRPr="00B127A1" w:rsidRDefault="00507EF8" w:rsidP="00B127A1">
      <w:pPr>
        <w:spacing w:line="360" w:lineRule="auto"/>
        <w:ind w:left="567" w:right="567"/>
        <w:rPr>
          <w:rFonts w:ascii="Times New Roman" w:hAnsi="Times New Roman" w:cs="Times New Roman"/>
          <w:b/>
          <w:bCs/>
          <w:sz w:val="22"/>
          <w:szCs w:val="22"/>
        </w:rPr>
      </w:pPr>
      <w:r w:rsidRPr="00B127A1">
        <w:rPr>
          <w:rFonts w:ascii="Times New Roman" w:hAnsi="Times New Roman" w:cs="Times New Roman"/>
          <w:b/>
          <w:bCs/>
          <w:sz w:val="22"/>
          <w:szCs w:val="22"/>
        </w:rPr>
        <w:t>Conclusion</w:t>
      </w:r>
    </w:p>
    <w:p w14:paraId="43A99E31" w14:textId="14ADE407" w:rsidR="009E10D7" w:rsidRPr="00B127A1" w:rsidRDefault="00A379AD" w:rsidP="00B127A1">
      <w:pPr>
        <w:spacing w:line="360" w:lineRule="auto"/>
        <w:ind w:left="567" w:right="567"/>
        <w:jc w:val="both"/>
        <w:rPr>
          <w:rFonts w:ascii="Times New Roman" w:hAnsi="Times New Roman" w:cs="Times New Roman"/>
          <w:sz w:val="22"/>
          <w:szCs w:val="22"/>
        </w:rPr>
      </w:pPr>
      <w:r w:rsidRPr="00A379AD">
        <w:rPr>
          <w:rFonts w:ascii="Times New Roman" w:hAnsi="Times New Roman" w:cs="Times New Roman"/>
          <w:sz w:val="22"/>
          <w:szCs w:val="22"/>
        </w:rPr>
        <w:t xml:space="preserve">Both interventions effectively improved dynamic stability and agility in collegiate football players with groin strain; however, the MPCAE combined with core training produced significantly greater improvements in Y-Balance, Triple Hop, and SEMO Agility outcomes, with medium to large effect sizes. These findings support the inclusion of progressive Copenhagen adductor exercises with structured core training in rehabilitation </w:t>
      </w:r>
      <w:r w:rsidRPr="00A379AD">
        <w:rPr>
          <w:rFonts w:ascii="Times New Roman" w:hAnsi="Times New Roman" w:cs="Times New Roman"/>
          <w:sz w:val="22"/>
          <w:szCs w:val="22"/>
        </w:rPr>
        <w:lastRenderedPageBreak/>
        <w:t>and performance programmes for football players with adductor-related groin pain, while highlighting the need for longer-term studies to confirm sustained injury-risk reduction.</w:t>
      </w:r>
    </w:p>
    <w:sectPr w:rsidR="009E10D7" w:rsidRPr="00B12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799"/>
    <w:multiLevelType w:val="multilevel"/>
    <w:tmpl w:val="EBF0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B4977"/>
    <w:multiLevelType w:val="hybridMultilevel"/>
    <w:tmpl w:val="70B0AF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3507570">
    <w:abstractNumId w:val="0"/>
  </w:num>
  <w:num w:numId="2" w16cid:durableId="630139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D7"/>
    <w:rsid w:val="00063594"/>
    <w:rsid w:val="000A323A"/>
    <w:rsid w:val="0032059F"/>
    <w:rsid w:val="003B1294"/>
    <w:rsid w:val="003C1D21"/>
    <w:rsid w:val="00437EE2"/>
    <w:rsid w:val="0044081F"/>
    <w:rsid w:val="00457226"/>
    <w:rsid w:val="00507EF8"/>
    <w:rsid w:val="005925FD"/>
    <w:rsid w:val="005966EA"/>
    <w:rsid w:val="005C2F3E"/>
    <w:rsid w:val="00713E4F"/>
    <w:rsid w:val="0071454A"/>
    <w:rsid w:val="00785A87"/>
    <w:rsid w:val="008020DB"/>
    <w:rsid w:val="008C38D3"/>
    <w:rsid w:val="009175AA"/>
    <w:rsid w:val="00964FC8"/>
    <w:rsid w:val="00984769"/>
    <w:rsid w:val="009E10D7"/>
    <w:rsid w:val="00A379AD"/>
    <w:rsid w:val="00B127A1"/>
    <w:rsid w:val="00B70F77"/>
    <w:rsid w:val="00B76A74"/>
    <w:rsid w:val="00B90E32"/>
    <w:rsid w:val="00C573E7"/>
    <w:rsid w:val="00D729B1"/>
    <w:rsid w:val="00D73997"/>
    <w:rsid w:val="00DE49AE"/>
    <w:rsid w:val="00F12024"/>
    <w:rsid w:val="00FA317F"/>
    <w:rsid w:val="00FF47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9D1B"/>
  <w15:chartTrackingRefBased/>
  <w15:docId w15:val="{1256DFB2-54F0-4954-98BC-D97674AE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0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0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0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0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0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0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0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0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0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0D7"/>
    <w:rPr>
      <w:rFonts w:eastAsiaTheme="majorEastAsia" w:cstheme="majorBidi"/>
      <w:color w:val="272727" w:themeColor="text1" w:themeTint="D8"/>
    </w:rPr>
  </w:style>
  <w:style w:type="paragraph" w:styleId="Title">
    <w:name w:val="Title"/>
    <w:basedOn w:val="Normal"/>
    <w:next w:val="Normal"/>
    <w:link w:val="TitleChar"/>
    <w:uiPriority w:val="10"/>
    <w:qFormat/>
    <w:rsid w:val="009E1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0D7"/>
    <w:pPr>
      <w:spacing w:before="160"/>
      <w:jc w:val="center"/>
    </w:pPr>
    <w:rPr>
      <w:i/>
      <w:iCs/>
      <w:color w:val="404040" w:themeColor="text1" w:themeTint="BF"/>
    </w:rPr>
  </w:style>
  <w:style w:type="character" w:customStyle="1" w:styleId="QuoteChar">
    <w:name w:val="Quote Char"/>
    <w:basedOn w:val="DefaultParagraphFont"/>
    <w:link w:val="Quote"/>
    <w:uiPriority w:val="29"/>
    <w:rsid w:val="009E10D7"/>
    <w:rPr>
      <w:i/>
      <w:iCs/>
      <w:color w:val="404040" w:themeColor="text1" w:themeTint="BF"/>
    </w:rPr>
  </w:style>
  <w:style w:type="paragraph" w:styleId="ListParagraph">
    <w:name w:val="List Paragraph"/>
    <w:basedOn w:val="Normal"/>
    <w:uiPriority w:val="34"/>
    <w:qFormat/>
    <w:rsid w:val="009E10D7"/>
    <w:pPr>
      <w:ind w:left="720"/>
      <w:contextualSpacing/>
    </w:pPr>
  </w:style>
  <w:style w:type="character" w:styleId="IntenseEmphasis">
    <w:name w:val="Intense Emphasis"/>
    <w:basedOn w:val="DefaultParagraphFont"/>
    <w:uiPriority w:val="21"/>
    <w:qFormat/>
    <w:rsid w:val="009E10D7"/>
    <w:rPr>
      <w:i/>
      <w:iCs/>
      <w:color w:val="2F5496" w:themeColor="accent1" w:themeShade="BF"/>
    </w:rPr>
  </w:style>
  <w:style w:type="paragraph" w:styleId="IntenseQuote">
    <w:name w:val="Intense Quote"/>
    <w:basedOn w:val="Normal"/>
    <w:next w:val="Normal"/>
    <w:link w:val="IntenseQuoteChar"/>
    <w:uiPriority w:val="30"/>
    <w:qFormat/>
    <w:rsid w:val="009E1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0D7"/>
    <w:rPr>
      <w:i/>
      <w:iCs/>
      <w:color w:val="2F5496" w:themeColor="accent1" w:themeShade="BF"/>
    </w:rPr>
  </w:style>
  <w:style w:type="character" w:styleId="IntenseReference">
    <w:name w:val="Intense Reference"/>
    <w:basedOn w:val="DefaultParagraphFont"/>
    <w:uiPriority w:val="32"/>
    <w:qFormat/>
    <w:rsid w:val="009E10D7"/>
    <w:rPr>
      <w:b/>
      <w:bCs/>
      <w:smallCaps/>
      <w:color w:val="2F5496" w:themeColor="accent1" w:themeShade="BF"/>
      <w:spacing w:val="5"/>
    </w:rPr>
  </w:style>
  <w:style w:type="paragraph" w:customStyle="1" w:styleId="selectable-text">
    <w:name w:val="selectable-text"/>
    <w:basedOn w:val="Normal"/>
    <w:rsid w:val="00D729B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selectable-text1">
    <w:name w:val="selectable-text1"/>
    <w:basedOn w:val="DefaultParagraphFont"/>
    <w:rsid w:val="00D729B1"/>
  </w:style>
  <w:style w:type="character" w:styleId="Hyperlink">
    <w:name w:val="Hyperlink"/>
    <w:basedOn w:val="DefaultParagraphFont"/>
    <w:uiPriority w:val="99"/>
    <w:unhideWhenUsed/>
    <w:rsid w:val="005925FD"/>
    <w:rPr>
      <w:color w:val="0563C1" w:themeColor="hyperlink"/>
      <w:u w:val="single"/>
    </w:rPr>
  </w:style>
  <w:style w:type="character" w:styleId="UnresolvedMention">
    <w:name w:val="Unresolved Mention"/>
    <w:basedOn w:val="DefaultParagraphFont"/>
    <w:uiPriority w:val="99"/>
    <w:semiHidden/>
    <w:unhideWhenUsed/>
    <w:rsid w:val="00592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2133</TotalTime>
  <Pages>12</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Mohideen</dc:creator>
  <cp:keywords/>
  <dc:description/>
  <cp:lastModifiedBy>Kaja Mohideen</cp:lastModifiedBy>
  <cp:revision>10</cp:revision>
  <dcterms:created xsi:type="dcterms:W3CDTF">2025-12-15T16:41:00Z</dcterms:created>
  <dcterms:modified xsi:type="dcterms:W3CDTF">2025-12-23T15:18:00Z</dcterms:modified>
</cp:coreProperties>
</file>