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CC07" w14:textId="77777777" w:rsidR="00927967" w:rsidRPr="005323D3" w:rsidRDefault="00927967" w:rsidP="000D0C90">
      <w:pPr>
        <w:spacing w:line="360" w:lineRule="auto"/>
        <w:jc w:val="both"/>
        <w:rPr>
          <w:rFonts w:ascii="Times New Roman" w:hAnsi="Times New Roman" w:cs="Times New Roman"/>
          <w:b/>
          <w:bCs/>
          <w:sz w:val="22"/>
          <w:szCs w:val="22"/>
        </w:rPr>
      </w:pPr>
    </w:p>
    <w:p w14:paraId="062EC35E" w14:textId="1C6394C2" w:rsidR="00CD1DFF" w:rsidRPr="005323D3" w:rsidRDefault="00D62CAE"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b/>
          <w:bCs/>
          <w:sz w:val="22"/>
          <w:szCs w:val="22"/>
        </w:rPr>
        <w:t>Introduction</w:t>
      </w:r>
      <w:r w:rsidR="00C071B8" w:rsidRPr="005323D3">
        <w:rPr>
          <w:rFonts w:ascii="Times New Roman" w:hAnsi="Times New Roman" w:cs="Times New Roman"/>
          <w:b/>
          <w:bCs/>
          <w:sz w:val="22"/>
          <w:szCs w:val="22"/>
        </w:rPr>
        <w:t xml:space="preserve">: </w:t>
      </w:r>
      <w:r w:rsidR="00CD1DFF" w:rsidRPr="005323D3">
        <w:rPr>
          <w:rFonts w:ascii="Times New Roman" w:hAnsi="Times New Roman" w:cs="Times New Roman"/>
          <w:sz w:val="22"/>
          <w:szCs w:val="22"/>
        </w:rPr>
        <w:t>Tissue specimens obtained through biopsy or surgery are routinely evaluated by pathologists the following day. However, when immediate pathological information is required during surgery, intraoperative consultation using frozen section (FS) analysis becomes necessary</w:t>
      </w:r>
      <w:r w:rsidR="00CD1DFF" w:rsidRPr="00270281">
        <w:rPr>
          <w:rFonts w:ascii="Times New Roman" w:hAnsi="Times New Roman" w:cs="Times New Roman"/>
          <w:sz w:val="22"/>
          <w:szCs w:val="22"/>
          <w:vertAlign w:val="superscript"/>
        </w:rPr>
        <w:t>1</w:t>
      </w:r>
      <w:r w:rsidR="00B93C17">
        <w:rPr>
          <w:rFonts w:ascii="Times New Roman" w:hAnsi="Times New Roman" w:cs="Times New Roman"/>
          <w:sz w:val="22"/>
          <w:szCs w:val="22"/>
        </w:rPr>
        <w:t>.</w:t>
      </w:r>
      <w:r w:rsidR="00CD1DFF" w:rsidRPr="005323D3">
        <w:rPr>
          <w:rFonts w:ascii="Times New Roman" w:hAnsi="Times New Roman" w:cs="Times New Roman"/>
          <w:sz w:val="22"/>
          <w:szCs w:val="22"/>
        </w:rPr>
        <w:t>This technique involves rapidly freezing tissue samples to enable thin sectioning while maintaining tissue architecture. First explored by Raspail in 1825 and refined by Stilling in 1842, this method offers significant advantages over traditional paraffin processing, including faster turnaround time with minimal tissue alteration</w:t>
      </w:r>
      <w:r w:rsidR="00232EAE">
        <w:rPr>
          <w:rFonts w:ascii="Times New Roman" w:hAnsi="Times New Roman" w:cs="Times New Roman"/>
          <w:sz w:val="22"/>
          <w:szCs w:val="22"/>
        </w:rPr>
        <w:t>.</w:t>
      </w:r>
      <w:r w:rsidR="00CD1DFF" w:rsidRPr="00270281">
        <w:rPr>
          <w:rFonts w:ascii="Times New Roman" w:hAnsi="Times New Roman" w:cs="Times New Roman"/>
          <w:sz w:val="22"/>
          <w:szCs w:val="22"/>
          <w:vertAlign w:val="superscript"/>
        </w:rPr>
        <w:t>2</w:t>
      </w:r>
    </w:p>
    <w:p w14:paraId="4B099AC8" w14:textId="2DE0C5EE"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 xml:space="preserve">Frozen sections serve multiple critical purposes: distinguishing benign from malignant lesions, detecting lymph node metastasis, and assessing surgical margins for complete tumor </w:t>
      </w:r>
      <w:r w:rsidR="003E20DC" w:rsidRPr="005323D3">
        <w:rPr>
          <w:rFonts w:ascii="Times New Roman" w:hAnsi="Times New Roman" w:cs="Times New Roman"/>
          <w:sz w:val="22"/>
          <w:szCs w:val="22"/>
        </w:rPr>
        <w:t>resection</w:t>
      </w:r>
      <w:r w:rsidR="00232EAE">
        <w:rPr>
          <w:rFonts w:ascii="Times New Roman" w:hAnsi="Times New Roman" w:cs="Times New Roman"/>
          <w:sz w:val="22"/>
          <w:szCs w:val="22"/>
        </w:rPr>
        <w:t>.</w:t>
      </w:r>
      <w:r w:rsidRPr="00270281">
        <w:rPr>
          <w:rFonts w:ascii="Times New Roman" w:hAnsi="Times New Roman" w:cs="Times New Roman"/>
          <w:sz w:val="22"/>
          <w:szCs w:val="22"/>
          <w:vertAlign w:val="superscript"/>
        </w:rPr>
        <w:t>1,3</w:t>
      </w:r>
      <w:r w:rsidRPr="005323D3">
        <w:rPr>
          <w:rFonts w:ascii="Times New Roman" w:hAnsi="Times New Roman" w:cs="Times New Roman"/>
          <w:sz w:val="22"/>
          <w:szCs w:val="22"/>
        </w:rPr>
        <w:t xml:space="preserve"> In Hirschsprung's disease (HD), intraoperative frozen sections are essential for localizing </w:t>
      </w:r>
      <w:r w:rsidR="00CA3FA7" w:rsidRPr="005323D3">
        <w:rPr>
          <w:rFonts w:ascii="Times New Roman" w:hAnsi="Times New Roman" w:cs="Times New Roman"/>
          <w:sz w:val="22"/>
          <w:szCs w:val="22"/>
        </w:rPr>
        <w:t>a ganglionic</w:t>
      </w:r>
      <w:r w:rsidRPr="005323D3">
        <w:rPr>
          <w:rFonts w:ascii="Times New Roman" w:hAnsi="Times New Roman" w:cs="Times New Roman"/>
          <w:sz w:val="22"/>
          <w:szCs w:val="22"/>
        </w:rPr>
        <w:t xml:space="preserve"> bowel segments and guiding resection </w:t>
      </w:r>
      <w:r w:rsidR="003E20DC" w:rsidRPr="005323D3">
        <w:rPr>
          <w:rFonts w:ascii="Times New Roman" w:hAnsi="Times New Roman" w:cs="Times New Roman"/>
          <w:sz w:val="22"/>
          <w:szCs w:val="22"/>
        </w:rPr>
        <w:t>levels</w:t>
      </w:r>
      <w:r w:rsidR="00685943">
        <w:rPr>
          <w:rFonts w:ascii="Times New Roman" w:hAnsi="Times New Roman" w:cs="Times New Roman"/>
          <w:sz w:val="22"/>
          <w:szCs w:val="22"/>
        </w:rPr>
        <w:t>.</w:t>
      </w:r>
      <w:r w:rsidR="003F4D59" w:rsidRPr="005323D3">
        <w:rPr>
          <w:rFonts w:ascii="Times New Roman" w:hAnsi="Times New Roman" w:cs="Times New Roman"/>
          <w:sz w:val="22"/>
          <w:szCs w:val="22"/>
        </w:rPr>
        <w:t xml:space="preserve"> </w:t>
      </w:r>
      <w:r w:rsidRPr="00382052">
        <w:rPr>
          <w:rFonts w:ascii="Times New Roman" w:hAnsi="Times New Roman" w:cs="Times New Roman"/>
          <w:sz w:val="22"/>
          <w:szCs w:val="22"/>
          <w:vertAlign w:val="superscript"/>
        </w:rPr>
        <w:t>4,5</w:t>
      </w:r>
      <w:r w:rsidRPr="005323D3">
        <w:rPr>
          <w:rFonts w:ascii="Times New Roman" w:hAnsi="Times New Roman" w:cs="Times New Roman"/>
          <w:sz w:val="22"/>
          <w:szCs w:val="22"/>
        </w:rPr>
        <w:t>Similarly, in malignancies, FS diagnosis guides the extent of surgical resection</w:t>
      </w:r>
      <w:r w:rsidR="00685943">
        <w:rPr>
          <w:rFonts w:ascii="Times New Roman" w:hAnsi="Times New Roman" w:cs="Times New Roman"/>
          <w:sz w:val="22"/>
          <w:szCs w:val="22"/>
        </w:rPr>
        <w:t>.</w:t>
      </w:r>
      <w:r w:rsidRPr="00382052">
        <w:rPr>
          <w:rFonts w:ascii="Times New Roman" w:hAnsi="Times New Roman" w:cs="Times New Roman"/>
          <w:sz w:val="22"/>
          <w:szCs w:val="22"/>
          <w:vertAlign w:val="superscript"/>
        </w:rPr>
        <w:t>6</w:t>
      </w:r>
    </w:p>
    <w:p w14:paraId="4A83B5E2" w14:textId="5F2405F0"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Despite its utility, the frozen section technique has inherent limitations, including the inability to obtain consecutive thin sections and challenges in maintaining tissue integrity, particularly in loosely structured tissues</w:t>
      </w:r>
      <w:r w:rsidR="00685943">
        <w:rPr>
          <w:rFonts w:ascii="Times New Roman" w:hAnsi="Times New Roman" w:cs="Times New Roman"/>
          <w:sz w:val="22"/>
          <w:szCs w:val="22"/>
        </w:rPr>
        <w:t>.</w:t>
      </w:r>
      <w:r w:rsidRPr="007A368D">
        <w:rPr>
          <w:rFonts w:ascii="Times New Roman" w:hAnsi="Times New Roman" w:cs="Times New Roman"/>
          <w:sz w:val="22"/>
          <w:szCs w:val="22"/>
          <w:vertAlign w:val="superscript"/>
        </w:rPr>
        <w:t>2</w:t>
      </w:r>
      <w:r w:rsidRPr="005323D3">
        <w:rPr>
          <w:rFonts w:ascii="Times New Roman" w:hAnsi="Times New Roman" w:cs="Times New Roman"/>
          <w:sz w:val="22"/>
          <w:szCs w:val="22"/>
        </w:rPr>
        <w:t xml:space="preserve"> The quality of FS diagnosis depends on multiple factors: specimen quality, pathologist expertise, tissue type, lesion characteristics, and histological complexity</w:t>
      </w:r>
      <w:r w:rsidR="00685943">
        <w:rPr>
          <w:rFonts w:ascii="Times New Roman" w:hAnsi="Times New Roman" w:cs="Times New Roman"/>
          <w:sz w:val="22"/>
          <w:szCs w:val="22"/>
        </w:rPr>
        <w:t>.</w:t>
      </w:r>
      <w:r w:rsidRPr="007A368D">
        <w:rPr>
          <w:rFonts w:ascii="Times New Roman" w:hAnsi="Times New Roman" w:cs="Times New Roman"/>
          <w:sz w:val="22"/>
          <w:szCs w:val="22"/>
          <w:vertAlign w:val="superscript"/>
        </w:rPr>
        <w:t>7,8</w:t>
      </w:r>
    </w:p>
    <w:p w14:paraId="39E58707" w14:textId="77777777"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Given that FS results directly influence surgical management decisions, periodic evaluation of diagnostic accuracy is essential for quality assurance. This study was conducted to assess the accuracy of frozen section diagnoses at our tertiary care institution by comparing them with final histopathological reports.</w:t>
      </w:r>
    </w:p>
    <w:p w14:paraId="50E905C1" w14:textId="77777777" w:rsidR="00415317" w:rsidRPr="005323D3" w:rsidRDefault="00D7132F" w:rsidP="00C81EDC">
      <w:pPr>
        <w:spacing w:line="360" w:lineRule="auto"/>
        <w:ind w:left="567" w:right="567"/>
        <w:jc w:val="both"/>
        <w:rPr>
          <w:rFonts w:ascii="Times New Roman" w:hAnsi="Times New Roman" w:cs="Times New Roman"/>
          <w:b/>
          <w:bCs/>
          <w:sz w:val="22"/>
          <w:szCs w:val="22"/>
        </w:rPr>
      </w:pPr>
      <w:r w:rsidRPr="005323D3">
        <w:rPr>
          <w:rFonts w:ascii="Times New Roman" w:hAnsi="Times New Roman" w:cs="Times New Roman"/>
          <w:b/>
          <w:bCs/>
          <w:sz w:val="22"/>
          <w:szCs w:val="22"/>
        </w:rPr>
        <w:t>Materials and methods</w:t>
      </w:r>
      <w:r w:rsidR="00415317" w:rsidRPr="005323D3">
        <w:rPr>
          <w:rFonts w:ascii="Times New Roman" w:hAnsi="Times New Roman" w:cs="Times New Roman"/>
          <w:b/>
          <w:bCs/>
          <w:sz w:val="22"/>
          <w:szCs w:val="22"/>
        </w:rPr>
        <w:t xml:space="preserve"> </w:t>
      </w:r>
    </w:p>
    <w:p w14:paraId="45132BD3" w14:textId="15469C5B" w:rsidR="00CD1DFF" w:rsidRPr="005323D3" w:rsidRDefault="00CD1DFF" w:rsidP="00C81EDC">
      <w:pPr>
        <w:pStyle w:val="ListParagraph"/>
        <w:spacing w:line="360" w:lineRule="auto"/>
        <w:ind w:left="567" w:right="567"/>
        <w:jc w:val="both"/>
        <w:rPr>
          <w:rFonts w:ascii="Times New Roman" w:hAnsi="Times New Roman" w:cs="Times New Roman"/>
          <w:b/>
          <w:bCs/>
          <w:sz w:val="22"/>
          <w:szCs w:val="22"/>
        </w:rPr>
      </w:pPr>
      <w:r w:rsidRPr="005323D3">
        <w:rPr>
          <w:rFonts w:ascii="Times New Roman" w:hAnsi="Times New Roman" w:cs="Times New Roman"/>
          <w:sz w:val="22"/>
          <w:szCs w:val="22"/>
        </w:rPr>
        <w:t>This retrospective study was conducted in the Department of Pathology, Sher-i-Kashmir Institute of Medical Sciences (SKIMS), Srinagar, from June 2021 to June 2024. SKIMS is a major tertiary care referral hospital serving the population of Jammu and Kashmir and neighboring regions.</w:t>
      </w:r>
    </w:p>
    <w:p w14:paraId="0B850A88" w14:textId="19FAFB3D"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Study Population</w:t>
      </w:r>
      <w:r w:rsidR="001B0CCC" w:rsidRPr="005323D3">
        <w:rPr>
          <w:rFonts w:ascii="Times New Roman" w:hAnsi="Times New Roman" w:cs="Times New Roman"/>
          <w:sz w:val="22"/>
          <w:szCs w:val="22"/>
        </w:rPr>
        <w:t>:</w:t>
      </w:r>
    </w:p>
    <w:p w14:paraId="09F1C4D3" w14:textId="77777777"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The study included all patients who underwent intraoperative frozen section analysis during the study period. A total of 54 cases were analyzed.</w:t>
      </w:r>
    </w:p>
    <w:p w14:paraId="1B1875B9" w14:textId="4C851EFD" w:rsidR="00CD1DFF" w:rsidRPr="005323D3" w:rsidRDefault="003C221A"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F</w:t>
      </w:r>
      <w:r w:rsidR="00CD1DFF" w:rsidRPr="005323D3">
        <w:rPr>
          <w:rFonts w:ascii="Times New Roman" w:hAnsi="Times New Roman" w:cs="Times New Roman"/>
          <w:sz w:val="22"/>
          <w:szCs w:val="22"/>
        </w:rPr>
        <w:t>rozen Section Procedure</w:t>
      </w:r>
      <w:r w:rsidR="001B0CCC" w:rsidRPr="005323D3">
        <w:rPr>
          <w:rFonts w:ascii="Times New Roman" w:hAnsi="Times New Roman" w:cs="Times New Roman"/>
          <w:sz w:val="22"/>
          <w:szCs w:val="22"/>
        </w:rPr>
        <w:t>:</w:t>
      </w:r>
    </w:p>
    <w:p w14:paraId="1468EDFC" w14:textId="77777777"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Tissue specimens were received fresh in the frozen section room from the operating theatre. The procedure followed standard protocol:</w:t>
      </w:r>
    </w:p>
    <w:p w14:paraId="187EA3BB" w14:textId="77777777" w:rsidR="00CD1DFF" w:rsidRPr="005323D3" w:rsidRDefault="00CD1DFF" w:rsidP="00C81EDC">
      <w:pPr>
        <w:numPr>
          <w:ilvl w:val="0"/>
          <w:numId w:val="3"/>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Gross inspection and dissection of the specimen</w:t>
      </w:r>
    </w:p>
    <w:p w14:paraId="4D5C05D7" w14:textId="77777777" w:rsidR="00CD1DFF" w:rsidRPr="005323D3" w:rsidRDefault="00CD1DFF" w:rsidP="00C81EDC">
      <w:pPr>
        <w:numPr>
          <w:ilvl w:val="0"/>
          <w:numId w:val="3"/>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lastRenderedPageBreak/>
        <w:t>Embedding in optimal cutting temperature (OCT) compound</w:t>
      </w:r>
    </w:p>
    <w:p w14:paraId="5E58D8D4" w14:textId="77777777" w:rsidR="00CD1DFF" w:rsidRPr="005323D3" w:rsidRDefault="00CD1DFF" w:rsidP="00C81EDC">
      <w:pPr>
        <w:numPr>
          <w:ilvl w:val="0"/>
          <w:numId w:val="3"/>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Sectioning using a cryostat at -20°C to -25°C</w:t>
      </w:r>
    </w:p>
    <w:p w14:paraId="1183210C" w14:textId="77777777" w:rsidR="00CD1DFF" w:rsidRPr="005323D3" w:rsidRDefault="00CD1DFF" w:rsidP="00C81EDC">
      <w:pPr>
        <w:numPr>
          <w:ilvl w:val="0"/>
          <w:numId w:val="3"/>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Rapid hematoxylin and eosin (H&amp;E) staining</w:t>
      </w:r>
    </w:p>
    <w:p w14:paraId="6E978FA4" w14:textId="77777777" w:rsidR="00CD1DFF" w:rsidRPr="005323D3" w:rsidRDefault="00CD1DFF" w:rsidP="00C81EDC">
      <w:pPr>
        <w:numPr>
          <w:ilvl w:val="0"/>
          <w:numId w:val="3"/>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Microscopic examination by an experienced pathologist</w:t>
      </w:r>
    </w:p>
    <w:p w14:paraId="476E6EF4" w14:textId="77777777" w:rsidR="00CD1DFF" w:rsidRPr="005323D3" w:rsidRDefault="00CD1DFF" w:rsidP="00C81EDC">
      <w:pPr>
        <w:numPr>
          <w:ilvl w:val="0"/>
          <w:numId w:val="3"/>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Immediate communication of preliminary diagnosis to the surgeon</w:t>
      </w:r>
    </w:p>
    <w:p w14:paraId="72A36187" w14:textId="77777777"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Remaining tissue was preserved and sent for routine histopathological processing using formalin fixation and paraffin embedding.</w:t>
      </w:r>
    </w:p>
    <w:p w14:paraId="00E15E8D" w14:textId="2A02A2DC"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Data Collection</w:t>
      </w:r>
      <w:r w:rsidR="001B0CCC" w:rsidRPr="005323D3">
        <w:rPr>
          <w:rFonts w:ascii="Times New Roman" w:hAnsi="Times New Roman" w:cs="Times New Roman"/>
          <w:sz w:val="22"/>
          <w:szCs w:val="22"/>
        </w:rPr>
        <w:t>:</w:t>
      </w:r>
    </w:p>
    <w:p w14:paraId="60F4E6EA" w14:textId="77777777"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The following data were collected from pathology records:</w:t>
      </w:r>
    </w:p>
    <w:p w14:paraId="2E4B98D8" w14:textId="77777777" w:rsidR="00CD1DFF" w:rsidRPr="005323D3" w:rsidRDefault="00CD1DFF" w:rsidP="00C81EDC">
      <w:pPr>
        <w:numPr>
          <w:ilvl w:val="0"/>
          <w:numId w:val="4"/>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Patient demographics (age, gender)</w:t>
      </w:r>
    </w:p>
    <w:p w14:paraId="253362BF" w14:textId="77777777" w:rsidR="00CD1DFF" w:rsidRPr="005323D3" w:rsidRDefault="00CD1DFF" w:rsidP="00C81EDC">
      <w:pPr>
        <w:numPr>
          <w:ilvl w:val="0"/>
          <w:numId w:val="4"/>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Clinical indication for frozen section</w:t>
      </w:r>
    </w:p>
    <w:p w14:paraId="3F600FC8" w14:textId="77777777" w:rsidR="00CD1DFF" w:rsidRPr="005323D3" w:rsidRDefault="00CD1DFF" w:rsidP="00C81EDC">
      <w:pPr>
        <w:numPr>
          <w:ilvl w:val="0"/>
          <w:numId w:val="4"/>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Site of tissue origin</w:t>
      </w:r>
    </w:p>
    <w:p w14:paraId="634A2FB0" w14:textId="77777777" w:rsidR="00CD1DFF" w:rsidRPr="005323D3" w:rsidRDefault="00CD1DFF" w:rsidP="00C81EDC">
      <w:pPr>
        <w:numPr>
          <w:ilvl w:val="0"/>
          <w:numId w:val="4"/>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Frozen section diagnosis</w:t>
      </w:r>
    </w:p>
    <w:p w14:paraId="30147072" w14:textId="77777777" w:rsidR="00CD1DFF" w:rsidRPr="005323D3" w:rsidRDefault="00CD1DFF" w:rsidP="00C81EDC">
      <w:pPr>
        <w:numPr>
          <w:ilvl w:val="0"/>
          <w:numId w:val="4"/>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Final histopathological diagnosis</w:t>
      </w:r>
    </w:p>
    <w:p w14:paraId="1B2A8269" w14:textId="77777777" w:rsidR="00CD1DFF" w:rsidRPr="005323D3" w:rsidRDefault="00CD1DFF" w:rsidP="00C81EDC">
      <w:pPr>
        <w:numPr>
          <w:ilvl w:val="0"/>
          <w:numId w:val="4"/>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Turnaround time</w:t>
      </w:r>
    </w:p>
    <w:p w14:paraId="033B81CF" w14:textId="422E8852"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Statistical Analysis</w:t>
      </w:r>
      <w:r w:rsidR="001B0CCC" w:rsidRPr="005323D3">
        <w:rPr>
          <w:rFonts w:ascii="Times New Roman" w:hAnsi="Times New Roman" w:cs="Times New Roman"/>
          <w:sz w:val="22"/>
          <w:szCs w:val="22"/>
        </w:rPr>
        <w:t>:</w:t>
      </w:r>
    </w:p>
    <w:p w14:paraId="2E288134" w14:textId="5E7F8294"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Frozen section diagnoses were compared with permanent section (PS) reports to determine concordance. Diagnostic accuracy, sensitivity, specificity, positive predictive value (PPV), and negative predictive value (NPV) were calculated using standard formulas. Data analysis was performed using SPSS version 21.0 (IBM Corp., Armonk, NY, USA). Categorical variables were presented as frequencies and percentages.</w:t>
      </w:r>
    </w:p>
    <w:p w14:paraId="1FD26D98" w14:textId="1C0B13F3" w:rsidR="005B535E" w:rsidRPr="005323D3" w:rsidRDefault="00C4310A"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b/>
          <w:bCs/>
          <w:sz w:val="22"/>
          <w:szCs w:val="22"/>
        </w:rPr>
        <w:t xml:space="preserve">Observation and </w:t>
      </w:r>
      <w:r w:rsidR="00D7132F" w:rsidRPr="005323D3">
        <w:rPr>
          <w:rFonts w:ascii="Times New Roman" w:hAnsi="Times New Roman" w:cs="Times New Roman"/>
          <w:b/>
          <w:bCs/>
          <w:sz w:val="22"/>
          <w:szCs w:val="22"/>
        </w:rPr>
        <w:t>Results</w:t>
      </w:r>
    </w:p>
    <w:p w14:paraId="7F45B5CD" w14:textId="49C4D955"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The study comprised 54 patients with ages ranging from one day to 74 years. The gender distribution showed 30 (56%) females and 24 (44%) males.</w:t>
      </w:r>
    </w:p>
    <w:p w14:paraId="305C76E7" w14:textId="77777777"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Indications for Frozen Section</w:t>
      </w:r>
    </w:p>
    <w:p w14:paraId="664A5874" w14:textId="77777777"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The most common indications were:</w:t>
      </w:r>
    </w:p>
    <w:p w14:paraId="4D30407E" w14:textId="77777777" w:rsidR="00BE6380" w:rsidRPr="005323D3" w:rsidRDefault="00BE6380" w:rsidP="00C81EDC">
      <w:pPr>
        <w:numPr>
          <w:ilvl w:val="0"/>
          <w:numId w:val="9"/>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Determining upper resection level in Hirschsprung's disease: 25 cases (46%)</w:t>
      </w:r>
    </w:p>
    <w:p w14:paraId="4F270042" w14:textId="77777777" w:rsidR="00BE6380" w:rsidRPr="005323D3" w:rsidRDefault="00BE6380" w:rsidP="00C81EDC">
      <w:pPr>
        <w:numPr>
          <w:ilvl w:val="0"/>
          <w:numId w:val="9"/>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lastRenderedPageBreak/>
        <w:t>Assessment of surgical margins or lymph node status: 18 cases (32%)</w:t>
      </w:r>
    </w:p>
    <w:p w14:paraId="6B70BED4" w14:textId="77777777" w:rsidR="003C221A" w:rsidRPr="005323D3" w:rsidRDefault="00BE6380" w:rsidP="00C81EDC">
      <w:pPr>
        <w:numPr>
          <w:ilvl w:val="0"/>
          <w:numId w:val="9"/>
        </w:num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Diagnosis of malignancy: 12 cases (22%)</w:t>
      </w:r>
    </w:p>
    <w:p w14:paraId="4363A95D" w14:textId="0E3086B0" w:rsidR="00BE6380" w:rsidRPr="005323D3" w:rsidRDefault="002F2AC3"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 xml:space="preserve"> </w:t>
      </w:r>
      <w:r w:rsidR="00BE6380" w:rsidRPr="005323D3">
        <w:rPr>
          <w:rFonts w:ascii="Times New Roman" w:hAnsi="Times New Roman" w:cs="Times New Roman"/>
          <w:sz w:val="22"/>
          <w:szCs w:val="22"/>
        </w:rPr>
        <w:t>Distribution by Anatomical Site</w:t>
      </w:r>
      <w:r w:rsidR="001B0CCC" w:rsidRPr="005323D3">
        <w:rPr>
          <w:rFonts w:ascii="Times New Roman" w:hAnsi="Times New Roman" w:cs="Times New Roman"/>
          <w:sz w:val="22"/>
          <w:szCs w:val="22"/>
        </w:rPr>
        <w:t>:</w:t>
      </w:r>
    </w:p>
    <w:p w14:paraId="61653A3D" w14:textId="125A0F63"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Analysis by tissue origin revealed colorectum as the most common site (25 cases, 46</w:t>
      </w:r>
      <w:r w:rsidR="002E5B22" w:rsidRPr="005323D3">
        <w:rPr>
          <w:rFonts w:ascii="Times New Roman" w:hAnsi="Times New Roman" w:cs="Times New Roman"/>
          <w:sz w:val="22"/>
          <w:szCs w:val="22"/>
        </w:rPr>
        <w:t>.3</w:t>
      </w:r>
      <w:r w:rsidRPr="005323D3">
        <w:rPr>
          <w:rFonts w:ascii="Times New Roman" w:hAnsi="Times New Roman" w:cs="Times New Roman"/>
          <w:sz w:val="22"/>
          <w:szCs w:val="22"/>
        </w:rPr>
        <w:t>%), followed by breast (7 cases, 13%), gallbladder (6 cases, 11</w:t>
      </w:r>
      <w:r w:rsidR="002E5B22" w:rsidRPr="005323D3">
        <w:rPr>
          <w:rFonts w:ascii="Times New Roman" w:hAnsi="Times New Roman" w:cs="Times New Roman"/>
          <w:sz w:val="22"/>
          <w:szCs w:val="22"/>
        </w:rPr>
        <w:t>.1</w:t>
      </w:r>
      <w:r w:rsidRPr="005323D3">
        <w:rPr>
          <w:rFonts w:ascii="Times New Roman" w:hAnsi="Times New Roman" w:cs="Times New Roman"/>
          <w:sz w:val="22"/>
          <w:szCs w:val="22"/>
        </w:rPr>
        <w:t>%), lymph nodes (6 cases, 11</w:t>
      </w:r>
      <w:r w:rsidR="002E5B22" w:rsidRPr="005323D3">
        <w:rPr>
          <w:rFonts w:ascii="Times New Roman" w:hAnsi="Times New Roman" w:cs="Times New Roman"/>
          <w:sz w:val="22"/>
          <w:szCs w:val="22"/>
        </w:rPr>
        <w:t>.1</w:t>
      </w:r>
      <w:r w:rsidRPr="005323D3">
        <w:rPr>
          <w:rFonts w:ascii="Times New Roman" w:hAnsi="Times New Roman" w:cs="Times New Roman"/>
          <w:sz w:val="22"/>
          <w:szCs w:val="22"/>
        </w:rPr>
        <w:t>%), liver (4 cases, 7.4%), and other sites including pancreas, parotid, stomach, lung, and bladder (</w:t>
      </w:r>
      <w:r w:rsidR="00EE05F4" w:rsidRPr="005323D3">
        <w:rPr>
          <w:rFonts w:ascii="Times New Roman" w:hAnsi="Times New Roman" w:cs="Times New Roman"/>
          <w:sz w:val="22"/>
          <w:szCs w:val="22"/>
        </w:rPr>
        <w:t>Fig</w:t>
      </w:r>
      <w:r w:rsidR="009549CC">
        <w:rPr>
          <w:rFonts w:ascii="Times New Roman" w:hAnsi="Times New Roman" w:cs="Times New Roman"/>
          <w:sz w:val="22"/>
          <w:szCs w:val="22"/>
        </w:rPr>
        <w:t>ure</w:t>
      </w:r>
      <w:r w:rsidRPr="005323D3">
        <w:rPr>
          <w:rFonts w:ascii="Times New Roman" w:hAnsi="Times New Roman" w:cs="Times New Roman"/>
          <w:sz w:val="22"/>
          <w:szCs w:val="22"/>
        </w:rPr>
        <w:t>1).</w:t>
      </w:r>
    </w:p>
    <w:p w14:paraId="03780DC1" w14:textId="76ABB9B1"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Site-Specific Analysis</w:t>
      </w:r>
      <w:r w:rsidR="001B0CCC" w:rsidRPr="005323D3">
        <w:rPr>
          <w:rFonts w:ascii="Times New Roman" w:hAnsi="Times New Roman" w:cs="Times New Roman"/>
          <w:sz w:val="22"/>
          <w:szCs w:val="22"/>
        </w:rPr>
        <w:t>:</w:t>
      </w:r>
    </w:p>
    <w:p w14:paraId="2FB4658E" w14:textId="08A83D1B"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Colorectal Cases (n=25, 46</w:t>
      </w:r>
      <w:r w:rsidR="006473D4" w:rsidRPr="005323D3">
        <w:rPr>
          <w:rFonts w:ascii="Times New Roman" w:hAnsi="Times New Roman" w:cs="Times New Roman"/>
          <w:sz w:val="22"/>
          <w:szCs w:val="22"/>
        </w:rPr>
        <w:t>.3</w:t>
      </w:r>
      <w:r w:rsidRPr="005323D3">
        <w:rPr>
          <w:rFonts w:ascii="Times New Roman" w:hAnsi="Times New Roman" w:cs="Times New Roman"/>
          <w:sz w:val="22"/>
          <w:szCs w:val="22"/>
        </w:rPr>
        <w:t>%): All cases were confirmed Hirschsprung's disease patients. Frozen sections were performed to determine optimal resection levels and identify the transition zone. Complete concordance (100%) was achieved with permanent section diagnoses (Fig</w:t>
      </w:r>
      <w:r w:rsidR="0010395C">
        <w:rPr>
          <w:rFonts w:ascii="Times New Roman" w:hAnsi="Times New Roman" w:cs="Times New Roman"/>
          <w:sz w:val="22"/>
          <w:szCs w:val="22"/>
        </w:rPr>
        <w:t xml:space="preserve">ure </w:t>
      </w:r>
      <w:r w:rsidR="00670542" w:rsidRPr="005323D3">
        <w:rPr>
          <w:rFonts w:ascii="Times New Roman" w:hAnsi="Times New Roman" w:cs="Times New Roman"/>
          <w:sz w:val="22"/>
          <w:szCs w:val="22"/>
        </w:rPr>
        <w:t>2</w:t>
      </w:r>
      <w:r w:rsidRPr="005323D3">
        <w:rPr>
          <w:rFonts w:ascii="Times New Roman" w:hAnsi="Times New Roman" w:cs="Times New Roman"/>
          <w:sz w:val="22"/>
          <w:szCs w:val="22"/>
        </w:rPr>
        <w:t>).</w:t>
      </w:r>
    </w:p>
    <w:p w14:paraId="36A8B428" w14:textId="77777777"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Breast Cases (n=7, 13%): Six cases were invasive ductal carcinoma (IDC), with four requiring margin assessment. One case was diagnosed as abscess. All frozen section diagnoses matched final histopathology reports (100% concordance).</w:t>
      </w:r>
    </w:p>
    <w:p w14:paraId="01142585" w14:textId="07856631"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Gallbladder Cases (n=6, 11</w:t>
      </w:r>
      <w:r w:rsidR="006473D4" w:rsidRPr="005323D3">
        <w:rPr>
          <w:rFonts w:ascii="Times New Roman" w:hAnsi="Times New Roman" w:cs="Times New Roman"/>
          <w:sz w:val="22"/>
          <w:szCs w:val="22"/>
        </w:rPr>
        <w:t>.1</w:t>
      </w:r>
      <w:r w:rsidRPr="005323D3">
        <w:rPr>
          <w:rFonts w:ascii="Times New Roman" w:hAnsi="Times New Roman" w:cs="Times New Roman"/>
          <w:sz w:val="22"/>
          <w:szCs w:val="22"/>
        </w:rPr>
        <w:t>%): Four cases were adenocarcinoma (Fig</w:t>
      </w:r>
      <w:r w:rsidR="0010395C">
        <w:rPr>
          <w:rFonts w:ascii="Times New Roman" w:hAnsi="Times New Roman" w:cs="Times New Roman"/>
          <w:sz w:val="22"/>
          <w:szCs w:val="22"/>
        </w:rPr>
        <w:t>ure</w:t>
      </w:r>
      <w:r w:rsidR="00670542" w:rsidRPr="005323D3">
        <w:rPr>
          <w:rFonts w:ascii="Times New Roman" w:hAnsi="Times New Roman" w:cs="Times New Roman"/>
          <w:sz w:val="22"/>
          <w:szCs w:val="22"/>
        </w:rPr>
        <w:t xml:space="preserve"> 3</w:t>
      </w:r>
      <w:r w:rsidRPr="005323D3">
        <w:rPr>
          <w:rFonts w:ascii="Times New Roman" w:hAnsi="Times New Roman" w:cs="Times New Roman"/>
          <w:sz w:val="22"/>
          <w:szCs w:val="22"/>
        </w:rPr>
        <w:t xml:space="preserve">) and two showed gallbladder wall thickening. Among malignant cases, margins were free in three and involved in one case. The two non-malignant cases were diagnosed as </w:t>
      </w:r>
      <w:r w:rsidR="00CA3FA7" w:rsidRPr="005323D3">
        <w:rPr>
          <w:rFonts w:ascii="Times New Roman" w:hAnsi="Times New Roman" w:cs="Times New Roman"/>
          <w:sz w:val="22"/>
          <w:szCs w:val="22"/>
        </w:rPr>
        <w:t>adenomyoma</w:t>
      </w:r>
      <w:r w:rsidR="00462106" w:rsidRPr="005323D3">
        <w:rPr>
          <w:rFonts w:ascii="Times New Roman" w:hAnsi="Times New Roman" w:cs="Times New Roman"/>
          <w:sz w:val="22"/>
          <w:szCs w:val="22"/>
        </w:rPr>
        <w:t>tu</w:t>
      </w:r>
      <w:r w:rsidR="00CA3FA7" w:rsidRPr="005323D3">
        <w:rPr>
          <w:rFonts w:ascii="Times New Roman" w:hAnsi="Times New Roman" w:cs="Times New Roman"/>
          <w:sz w:val="22"/>
          <w:szCs w:val="22"/>
        </w:rPr>
        <w:t>s</w:t>
      </w:r>
      <w:r w:rsidRPr="005323D3">
        <w:rPr>
          <w:rFonts w:ascii="Times New Roman" w:hAnsi="Times New Roman" w:cs="Times New Roman"/>
          <w:sz w:val="22"/>
          <w:szCs w:val="22"/>
        </w:rPr>
        <w:t xml:space="preserve"> and xanthogranulomatous cholecystitis. Complete concordance (100%) was observed with permanent sections.</w:t>
      </w:r>
    </w:p>
    <w:p w14:paraId="7CF021A0" w14:textId="420282AA"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Lymph Node Cases (n=6, 11</w:t>
      </w:r>
      <w:r w:rsidR="006473D4" w:rsidRPr="005323D3">
        <w:rPr>
          <w:rFonts w:ascii="Times New Roman" w:hAnsi="Times New Roman" w:cs="Times New Roman"/>
          <w:sz w:val="22"/>
          <w:szCs w:val="22"/>
        </w:rPr>
        <w:t>.1</w:t>
      </w:r>
      <w:r w:rsidRPr="005323D3">
        <w:rPr>
          <w:rFonts w:ascii="Times New Roman" w:hAnsi="Times New Roman" w:cs="Times New Roman"/>
          <w:sz w:val="22"/>
          <w:szCs w:val="22"/>
        </w:rPr>
        <w:t>%): Five cases showed concordance with final diagnosis (Fig</w:t>
      </w:r>
      <w:r w:rsidR="0010395C">
        <w:rPr>
          <w:rFonts w:ascii="Times New Roman" w:hAnsi="Times New Roman" w:cs="Times New Roman"/>
          <w:sz w:val="22"/>
          <w:szCs w:val="22"/>
        </w:rPr>
        <w:t>ure</w:t>
      </w:r>
      <w:r w:rsidR="000C5E4D" w:rsidRPr="005323D3">
        <w:rPr>
          <w:rFonts w:ascii="Times New Roman" w:hAnsi="Times New Roman" w:cs="Times New Roman"/>
          <w:sz w:val="22"/>
          <w:szCs w:val="22"/>
        </w:rPr>
        <w:t xml:space="preserve"> 4 and 5</w:t>
      </w:r>
      <w:r w:rsidRPr="005323D3">
        <w:rPr>
          <w:rFonts w:ascii="Times New Roman" w:hAnsi="Times New Roman" w:cs="Times New Roman"/>
          <w:sz w:val="22"/>
          <w:szCs w:val="22"/>
        </w:rPr>
        <w:t>). One false-negative result occurred due to sampling error—malignant foci were missed due to inadequate deep sectioning. Diagnostic accuracy for lymph node assessment was 83% (5/6 cases).</w:t>
      </w:r>
    </w:p>
    <w:p w14:paraId="2346EDD1" w14:textId="77777777"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Liver Cases (n=4, 7.4%): Diagnoses included hepatocellular carcinoma and cholangiocarcinoma. Common bile duct margin assessment showed free margins in two cases and involved margins in one case. All diagnoses remained unchanged in final reports (100% concordance).</w:t>
      </w:r>
    </w:p>
    <w:p w14:paraId="731E1F26" w14:textId="67426748" w:rsidR="00BE6380" w:rsidRPr="005323D3" w:rsidRDefault="00BE6380" w:rsidP="00C81EDC">
      <w:pPr>
        <w:spacing w:line="360" w:lineRule="auto"/>
        <w:ind w:left="567" w:right="567"/>
        <w:jc w:val="both"/>
        <w:rPr>
          <w:rFonts w:ascii="Times New Roman" w:hAnsi="Times New Roman" w:cs="Times New Roman"/>
          <w:color w:val="0D0D0D" w:themeColor="text1" w:themeTint="F2"/>
          <w:sz w:val="22"/>
          <w:szCs w:val="22"/>
        </w:rPr>
      </w:pPr>
      <w:r w:rsidRPr="005323D3">
        <w:rPr>
          <w:rFonts w:ascii="Times New Roman" w:hAnsi="Times New Roman" w:cs="Times New Roman"/>
          <w:sz w:val="22"/>
          <w:szCs w:val="22"/>
        </w:rPr>
        <w:t>Other Sites (n=6, 11</w:t>
      </w:r>
      <w:r w:rsidR="006473D4" w:rsidRPr="005323D3">
        <w:rPr>
          <w:rFonts w:ascii="Times New Roman" w:hAnsi="Times New Roman" w:cs="Times New Roman"/>
          <w:sz w:val="22"/>
          <w:szCs w:val="22"/>
        </w:rPr>
        <w:t>.1</w:t>
      </w:r>
      <w:r w:rsidRPr="005323D3">
        <w:rPr>
          <w:rFonts w:ascii="Times New Roman" w:hAnsi="Times New Roman" w:cs="Times New Roman"/>
          <w:sz w:val="22"/>
          <w:szCs w:val="22"/>
        </w:rPr>
        <w:t xml:space="preserve">%): These included bladder (transitional cell carcinoma), </w:t>
      </w:r>
      <w:r w:rsidR="00462106" w:rsidRPr="005323D3">
        <w:rPr>
          <w:rFonts w:ascii="Times New Roman" w:hAnsi="Times New Roman" w:cs="Times New Roman"/>
          <w:sz w:val="22"/>
          <w:szCs w:val="22"/>
        </w:rPr>
        <w:t>pancreas</w:t>
      </w:r>
      <w:r w:rsidRPr="005323D3">
        <w:rPr>
          <w:rFonts w:ascii="Times New Roman" w:hAnsi="Times New Roman" w:cs="Times New Roman"/>
          <w:sz w:val="22"/>
          <w:szCs w:val="22"/>
        </w:rPr>
        <w:t xml:space="preserve">, parotid, stomach, and lung. All were sent for margin clearance assessment and showed 100% concordance </w:t>
      </w:r>
      <w:r w:rsidRPr="005323D3">
        <w:rPr>
          <w:rFonts w:ascii="Times New Roman" w:hAnsi="Times New Roman" w:cs="Times New Roman"/>
          <w:color w:val="0D0D0D" w:themeColor="text1" w:themeTint="F2"/>
          <w:sz w:val="22"/>
          <w:szCs w:val="22"/>
        </w:rPr>
        <w:t>with permanent sections</w:t>
      </w:r>
      <w:r w:rsidR="009B75AE" w:rsidRPr="005323D3">
        <w:rPr>
          <w:rFonts w:ascii="Times New Roman" w:hAnsi="Times New Roman" w:cs="Times New Roman"/>
          <w:color w:val="0D0D0D" w:themeColor="text1" w:themeTint="F2"/>
          <w:sz w:val="22"/>
          <w:szCs w:val="22"/>
        </w:rPr>
        <w:t xml:space="preserve"> </w:t>
      </w:r>
      <w:r w:rsidR="006473D4" w:rsidRPr="005323D3">
        <w:rPr>
          <w:rFonts w:ascii="Times New Roman" w:hAnsi="Times New Roman" w:cs="Times New Roman"/>
          <w:color w:val="0D0D0D" w:themeColor="text1" w:themeTint="F2"/>
          <w:sz w:val="22"/>
          <w:szCs w:val="22"/>
        </w:rPr>
        <w:t xml:space="preserve">(Figure </w:t>
      </w:r>
      <w:r w:rsidR="0024155B" w:rsidRPr="005323D3">
        <w:rPr>
          <w:rFonts w:ascii="Times New Roman" w:hAnsi="Times New Roman" w:cs="Times New Roman"/>
          <w:color w:val="0D0D0D" w:themeColor="text1" w:themeTint="F2"/>
          <w:sz w:val="22"/>
          <w:szCs w:val="22"/>
        </w:rPr>
        <w:t>6</w:t>
      </w:r>
      <w:r w:rsidR="006473D4" w:rsidRPr="005323D3">
        <w:rPr>
          <w:rFonts w:ascii="Times New Roman" w:hAnsi="Times New Roman" w:cs="Times New Roman"/>
          <w:color w:val="0D0D0D" w:themeColor="text1" w:themeTint="F2"/>
          <w:sz w:val="22"/>
          <w:szCs w:val="22"/>
        </w:rPr>
        <w:t>)</w:t>
      </w:r>
      <w:r w:rsidR="004A7BE4" w:rsidRPr="005323D3">
        <w:rPr>
          <w:rFonts w:ascii="Times New Roman" w:hAnsi="Times New Roman" w:cs="Times New Roman"/>
          <w:color w:val="0D0D0D" w:themeColor="text1" w:themeTint="F2"/>
          <w:sz w:val="22"/>
          <w:szCs w:val="22"/>
        </w:rPr>
        <w:t>.</w:t>
      </w:r>
    </w:p>
    <w:p w14:paraId="659DE5CB" w14:textId="34FFBE80"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Diagnostic Performance</w:t>
      </w:r>
      <w:r w:rsidR="001B0CCC" w:rsidRPr="005323D3">
        <w:rPr>
          <w:rFonts w:ascii="Times New Roman" w:hAnsi="Times New Roman" w:cs="Times New Roman"/>
          <w:sz w:val="22"/>
          <w:szCs w:val="22"/>
        </w:rPr>
        <w:t>:</w:t>
      </w:r>
    </w:p>
    <w:p w14:paraId="758599A6" w14:textId="268E71F3" w:rsidR="00BE6380" w:rsidRPr="005323D3"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Overall, 53 of 54 cases (98</w:t>
      </w:r>
      <w:r w:rsidR="002E5B22" w:rsidRPr="005323D3">
        <w:rPr>
          <w:rFonts w:ascii="Times New Roman" w:hAnsi="Times New Roman" w:cs="Times New Roman"/>
          <w:sz w:val="22"/>
          <w:szCs w:val="22"/>
        </w:rPr>
        <w:t>.1</w:t>
      </w:r>
      <w:r w:rsidRPr="005323D3">
        <w:rPr>
          <w:rFonts w:ascii="Times New Roman" w:hAnsi="Times New Roman" w:cs="Times New Roman"/>
          <w:sz w:val="22"/>
          <w:szCs w:val="22"/>
        </w:rPr>
        <w:t>%) showed concordance between frozen and permanent section diagnoses</w:t>
      </w:r>
      <w:r w:rsidR="00464790" w:rsidRPr="005323D3">
        <w:rPr>
          <w:rFonts w:ascii="Times New Roman" w:hAnsi="Times New Roman" w:cs="Times New Roman"/>
          <w:sz w:val="22"/>
          <w:szCs w:val="22"/>
        </w:rPr>
        <w:t xml:space="preserve"> (</w:t>
      </w:r>
      <w:r w:rsidR="008E1F0F" w:rsidRPr="005323D3">
        <w:rPr>
          <w:rFonts w:ascii="Times New Roman" w:hAnsi="Times New Roman" w:cs="Times New Roman"/>
          <w:sz w:val="22"/>
          <w:szCs w:val="22"/>
        </w:rPr>
        <w:t>Fi</w:t>
      </w:r>
      <w:r w:rsidR="00464790" w:rsidRPr="005323D3">
        <w:rPr>
          <w:rFonts w:ascii="Times New Roman" w:hAnsi="Times New Roman" w:cs="Times New Roman"/>
          <w:sz w:val="22"/>
          <w:szCs w:val="22"/>
        </w:rPr>
        <w:t>g</w:t>
      </w:r>
      <w:r w:rsidR="0010395C">
        <w:rPr>
          <w:rFonts w:ascii="Times New Roman" w:hAnsi="Times New Roman" w:cs="Times New Roman"/>
          <w:sz w:val="22"/>
          <w:szCs w:val="22"/>
        </w:rPr>
        <w:t>ure</w:t>
      </w:r>
      <w:r w:rsidR="0010408F" w:rsidRPr="005323D3">
        <w:rPr>
          <w:rFonts w:ascii="Times New Roman" w:hAnsi="Times New Roman" w:cs="Times New Roman"/>
          <w:sz w:val="22"/>
          <w:szCs w:val="22"/>
        </w:rPr>
        <w:t xml:space="preserve"> 1</w:t>
      </w:r>
      <w:r w:rsidR="00464790" w:rsidRPr="005323D3">
        <w:rPr>
          <w:rFonts w:ascii="Times New Roman" w:hAnsi="Times New Roman" w:cs="Times New Roman"/>
          <w:sz w:val="22"/>
          <w:szCs w:val="22"/>
        </w:rPr>
        <w:t>)</w:t>
      </w:r>
      <w:r w:rsidR="008E1F0F" w:rsidRPr="005323D3">
        <w:rPr>
          <w:rFonts w:ascii="Times New Roman" w:hAnsi="Times New Roman" w:cs="Times New Roman"/>
          <w:sz w:val="22"/>
          <w:szCs w:val="22"/>
        </w:rPr>
        <w:t>. O</w:t>
      </w:r>
      <w:r w:rsidRPr="005323D3">
        <w:rPr>
          <w:rFonts w:ascii="Times New Roman" w:hAnsi="Times New Roman" w:cs="Times New Roman"/>
          <w:sz w:val="22"/>
          <w:szCs w:val="22"/>
        </w:rPr>
        <w:t>ne discordant case involved a lymph node with false-negative frozen section result due to sampling error.</w:t>
      </w:r>
    </w:p>
    <w:p w14:paraId="3F4BB45E" w14:textId="77777777" w:rsidR="00C81EDC" w:rsidRDefault="00BE6380"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lastRenderedPageBreak/>
        <w:t>The diagnostic performance parameters were:</w:t>
      </w:r>
    </w:p>
    <w:p w14:paraId="3960E794" w14:textId="77777777" w:rsidR="00C81EDC" w:rsidRPr="00B97757" w:rsidRDefault="00BE6380" w:rsidP="00B97757">
      <w:pPr>
        <w:pStyle w:val="ListParagraph"/>
        <w:numPr>
          <w:ilvl w:val="0"/>
          <w:numId w:val="14"/>
        </w:numPr>
        <w:spacing w:line="360" w:lineRule="auto"/>
        <w:ind w:right="567"/>
        <w:jc w:val="both"/>
        <w:rPr>
          <w:rFonts w:ascii="Times New Roman" w:hAnsi="Times New Roman" w:cs="Times New Roman"/>
          <w:sz w:val="22"/>
          <w:szCs w:val="22"/>
        </w:rPr>
      </w:pPr>
      <w:r w:rsidRPr="00B97757">
        <w:rPr>
          <w:rFonts w:ascii="Times New Roman" w:hAnsi="Times New Roman" w:cs="Times New Roman"/>
          <w:sz w:val="22"/>
          <w:szCs w:val="22"/>
        </w:rPr>
        <w:t>Diagnostic Accuracy: 98%</w:t>
      </w:r>
    </w:p>
    <w:p w14:paraId="77C78F9E" w14:textId="77777777" w:rsidR="00C81EDC" w:rsidRPr="00B97757" w:rsidRDefault="00BE6380" w:rsidP="00B97757">
      <w:pPr>
        <w:pStyle w:val="ListParagraph"/>
        <w:numPr>
          <w:ilvl w:val="0"/>
          <w:numId w:val="14"/>
        </w:numPr>
        <w:spacing w:line="360" w:lineRule="auto"/>
        <w:ind w:right="567"/>
        <w:jc w:val="both"/>
        <w:rPr>
          <w:rFonts w:ascii="Times New Roman" w:hAnsi="Times New Roman" w:cs="Times New Roman"/>
          <w:sz w:val="22"/>
          <w:szCs w:val="22"/>
        </w:rPr>
      </w:pPr>
      <w:r w:rsidRPr="00B97757">
        <w:rPr>
          <w:rFonts w:ascii="Times New Roman" w:hAnsi="Times New Roman" w:cs="Times New Roman"/>
          <w:sz w:val="22"/>
          <w:szCs w:val="22"/>
        </w:rPr>
        <w:t>Sensitivity: 96%</w:t>
      </w:r>
    </w:p>
    <w:p w14:paraId="1D833F97" w14:textId="77777777" w:rsidR="00B97757" w:rsidRPr="00B97757" w:rsidRDefault="00BE6380" w:rsidP="00B97757">
      <w:pPr>
        <w:pStyle w:val="ListParagraph"/>
        <w:numPr>
          <w:ilvl w:val="0"/>
          <w:numId w:val="14"/>
        </w:numPr>
        <w:spacing w:line="360" w:lineRule="auto"/>
        <w:ind w:right="567"/>
        <w:jc w:val="both"/>
        <w:rPr>
          <w:rFonts w:ascii="Times New Roman" w:hAnsi="Times New Roman" w:cs="Times New Roman"/>
          <w:sz w:val="22"/>
          <w:szCs w:val="22"/>
        </w:rPr>
      </w:pPr>
      <w:r w:rsidRPr="00B97757">
        <w:rPr>
          <w:rFonts w:ascii="Times New Roman" w:hAnsi="Times New Roman" w:cs="Times New Roman"/>
          <w:sz w:val="22"/>
          <w:szCs w:val="22"/>
        </w:rPr>
        <w:t>Specificity: 100%</w:t>
      </w:r>
    </w:p>
    <w:p w14:paraId="382541E5" w14:textId="77777777" w:rsidR="00B97757" w:rsidRPr="00B97757" w:rsidRDefault="00B97757" w:rsidP="00B97757">
      <w:pPr>
        <w:pStyle w:val="ListParagraph"/>
        <w:numPr>
          <w:ilvl w:val="0"/>
          <w:numId w:val="14"/>
        </w:numPr>
        <w:spacing w:line="360" w:lineRule="auto"/>
        <w:ind w:right="567"/>
        <w:jc w:val="both"/>
        <w:rPr>
          <w:rFonts w:ascii="Times New Roman" w:hAnsi="Times New Roman" w:cs="Times New Roman"/>
          <w:sz w:val="22"/>
          <w:szCs w:val="22"/>
        </w:rPr>
      </w:pPr>
      <w:r w:rsidRPr="00B97757">
        <w:rPr>
          <w:rFonts w:ascii="Times New Roman" w:hAnsi="Times New Roman" w:cs="Times New Roman"/>
          <w:sz w:val="22"/>
          <w:szCs w:val="22"/>
        </w:rPr>
        <w:t>P</w:t>
      </w:r>
      <w:r w:rsidR="00BE6380" w:rsidRPr="00B97757">
        <w:rPr>
          <w:rFonts w:ascii="Times New Roman" w:hAnsi="Times New Roman" w:cs="Times New Roman"/>
          <w:sz w:val="22"/>
          <w:szCs w:val="22"/>
        </w:rPr>
        <w:t>ositive Predictive Value (PPV): 100%</w:t>
      </w:r>
    </w:p>
    <w:p w14:paraId="76E06FB9" w14:textId="38ABF6BB" w:rsidR="003C221A" w:rsidRPr="00B97757" w:rsidRDefault="00BE6380" w:rsidP="00B97757">
      <w:pPr>
        <w:pStyle w:val="ListParagraph"/>
        <w:numPr>
          <w:ilvl w:val="0"/>
          <w:numId w:val="14"/>
        </w:numPr>
        <w:spacing w:line="360" w:lineRule="auto"/>
        <w:ind w:right="567"/>
        <w:jc w:val="both"/>
        <w:rPr>
          <w:rFonts w:ascii="Times New Roman" w:hAnsi="Times New Roman" w:cs="Times New Roman"/>
          <w:sz w:val="22"/>
          <w:szCs w:val="22"/>
        </w:rPr>
      </w:pPr>
      <w:r w:rsidRPr="00B97757">
        <w:rPr>
          <w:rFonts w:ascii="Times New Roman" w:hAnsi="Times New Roman" w:cs="Times New Roman"/>
          <w:sz w:val="22"/>
          <w:szCs w:val="22"/>
        </w:rPr>
        <w:t>Negative Predictive Value (NPV): 90%</w:t>
      </w:r>
    </w:p>
    <w:p w14:paraId="3EBF2B44" w14:textId="523C1070" w:rsidR="00101303" w:rsidRPr="005323D3" w:rsidRDefault="00661C33"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Efficiency and Turnaround Time (TAT)</w:t>
      </w:r>
      <w:r w:rsidR="001B0CCC" w:rsidRPr="005323D3">
        <w:rPr>
          <w:rFonts w:ascii="Times New Roman" w:hAnsi="Times New Roman" w:cs="Times New Roman"/>
          <w:sz w:val="22"/>
          <w:szCs w:val="22"/>
        </w:rPr>
        <w:t>:</w:t>
      </w:r>
    </w:p>
    <w:p w14:paraId="598B64DE" w14:textId="4DAE9CB8" w:rsidR="00661C33" w:rsidRPr="005323D3" w:rsidRDefault="00661C33" w:rsidP="00C81EDC">
      <w:pPr>
        <w:spacing w:line="360" w:lineRule="auto"/>
        <w:ind w:left="567" w:right="567"/>
        <w:jc w:val="both"/>
        <w:rPr>
          <w:rFonts w:ascii="Times New Roman" w:hAnsi="Times New Roman" w:cs="Times New Roman"/>
          <w:color w:val="0D0D0D" w:themeColor="text1" w:themeTint="F2"/>
          <w:sz w:val="22"/>
          <w:szCs w:val="22"/>
        </w:rPr>
      </w:pPr>
      <w:r w:rsidRPr="005323D3">
        <w:rPr>
          <w:rFonts w:ascii="Times New Roman" w:hAnsi="Times New Roman" w:cs="Times New Roman"/>
          <w:sz w:val="22"/>
          <w:szCs w:val="22"/>
        </w:rPr>
        <w:t>The average turnaround time from specimen receipt to communication of the result was 20–22 minutes. This efficiency aligns with international pathology guidelines, en</w:t>
      </w:r>
      <w:r w:rsidRPr="005323D3">
        <w:rPr>
          <w:rFonts w:ascii="Times New Roman" w:hAnsi="Times New Roman" w:cs="Times New Roman"/>
          <w:color w:val="0D0D0D" w:themeColor="text1" w:themeTint="F2"/>
          <w:sz w:val="22"/>
          <w:szCs w:val="22"/>
        </w:rPr>
        <w:t>suring minimal prolongation of anesthesia time for the patient.</w:t>
      </w:r>
    </w:p>
    <w:p w14:paraId="0F1F1475" w14:textId="77777777" w:rsidR="001F7E9D" w:rsidRPr="005323D3" w:rsidRDefault="004A7BE4"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b/>
          <w:bCs/>
          <w:color w:val="0D0D0D" w:themeColor="text1" w:themeTint="F2"/>
          <w:sz w:val="22"/>
          <w:szCs w:val="22"/>
        </w:rPr>
        <w:t>Discussion</w:t>
      </w:r>
    </w:p>
    <w:p w14:paraId="703716E1" w14:textId="7C3818DF"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This study evaluated the diagnostic accuracy of frozen section analysis at a major tertiary care institution, demonstrating high concordance (98%) with final histopathological diagnoses. These findings affirm the reliability of frozen section as a tool for intraoperative decision-making.</w:t>
      </w:r>
    </w:p>
    <w:p w14:paraId="17B853FF" w14:textId="6D8583D6"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Our diagnostic accuracy of 98% aligns closely with reported values in the literature. Studies by Abbasi et al. (2012) reported 96.5% accuracy</w:t>
      </w:r>
      <w:r w:rsidR="005C70ED">
        <w:rPr>
          <w:rFonts w:ascii="Times New Roman" w:hAnsi="Times New Roman" w:cs="Times New Roman"/>
          <w:sz w:val="22"/>
          <w:szCs w:val="22"/>
        </w:rPr>
        <w:t>,</w:t>
      </w:r>
      <w:r w:rsidRPr="00311764">
        <w:rPr>
          <w:rFonts w:ascii="Times New Roman" w:hAnsi="Times New Roman" w:cs="Times New Roman"/>
          <w:sz w:val="22"/>
          <w:szCs w:val="22"/>
          <w:vertAlign w:val="superscript"/>
        </w:rPr>
        <w:t>7</w:t>
      </w:r>
      <w:r w:rsidR="005C70ED">
        <w:rPr>
          <w:rFonts w:ascii="Times New Roman" w:hAnsi="Times New Roman" w:cs="Times New Roman"/>
          <w:sz w:val="22"/>
          <w:szCs w:val="22"/>
          <w:vertAlign w:val="superscript"/>
        </w:rPr>
        <w:t xml:space="preserve"> </w:t>
      </w:r>
      <w:r w:rsidR="00AC5B1F">
        <w:rPr>
          <w:rFonts w:ascii="Times New Roman" w:hAnsi="Times New Roman" w:cs="Times New Roman"/>
          <w:sz w:val="22"/>
          <w:szCs w:val="22"/>
        </w:rPr>
        <w:t>H</w:t>
      </w:r>
      <w:r w:rsidRPr="005323D3">
        <w:rPr>
          <w:rFonts w:ascii="Times New Roman" w:hAnsi="Times New Roman" w:cs="Times New Roman"/>
          <w:sz w:val="22"/>
          <w:szCs w:val="22"/>
        </w:rPr>
        <w:t>atami et al. (2015) reported 97%</w:t>
      </w:r>
      <w:r w:rsidR="005C70ED">
        <w:rPr>
          <w:rFonts w:ascii="Times New Roman" w:hAnsi="Times New Roman" w:cs="Times New Roman"/>
          <w:sz w:val="22"/>
          <w:szCs w:val="22"/>
        </w:rPr>
        <w:t>,</w:t>
      </w:r>
      <w:r w:rsidRPr="00311764">
        <w:rPr>
          <w:rFonts w:ascii="Times New Roman" w:hAnsi="Times New Roman" w:cs="Times New Roman"/>
          <w:sz w:val="22"/>
          <w:szCs w:val="22"/>
          <w:vertAlign w:val="superscript"/>
        </w:rPr>
        <w:t>11</w:t>
      </w:r>
      <w:r w:rsidR="005C70ED">
        <w:rPr>
          <w:rFonts w:ascii="Times New Roman" w:hAnsi="Times New Roman" w:cs="Times New Roman"/>
          <w:sz w:val="22"/>
          <w:szCs w:val="22"/>
          <w:vertAlign w:val="superscript"/>
        </w:rPr>
        <w:t xml:space="preserve"> </w:t>
      </w:r>
      <w:r w:rsidRPr="005323D3">
        <w:rPr>
          <w:rFonts w:ascii="Times New Roman" w:hAnsi="Times New Roman" w:cs="Times New Roman"/>
          <w:sz w:val="22"/>
          <w:szCs w:val="22"/>
        </w:rPr>
        <w:t>and Adhikari et al. (2018) reported 97% accuracy</w:t>
      </w:r>
      <w:r w:rsidR="005C70ED">
        <w:rPr>
          <w:rFonts w:ascii="Times New Roman" w:hAnsi="Times New Roman" w:cs="Times New Roman"/>
          <w:sz w:val="22"/>
          <w:szCs w:val="22"/>
        </w:rPr>
        <w:t>.</w:t>
      </w:r>
      <w:r w:rsidRPr="008865BD">
        <w:rPr>
          <w:rFonts w:ascii="Times New Roman" w:hAnsi="Times New Roman" w:cs="Times New Roman"/>
          <w:sz w:val="22"/>
          <w:szCs w:val="22"/>
          <w:vertAlign w:val="superscript"/>
        </w:rPr>
        <w:t>12</w:t>
      </w:r>
      <w:r w:rsidRPr="005323D3">
        <w:rPr>
          <w:rFonts w:ascii="Times New Roman" w:hAnsi="Times New Roman" w:cs="Times New Roman"/>
          <w:sz w:val="22"/>
          <w:szCs w:val="22"/>
        </w:rPr>
        <w:t xml:space="preserve"> Our sensitivity of 96% and specificity of 100% are comparable to these studies, which reported sensitivities ranging from 92–98% and specificities from 87–100%</w:t>
      </w:r>
      <w:r w:rsidR="005C70ED">
        <w:rPr>
          <w:rFonts w:ascii="Times New Roman" w:hAnsi="Times New Roman" w:cs="Times New Roman"/>
          <w:sz w:val="22"/>
          <w:szCs w:val="22"/>
        </w:rPr>
        <w:t>.</w:t>
      </w:r>
      <w:r w:rsidRPr="00232EAE">
        <w:rPr>
          <w:rFonts w:ascii="Times New Roman" w:hAnsi="Times New Roman" w:cs="Times New Roman"/>
          <w:sz w:val="22"/>
          <w:szCs w:val="22"/>
          <w:vertAlign w:val="superscript"/>
        </w:rPr>
        <w:t>11,12,13</w:t>
      </w:r>
    </w:p>
    <w:p w14:paraId="157B0A26" w14:textId="654F6DA7"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Hirschsprung's Disease</w:t>
      </w:r>
      <w:r w:rsidR="001B0CCC" w:rsidRPr="005323D3">
        <w:rPr>
          <w:rFonts w:ascii="Times New Roman" w:hAnsi="Times New Roman" w:cs="Times New Roman"/>
          <w:sz w:val="22"/>
          <w:szCs w:val="22"/>
        </w:rPr>
        <w:t>:</w:t>
      </w:r>
    </w:p>
    <w:p w14:paraId="3244A0D7" w14:textId="78F0A35B" w:rsidR="00631342" w:rsidRPr="005323D3" w:rsidRDefault="00CD1DFF" w:rsidP="00C81EDC">
      <w:pPr>
        <w:spacing w:line="360" w:lineRule="auto"/>
        <w:ind w:left="567" w:right="567"/>
        <w:jc w:val="both"/>
        <w:rPr>
          <w:rFonts w:ascii="Times New Roman" w:eastAsia="Times New Roman" w:hAnsi="Times New Roman" w:cs="Times New Roman"/>
          <w:vanish/>
          <w:sz w:val="22"/>
          <w:szCs w:val="22"/>
          <w:lang w:val="en-IN" w:eastAsia="en-IN"/>
        </w:rPr>
      </w:pPr>
      <w:r w:rsidRPr="005323D3">
        <w:rPr>
          <w:rFonts w:ascii="Times New Roman" w:hAnsi="Times New Roman" w:cs="Times New Roman"/>
          <w:sz w:val="22"/>
          <w:szCs w:val="22"/>
        </w:rPr>
        <w:t>Frozen section analysis demonstrated 100% accuracy for Hirschsprung's disease cases, matching results from Preston and Bale (1985)</w:t>
      </w:r>
      <w:r w:rsidR="003538DD">
        <w:rPr>
          <w:rFonts w:ascii="Times New Roman" w:hAnsi="Times New Roman" w:cs="Times New Roman"/>
          <w:sz w:val="22"/>
          <w:szCs w:val="22"/>
        </w:rPr>
        <w:t>;</w:t>
      </w:r>
      <w:r w:rsidRPr="00DA432D">
        <w:rPr>
          <w:rFonts w:ascii="Times New Roman" w:hAnsi="Times New Roman" w:cs="Times New Roman"/>
          <w:sz w:val="22"/>
          <w:szCs w:val="22"/>
          <w:vertAlign w:val="superscript"/>
        </w:rPr>
        <w:t>17</w:t>
      </w:r>
      <w:r w:rsidR="00F3763F" w:rsidRPr="005323D3">
        <w:rPr>
          <w:rFonts w:ascii="Times New Roman" w:hAnsi="Times New Roman" w:cs="Times New Roman"/>
          <w:sz w:val="22"/>
          <w:szCs w:val="22"/>
        </w:rPr>
        <w:t xml:space="preserve"> </w:t>
      </w:r>
      <w:r w:rsidR="007B2F3E" w:rsidRPr="005323D3">
        <w:rPr>
          <w:rFonts w:ascii="Times New Roman" w:hAnsi="Times New Roman" w:cs="Times New Roman"/>
          <w:sz w:val="22"/>
          <w:szCs w:val="22"/>
        </w:rPr>
        <w:t>Maia in (2000)</w:t>
      </w:r>
      <w:r w:rsidR="005B2109" w:rsidRPr="00DA432D">
        <w:rPr>
          <w:rFonts w:ascii="Times New Roman" w:hAnsi="Times New Roman" w:cs="Times New Roman"/>
          <w:sz w:val="22"/>
          <w:szCs w:val="22"/>
          <w:vertAlign w:val="superscript"/>
        </w:rPr>
        <w:t>18</w:t>
      </w:r>
      <w:r w:rsidRPr="005323D3">
        <w:rPr>
          <w:rFonts w:ascii="Times New Roman" w:hAnsi="Times New Roman" w:cs="Times New Roman"/>
          <w:sz w:val="22"/>
          <w:szCs w:val="22"/>
        </w:rPr>
        <w:t xml:space="preserve"> and superior to the 89% reported by Shayan et al. (2004)</w:t>
      </w:r>
      <w:r w:rsidR="003538DD">
        <w:rPr>
          <w:rFonts w:ascii="Times New Roman" w:hAnsi="Times New Roman" w:cs="Times New Roman"/>
          <w:sz w:val="22"/>
          <w:szCs w:val="22"/>
        </w:rPr>
        <w:t>.</w:t>
      </w:r>
      <w:r w:rsidRPr="002A6962">
        <w:rPr>
          <w:rFonts w:ascii="Times New Roman" w:hAnsi="Times New Roman" w:cs="Times New Roman"/>
          <w:sz w:val="22"/>
          <w:szCs w:val="22"/>
          <w:vertAlign w:val="superscript"/>
        </w:rPr>
        <w:t>19</w:t>
      </w:r>
      <w:r w:rsidR="002A6962">
        <w:rPr>
          <w:rFonts w:ascii="Times New Roman" w:hAnsi="Times New Roman" w:cs="Times New Roman"/>
          <w:sz w:val="22"/>
          <w:szCs w:val="22"/>
        </w:rPr>
        <w:t xml:space="preserve"> </w:t>
      </w:r>
      <w:r w:rsidRPr="005323D3">
        <w:rPr>
          <w:rFonts w:ascii="Times New Roman" w:hAnsi="Times New Roman" w:cs="Times New Roman"/>
          <w:sz w:val="22"/>
          <w:szCs w:val="22"/>
        </w:rPr>
        <w:t>The high accuracy in HD cases reflects the well-defined histological criteria for identifying ganglion cells and the extensive experience of pathologists at our institution with this condition.</w:t>
      </w:r>
      <w:r w:rsidR="00631342" w:rsidRPr="005323D3">
        <w:rPr>
          <w:rFonts w:ascii="Times New Roman" w:hAnsi="Times New Roman" w:cs="Times New Roman"/>
          <w:b/>
          <w:bCs/>
          <w:sz w:val="22"/>
          <w:szCs w:val="22"/>
        </w:rPr>
        <w:t xml:space="preserve"> </w:t>
      </w:r>
      <w:r w:rsidR="00631342" w:rsidRPr="005323D3">
        <w:rPr>
          <w:rFonts w:ascii="Times New Roman" w:eastAsia="Times New Roman" w:hAnsi="Times New Roman" w:cs="Times New Roman"/>
          <w:vanish/>
          <w:sz w:val="22"/>
          <w:szCs w:val="22"/>
          <w:lang w:val="en-IN" w:eastAsia="en-IN"/>
        </w:rPr>
        <w:t>Top of Form</w:t>
      </w:r>
    </w:p>
    <w:p w14:paraId="0DDB261C" w14:textId="77777777" w:rsidR="00631342" w:rsidRPr="005323D3" w:rsidRDefault="00631342" w:rsidP="00C81EDC">
      <w:pPr>
        <w:spacing w:after="0" w:line="360" w:lineRule="auto"/>
        <w:ind w:left="567" w:right="567"/>
        <w:rPr>
          <w:rFonts w:ascii="Times New Roman" w:eastAsia="Times New Roman" w:hAnsi="Times New Roman" w:cs="Times New Roman"/>
          <w:sz w:val="22"/>
          <w:szCs w:val="22"/>
          <w:lang w:val="en-IN" w:eastAsia="en-IN"/>
        </w:rPr>
      </w:pPr>
    </w:p>
    <w:p w14:paraId="2C41033C" w14:textId="2B51B705" w:rsidR="00CD1DFF" w:rsidRPr="005323D3" w:rsidRDefault="00CD1DFF" w:rsidP="00C81EDC">
      <w:pPr>
        <w:spacing w:line="360" w:lineRule="auto"/>
        <w:ind w:left="567" w:right="567"/>
        <w:jc w:val="both"/>
        <w:rPr>
          <w:rFonts w:ascii="Times New Roman" w:hAnsi="Times New Roman" w:cs="Times New Roman"/>
          <w:sz w:val="22"/>
          <w:szCs w:val="22"/>
        </w:rPr>
      </w:pPr>
    </w:p>
    <w:p w14:paraId="5525EDD0" w14:textId="332E9F1F"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Margin Assessment</w:t>
      </w:r>
      <w:r w:rsidR="001B0CCC" w:rsidRPr="005323D3">
        <w:rPr>
          <w:rFonts w:ascii="Times New Roman" w:hAnsi="Times New Roman" w:cs="Times New Roman"/>
          <w:sz w:val="22"/>
          <w:szCs w:val="22"/>
        </w:rPr>
        <w:t>:</w:t>
      </w:r>
    </w:p>
    <w:p w14:paraId="2B211650" w14:textId="212BFA4D"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All margin assessments in our study (100%) were concordant with final reports. Margins were evaluated from various tissues including hepatocellular carcinoma, gallbladder carcinoma, gastric adenocarcinoma, and breast IDC. In two IDC cases and two HCC cases where margins were initially positive on frozen section, additional tissue was excised, and repeat frozen sections confirmed clear margins. This highlights the critical role of FS in achieving complete tumor resection and potentially reducing recurrence rates</w:t>
      </w:r>
      <w:r w:rsidR="003538DD">
        <w:rPr>
          <w:rFonts w:ascii="Times New Roman" w:hAnsi="Times New Roman" w:cs="Times New Roman"/>
          <w:sz w:val="22"/>
          <w:szCs w:val="22"/>
        </w:rPr>
        <w:t>.</w:t>
      </w:r>
      <w:r w:rsidRPr="002A6962">
        <w:rPr>
          <w:rFonts w:ascii="Times New Roman" w:hAnsi="Times New Roman" w:cs="Times New Roman"/>
          <w:sz w:val="22"/>
          <w:szCs w:val="22"/>
          <w:vertAlign w:val="superscript"/>
        </w:rPr>
        <w:t>12</w:t>
      </w:r>
    </w:p>
    <w:p w14:paraId="2F61B50F" w14:textId="1E9B40FB"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lastRenderedPageBreak/>
        <w:t>Error Analysis</w:t>
      </w:r>
      <w:r w:rsidR="001B0CCC" w:rsidRPr="005323D3">
        <w:rPr>
          <w:rFonts w:ascii="Times New Roman" w:hAnsi="Times New Roman" w:cs="Times New Roman"/>
          <w:sz w:val="22"/>
          <w:szCs w:val="22"/>
        </w:rPr>
        <w:t>:</w:t>
      </w:r>
    </w:p>
    <w:p w14:paraId="526BCA8D" w14:textId="2C5E93E8"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The single discordant case involved a lymph node where malignant foci were missed on frozen section due to inadequate deep sectioning</w:t>
      </w:r>
      <w:r w:rsidR="00F80F1C" w:rsidRPr="005323D3">
        <w:rPr>
          <w:rFonts w:ascii="Times New Roman" w:hAnsi="Times New Roman" w:cs="Times New Roman"/>
          <w:sz w:val="22"/>
          <w:szCs w:val="22"/>
        </w:rPr>
        <w:t>-</w:t>
      </w:r>
      <w:r w:rsidRPr="005323D3">
        <w:rPr>
          <w:rFonts w:ascii="Times New Roman" w:hAnsi="Times New Roman" w:cs="Times New Roman"/>
          <w:sz w:val="22"/>
          <w:szCs w:val="22"/>
        </w:rPr>
        <w:t>a recognized sampling error</w:t>
      </w:r>
      <w:r w:rsidR="003538DD">
        <w:rPr>
          <w:rFonts w:ascii="Times New Roman" w:hAnsi="Times New Roman" w:cs="Times New Roman"/>
          <w:sz w:val="22"/>
          <w:szCs w:val="22"/>
        </w:rPr>
        <w:t>.</w:t>
      </w:r>
      <w:r w:rsidRPr="002A6962">
        <w:rPr>
          <w:rFonts w:ascii="Times New Roman" w:hAnsi="Times New Roman" w:cs="Times New Roman"/>
          <w:sz w:val="22"/>
          <w:szCs w:val="22"/>
          <w:vertAlign w:val="superscript"/>
        </w:rPr>
        <w:t>14</w:t>
      </w:r>
      <w:r w:rsidR="00941F7A">
        <w:rPr>
          <w:rFonts w:ascii="Times New Roman" w:hAnsi="Times New Roman" w:cs="Times New Roman"/>
          <w:sz w:val="22"/>
          <w:szCs w:val="22"/>
          <w:vertAlign w:val="superscript"/>
        </w:rPr>
        <w:t xml:space="preserve"> </w:t>
      </w:r>
      <w:r w:rsidRPr="005323D3">
        <w:rPr>
          <w:rFonts w:ascii="Times New Roman" w:hAnsi="Times New Roman" w:cs="Times New Roman"/>
          <w:sz w:val="22"/>
          <w:szCs w:val="22"/>
        </w:rPr>
        <w:t>This case emphasizes the importance of thorough sectioning protocols and highlights an inherent limitation of frozen section technique. No errors related to freezing artifacts, staining quality, or pathologist interpretation were identified.</w:t>
      </w:r>
    </w:p>
    <w:p w14:paraId="0C4675B7" w14:textId="4518930F"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Technical Challenges</w:t>
      </w:r>
      <w:r w:rsidR="001B0CCC" w:rsidRPr="005323D3">
        <w:rPr>
          <w:rFonts w:ascii="Times New Roman" w:hAnsi="Times New Roman" w:cs="Times New Roman"/>
          <w:sz w:val="22"/>
          <w:szCs w:val="22"/>
        </w:rPr>
        <w:t>:</w:t>
      </w:r>
    </w:p>
    <w:p w14:paraId="061EB5F1" w14:textId="5F197048"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Certain tissue types and pathological conditions present particular challenges for frozen section diagnosis. Well-differentiated pancreatic, biliary, and colonic carcinomas can be difficult to distinguish from benign mimics</w:t>
      </w:r>
      <w:r w:rsidR="00941F7A">
        <w:rPr>
          <w:rFonts w:ascii="Times New Roman" w:hAnsi="Times New Roman" w:cs="Times New Roman"/>
          <w:sz w:val="22"/>
          <w:szCs w:val="22"/>
        </w:rPr>
        <w:t>.</w:t>
      </w:r>
      <w:r w:rsidRPr="002A6962">
        <w:rPr>
          <w:rFonts w:ascii="Times New Roman" w:hAnsi="Times New Roman" w:cs="Times New Roman"/>
          <w:sz w:val="22"/>
          <w:szCs w:val="22"/>
          <w:vertAlign w:val="superscript"/>
        </w:rPr>
        <w:t>9</w:t>
      </w:r>
      <w:r w:rsidRPr="005323D3">
        <w:rPr>
          <w:rFonts w:ascii="Times New Roman" w:hAnsi="Times New Roman" w:cs="Times New Roman"/>
          <w:sz w:val="22"/>
          <w:szCs w:val="22"/>
        </w:rPr>
        <w:t xml:space="preserve"> Similarly, assessing pancreatic margins in chronic pancreatitis poses diagnostic challenges. Awareness of these limitations is crucial for appropriate utilization of frozen section services.</w:t>
      </w:r>
    </w:p>
    <w:p w14:paraId="63368476" w14:textId="5ACE70ED"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Quality Assurance</w:t>
      </w:r>
      <w:r w:rsidR="001B0CCC" w:rsidRPr="005323D3">
        <w:rPr>
          <w:rFonts w:ascii="Times New Roman" w:hAnsi="Times New Roman" w:cs="Times New Roman"/>
          <w:sz w:val="22"/>
          <w:szCs w:val="22"/>
        </w:rPr>
        <w:t>:</w:t>
      </w:r>
    </w:p>
    <w:p w14:paraId="3D849FA0" w14:textId="2DDBC4CC"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The turnaround time of 20–22 minutes in our study falls within the accepted range of 18–25 minutes reported in the literature</w:t>
      </w:r>
      <w:r w:rsidRPr="002A6962">
        <w:rPr>
          <w:rFonts w:ascii="Times New Roman" w:hAnsi="Times New Roman" w:cs="Times New Roman"/>
          <w:sz w:val="22"/>
          <w:szCs w:val="22"/>
          <w:vertAlign w:val="superscript"/>
        </w:rPr>
        <w:t>15</w:t>
      </w:r>
      <w:r w:rsidR="002A6962">
        <w:rPr>
          <w:rFonts w:ascii="Times New Roman" w:hAnsi="Times New Roman" w:cs="Times New Roman"/>
          <w:sz w:val="22"/>
          <w:szCs w:val="22"/>
        </w:rPr>
        <w:t>.</w:t>
      </w:r>
      <w:r w:rsidRPr="005323D3">
        <w:rPr>
          <w:rFonts w:ascii="Times New Roman" w:hAnsi="Times New Roman" w:cs="Times New Roman"/>
          <w:sz w:val="22"/>
          <w:szCs w:val="22"/>
        </w:rPr>
        <w:t>This reflects efficient workflow and adequate technical infrastructure. Regular comparison of frozen section diagnoses with final histopathology reports, as performed in this study, represents an essential quality assurance measure for maintaining high diagnostic standards.</w:t>
      </w:r>
    </w:p>
    <w:p w14:paraId="23EC8129" w14:textId="3CCF2311"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Implications for Healthcare Delivery</w:t>
      </w:r>
      <w:r w:rsidR="001B0CCC" w:rsidRPr="005323D3">
        <w:rPr>
          <w:rFonts w:ascii="Times New Roman" w:hAnsi="Times New Roman" w:cs="Times New Roman"/>
          <w:sz w:val="22"/>
          <w:szCs w:val="22"/>
        </w:rPr>
        <w:t>:</w:t>
      </w:r>
    </w:p>
    <w:p w14:paraId="4323D909" w14:textId="77777777"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From a healthcare delivery perspective, accurate frozen section diagnosis has significant implications. It enables appropriate surgical planning, potentially reduces the need for re-operation, shortens overall surgical time, and improves patient outcomes. In resource-limited settings, the ability to make definitive intraoperative decisions is particularly valuable.</w:t>
      </w:r>
    </w:p>
    <w:p w14:paraId="514A11A0" w14:textId="71811D63"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Study Limitations</w:t>
      </w:r>
      <w:r w:rsidR="001B0CCC" w:rsidRPr="005323D3">
        <w:rPr>
          <w:rFonts w:ascii="Times New Roman" w:hAnsi="Times New Roman" w:cs="Times New Roman"/>
          <w:sz w:val="22"/>
          <w:szCs w:val="22"/>
        </w:rPr>
        <w:t>:</w:t>
      </w:r>
    </w:p>
    <w:p w14:paraId="1EC41EFA" w14:textId="1EBC621A"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This study has certain limitations. As a single-center retrospective analysis, the results may not be generalizable to all institutions. The relatively small sample size and limited representation of certain tissue types restrict comprehensive analysis of site-specific diagnostic challenges. Additionally, interobserver variability among pathologists was not assessed.</w:t>
      </w:r>
    </w:p>
    <w:p w14:paraId="0B210DD0" w14:textId="7C408843" w:rsidR="00E67CAE" w:rsidRPr="005323D3" w:rsidRDefault="00D7518D" w:rsidP="00C81EDC">
      <w:pPr>
        <w:spacing w:line="360" w:lineRule="auto"/>
        <w:ind w:left="567" w:right="567"/>
        <w:jc w:val="both"/>
        <w:rPr>
          <w:rFonts w:ascii="Times New Roman" w:hAnsi="Times New Roman" w:cs="Times New Roman"/>
          <w:b/>
          <w:bCs/>
          <w:sz w:val="22"/>
          <w:szCs w:val="22"/>
        </w:rPr>
      </w:pPr>
      <w:r w:rsidRPr="005323D3">
        <w:rPr>
          <w:rFonts w:ascii="Times New Roman" w:hAnsi="Times New Roman" w:cs="Times New Roman"/>
          <w:b/>
          <w:bCs/>
          <w:sz w:val="22"/>
          <w:szCs w:val="22"/>
        </w:rPr>
        <w:t>Recommendations</w:t>
      </w:r>
    </w:p>
    <w:p w14:paraId="63D74D34" w14:textId="77777777" w:rsidR="00B97757" w:rsidRDefault="00CD1DFF" w:rsidP="00B97757">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Based on our findings, we recommend:</w:t>
      </w:r>
    </w:p>
    <w:p w14:paraId="1B9F8BDC" w14:textId="77777777" w:rsidR="00B97757" w:rsidRPr="00E75474" w:rsidRDefault="00CD1DFF" w:rsidP="00E75474">
      <w:pPr>
        <w:pStyle w:val="ListParagraph"/>
        <w:numPr>
          <w:ilvl w:val="0"/>
          <w:numId w:val="15"/>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Implementation of standardized protocols for frozen section processing</w:t>
      </w:r>
    </w:p>
    <w:p w14:paraId="1FEFC65A" w14:textId="77777777" w:rsidR="00B97757" w:rsidRPr="00E75474" w:rsidRDefault="00CD1DFF" w:rsidP="00E75474">
      <w:pPr>
        <w:pStyle w:val="ListParagraph"/>
        <w:numPr>
          <w:ilvl w:val="0"/>
          <w:numId w:val="15"/>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Regular quality assurance audits comparing FS with final diagnoses</w:t>
      </w:r>
    </w:p>
    <w:p w14:paraId="4E8DB590" w14:textId="77777777" w:rsidR="00B97757" w:rsidRPr="00E75474" w:rsidRDefault="00CD1DFF" w:rsidP="00E75474">
      <w:pPr>
        <w:pStyle w:val="ListParagraph"/>
        <w:numPr>
          <w:ilvl w:val="0"/>
          <w:numId w:val="15"/>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lastRenderedPageBreak/>
        <w:t>Ongoing training programs for pathologists and technicians</w:t>
      </w:r>
    </w:p>
    <w:p w14:paraId="2B3B33B0" w14:textId="77777777" w:rsidR="00E75474" w:rsidRPr="00E75474" w:rsidRDefault="00CD1DFF" w:rsidP="00E75474">
      <w:pPr>
        <w:pStyle w:val="ListParagraph"/>
        <w:numPr>
          <w:ilvl w:val="0"/>
          <w:numId w:val="15"/>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Development of institutional guidelines for appropriate FS utilization</w:t>
      </w:r>
    </w:p>
    <w:p w14:paraId="50437E5B" w14:textId="162BD947" w:rsidR="00CD1DFF" w:rsidRPr="00E75474" w:rsidRDefault="00CD1DFF" w:rsidP="00E75474">
      <w:pPr>
        <w:pStyle w:val="ListParagraph"/>
        <w:numPr>
          <w:ilvl w:val="0"/>
          <w:numId w:val="15"/>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Enhanced communication between surgeons and pathologists regarding clinical context</w:t>
      </w:r>
    </w:p>
    <w:p w14:paraId="40CC5A1A" w14:textId="3CE37375" w:rsidR="00CD1DFF" w:rsidRPr="005323D3" w:rsidRDefault="00D7518D" w:rsidP="00C81EDC">
      <w:pPr>
        <w:spacing w:line="360" w:lineRule="auto"/>
        <w:ind w:left="567" w:right="567"/>
        <w:jc w:val="both"/>
        <w:rPr>
          <w:rFonts w:ascii="Times New Roman" w:hAnsi="Times New Roman" w:cs="Times New Roman"/>
          <w:b/>
          <w:bCs/>
          <w:sz w:val="22"/>
          <w:szCs w:val="22"/>
        </w:rPr>
      </w:pPr>
      <w:r w:rsidRPr="005323D3">
        <w:rPr>
          <w:rFonts w:ascii="Times New Roman" w:hAnsi="Times New Roman" w:cs="Times New Roman"/>
          <w:b/>
          <w:bCs/>
          <w:sz w:val="22"/>
          <w:szCs w:val="22"/>
        </w:rPr>
        <w:t>Conclusion</w:t>
      </w:r>
    </w:p>
    <w:p w14:paraId="7AA96AB0" w14:textId="77777777" w:rsidR="00CD1DFF" w:rsidRPr="005323D3" w:rsidRDefault="00CD1DFF" w:rsidP="00C81EDC">
      <w:pPr>
        <w:spacing w:line="360" w:lineRule="auto"/>
        <w:ind w:left="567" w:right="567"/>
        <w:jc w:val="both"/>
        <w:rPr>
          <w:rFonts w:ascii="Times New Roman" w:hAnsi="Times New Roman" w:cs="Times New Roman"/>
          <w:sz w:val="22"/>
          <w:szCs w:val="22"/>
        </w:rPr>
      </w:pPr>
      <w:r w:rsidRPr="005323D3">
        <w:rPr>
          <w:rFonts w:ascii="Times New Roman" w:hAnsi="Times New Roman" w:cs="Times New Roman"/>
          <w:sz w:val="22"/>
          <w:szCs w:val="22"/>
        </w:rPr>
        <w:t>This study demonstrates that frozen section interpretation at our tertiary care institution achieves high diagnostic accuracy (98%), with excellent sensitivity (96%) and specificity (100%). The single discordant case resulted from sampling error rather than interpretative error. These results support the continued use of frozen section analysis as a reliable tool for intraoperative surgical decision-making. However, recognition of technical limitations and implementation of robust quality assurance measures remain essential for maintaining diagnostic excellence and optimizing patient care.</w:t>
      </w:r>
    </w:p>
    <w:p w14:paraId="3BCF83FF" w14:textId="158C46D5" w:rsidR="003E20DC" w:rsidRPr="005323D3" w:rsidRDefault="003C221A" w:rsidP="00C81EDC">
      <w:pPr>
        <w:spacing w:line="360" w:lineRule="auto"/>
        <w:ind w:right="567"/>
        <w:jc w:val="both"/>
        <w:rPr>
          <w:rFonts w:ascii="Times New Roman" w:hAnsi="Times New Roman" w:cs="Times New Roman"/>
          <w:b/>
          <w:bCs/>
          <w:sz w:val="22"/>
          <w:szCs w:val="22"/>
        </w:rPr>
      </w:pPr>
      <w:r w:rsidRPr="005323D3">
        <w:rPr>
          <w:rFonts w:ascii="Times New Roman" w:hAnsi="Times New Roman" w:cs="Times New Roman"/>
          <w:b/>
          <w:bCs/>
          <w:sz w:val="22"/>
          <w:szCs w:val="22"/>
        </w:rPr>
        <w:t>References</w:t>
      </w:r>
    </w:p>
    <w:p w14:paraId="2307A7C7"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Patil P, Shukla S, Bhake A, Hiwale K. Accuracy of frozen section analysis in correlation with surgical pathology diagnosis. </w:t>
      </w:r>
      <w:r w:rsidRPr="00E75474">
        <w:rPr>
          <w:rFonts w:ascii="Times New Roman" w:hAnsi="Times New Roman" w:cs="Times New Roman"/>
          <w:b/>
          <w:bCs/>
          <w:sz w:val="22"/>
          <w:szCs w:val="22"/>
        </w:rPr>
        <w:t>Int J Res Med Sci</w:t>
      </w:r>
      <w:r w:rsidRPr="00E75474">
        <w:rPr>
          <w:rFonts w:ascii="Times New Roman" w:hAnsi="Times New Roman" w:cs="Times New Roman"/>
          <w:sz w:val="22"/>
          <w:szCs w:val="22"/>
        </w:rPr>
        <w:t xml:space="preserve"> 2015;3(2):399–404.</w:t>
      </w:r>
    </w:p>
    <w:p w14:paraId="77BC4479"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Sharma A, Archana. </w:t>
      </w:r>
      <w:r w:rsidRPr="00E75474">
        <w:rPr>
          <w:rFonts w:ascii="Times New Roman" w:hAnsi="Times New Roman" w:cs="Times New Roman"/>
          <w:i/>
          <w:iCs/>
          <w:sz w:val="22"/>
          <w:szCs w:val="22"/>
        </w:rPr>
        <w:t>Chromosome techniques: theory and practice</w:t>
      </w:r>
      <w:r w:rsidRPr="00E75474">
        <w:rPr>
          <w:rFonts w:ascii="Times New Roman" w:hAnsi="Times New Roman" w:cs="Times New Roman"/>
          <w:sz w:val="22"/>
          <w:szCs w:val="22"/>
        </w:rPr>
        <w:t>. 3rd ed. London: Butterworth-Heinemann; 2014. p. 89–112.</w:t>
      </w:r>
    </w:p>
    <w:p w14:paraId="0C9BC53B"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Nelson DW, Blanchard TH, Causey MW, Homann JF, Brown TA. Examining the accuracy and clinical usefulness of intraoperative frozen section analysis in the management of pancreatic lesions. </w:t>
      </w:r>
      <w:r w:rsidRPr="00E75474">
        <w:rPr>
          <w:rFonts w:ascii="Times New Roman" w:hAnsi="Times New Roman" w:cs="Times New Roman"/>
          <w:b/>
          <w:bCs/>
          <w:sz w:val="22"/>
          <w:szCs w:val="22"/>
        </w:rPr>
        <w:t>Am J Surg</w:t>
      </w:r>
      <w:r w:rsidRPr="00E75474">
        <w:rPr>
          <w:rFonts w:ascii="Times New Roman" w:hAnsi="Times New Roman" w:cs="Times New Roman"/>
          <w:sz w:val="22"/>
          <w:szCs w:val="22"/>
        </w:rPr>
        <w:t xml:space="preserve"> 2013;205(5):613–617.</w:t>
      </w:r>
    </w:p>
    <w:p w14:paraId="4EEA11DE"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Smith C, Ambartsumyan L, Kapur RP. Surgery, surgical pathology, and postoperative management of patients with Hirschsprung disease. </w:t>
      </w:r>
      <w:r w:rsidRPr="00E75474">
        <w:rPr>
          <w:rFonts w:ascii="Times New Roman" w:hAnsi="Times New Roman" w:cs="Times New Roman"/>
          <w:b/>
          <w:bCs/>
          <w:sz w:val="22"/>
          <w:szCs w:val="22"/>
        </w:rPr>
        <w:t>Pediatr Dev Pathol</w:t>
      </w:r>
      <w:r w:rsidRPr="00E75474">
        <w:rPr>
          <w:rFonts w:ascii="Times New Roman" w:hAnsi="Times New Roman" w:cs="Times New Roman"/>
          <w:sz w:val="22"/>
          <w:szCs w:val="22"/>
        </w:rPr>
        <w:t xml:space="preserve"> 2020;23(1):23–39.</w:t>
      </w:r>
    </w:p>
    <w:p w14:paraId="04BC5CA6"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White FV, Langer JC. Circumferential distribution of ganglion cells in the transition zone of children with Hirschsprung disease. </w:t>
      </w:r>
      <w:r w:rsidRPr="00E75474">
        <w:rPr>
          <w:rFonts w:ascii="Times New Roman" w:hAnsi="Times New Roman" w:cs="Times New Roman"/>
          <w:b/>
          <w:bCs/>
          <w:sz w:val="22"/>
          <w:szCs w:val="22"/>
        </w:rPr>
        <w:t>Pediatr Dev Pathol</w:t>
      </w:r>
      <w:r w:rsidRPr="00E75474">
        <w:rPr>
          <w:rFonts w:ascii="Times New Roman" w:hAnsi="Times New Roman" w:cs="Times New Roman"/>
          <w:sz w:val="22"/>
          <w:szCs w:val="22"/>
        </w:rPr>
        <w:t xml:space="preserve"> 2000;3(3):216–222.</w:t>
      </w:r>
    </w:p>
    <w:p w14:paraId="493B0E77"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Shiraki T, Kuroda H, Takada A, Nakazato Y, Kubota K, Imai Y. Intraoperative frozen section diagnosis of bile duct margin for extrahepatic cholangiocarcinoma. </w:t>
      </w:r>
      <w:r w:rsidRPr="00E75474">
        <w:rPr>
          <w:rFonts w:ascii="Times New Roman" w:hAnsi="Times New Roman" w:cs="Times New Roman"/>
          <w:b/>
          <w:bCs/>
          <w:sz w:val="22"/>
          <w:szCs w:val="22"/>
        </w:rPr>
        <w:t>World J Gastroenterol</w:t>
      </w:r>
      <w:r w:rsidRPr="00E75474">
        <w:rPr>
          <w:rFonts w:ascii="Times New Roman" w:hAnsi="Times New Roman" w:cs="Times New Roman"/>
          <w:sz w:val="22"/>
          <w:szCs w:val="22"/>
        </w:rPr>
        <w:t xml:space="preserve"> 2018;24(12):1332–1340.</w:t>
      </w:r>
    </w:p>
    <w:p w14:paraId="79A6D3FA"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Abbasi F, Yekta Z, Aryan A. Accuracy of frozen sections. </w:t>
      </w:r>
      <w:r w:rsidRPr="00E75474">
        <w:rPr>
          <w:rFonts w:ascii="Times New Roman" w:hAnsi="Times New Roman" w:cs="Times New Roman"/>
          <w:b/>
          <w:bCs/>
          <w:sz w:val="22"/>
          <w:szCs w:val="22"/>
        </w:rPr>
        <w:t>Iran J Pathol</w:t>
      </w:r>
      <w:r w:rsidRPr="00E75474">
        <w:rPr>
          <w:rFonts w:ascii="Times New Roman" w:hAnsi="Times New Roman" w:cs="Times New Roman"/>
          <w:sz w:val="22"/>
          <w:szCs w:val="22"/>
        </w:rPr>
        <w:t xml:space="preserve"> 2012;7(1):3–8.</w:t>
      </w:r>
    </w:p>
    <w:p w14:paraId="101F1B7A"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Jaafar H. Intra-operative frozen section consultation: Concepts, applications, and limitations. </w:t>
      </w:r>
      <w:r w:rsidRPr="00E75474">
        <w:rPr>
          <w:rFonts w:ascii="Times New Roman" w:hAnsi="Times New Roman" w:cs="Times New Roman"/>
          <w:b/>
          <w:bCs/>
          <w:sz w:val="22"/>
          <w:szCs w:val="22"/>
        </w:rPr>
        <w:t>Malays J Med Sci</w:t>
      </w:r>
      <w:r w:rsidRPr="00E75474">
        <w:rPr>
          <w:rFonts w:ascii="Times New Roman" w:hAnsi="Times New Roman" w:cs="Times New Roman"/>
          <w:sz w:val="22"/>
          <w:szCs w:val="22"/>
        </w:rPr>
        <w:t xml:space="preserve"> 2006;13(1):4–12.</w:t>
      </w:r>
    </w:p>
    <w:p w14:paraId="146DE254"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Dehan LM, Lewis JS Jr, Mehrad M, Ely KA. Patterns of major frozen section interpretation error: An in-depth analysis from a complex academic surgical pathology practice. </w:t>
      </w:r>
      <w:r w:rsidRPr="00E75474">
        <w:rPr>
          <w:rFonts w:ascii="Times New Roman" w:hAnsi="Times New Roman" w:cs="Times New Roman"/>
          <w:b/>
          <w:bCs/>
          <w:sz w:val="22"/>
          <w:szCs w:val="22"/>
        </w:rPr>
        <w:t>Am J Clin Pathol</w:t>
      </w:r>
      <w:r w:rsidRPr="00E75474">
        <w:rPr>
          <w:rFonts w:ascii="Times New Roman" w:hAnsi="Times New Roman" w:cs="Times New Roman"/>
          <w:sz w:val="22"/>
          <w:szCs w:val="22"/>
        </w:rPr>
        <w:t xml:space="preserve"> 2023;160(2):247–254.</w:t>
      </w:r>
    </w:p>
    <w:p w14:paraId="56905D2C"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Coffin CM, Spilker K, Zhou H, Lowichik A, Pysher TJ. Frozen section diagnosis in pediatric surgical pathology: A decade’s experience in a children’s hospital. </w:t>
      </w:r>
      <w:r w:rsidRPr="00E75474">
        <w:rPr>
          <w:rFonts w:ascii="Times New Roman" w:hAnsi="Times New Roman" w:cs="Times New Roman"/>
          <w:b/>
          <w:bCs/>
          <w:sz w:val="22"/>
          <w:szCs w:val="22"/>
        </w:rPr>
        <w:t>Arch Pathol Lab Med</w:t>
      </w:r>
      <w:r w:rsidRPr="00E75474">
        <w:rPr>
          <w:rFonts w:ascii="Times New Roman" w:hAnsi="Times New Roman" w:cs="Times New Roman"/>
          <w:sz w:val="22"/>
          <w:szCs w:val="22"/>
        </w:rPr>
        <w:t xml:space="preserve"> 2005;129(12):1619–1625.</w:t>
      </w:r>
    </w:p>
    <w:p w14:paraId="7B5344B6"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lastRenderedPageBreak/>
        <w:t xml:space="preserve">Hatami H, Mohsenifar Z, Alavi SN. Diagnostic accuracy of frozen section compared to permanent section: A single-center study in Iran. </w:t>
      </w:r>
      <w:r w:rsidRPr="00E75474">
        <w:rPr>
          <w:rFonts w:ascii="Times New Roman" w:hAnsi="Times New Roman" w:cs="Times New Roman"/>
          <w:b/>
          <w:bCs/>
          <w:sz w:val="22"/>
          <w:szCs w:val="22"/>
        </w:rPr>
        <w:t>Iran J Pathol</w:t>
      </w:r>
      <w:r w:rsidRPr="00E75474">
        <w:rPr>
          <w:rFonts w:ascii="Times New Roman" w:hAnsi="Times New Roman" w:cs="Times New Roman"/>
          <w:sz w:val="22"/>
          <w:szCs w:val="22"/>
        </w:rPr>
        <w:t xml:space="preserve"> 2015;10(4):295–300.</w:t>
      </w:r>
    </w:p>
    <w:p w14:paraId="447FF141"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Adhikari P, Upadhyaya P, Karki S, Agrawal CS, Chettri ST, Agrawal A. Accuracy of the frozen section with histopathological report in an institute. </w:t>
      </w:r>
      <w:r w:rsidRPr="00E75474">
        <w:rPr>
          <w:rFonts w:ascii="Times New Roman" w:hAnsi="Times New Roman" w:cs="Times New Roman"/>
          <w:b/>
          <w:bCs/>
          <w:sz w:val="22"/>
          <w:szCs w:val="22"/>
        </w:rPr>
        <w:t>JNMA J Nepal Med Assoc</w:t>
      </w:r>
      <w:r w:rsidRPr="00E75474">
        <w:rPr>
          <w:rFonts w:ascii="Times New Roman" w:hAnsi="Times New Roman" w:cs="Times New Roman"/>
          <w:sz w:val="22"/>
          <w:szCs w:val="22"/>
        </w:rPr>
        <w:t xml:space="preserve"> 2018;56(214):572–576.</w:t>
      </w:r>
    </w:p>
    <w:p w14:paraId="7B571D42"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Ahmad Z, Barakzai MA, Idrees R, Bhurgri Y. Correlation of intra-operative frozen section consultation with final diagnosis at a referral center in Karachi, Pakistan. </w:t>
      </w:r>
      <w:r w:rsidRPr="00E75474">
        <w:rPr>
          <w:rFonts w:ascii="Times New Roman" w:hAnsi="Times New Roman" w:cs="Times New Roman"/>
          <w:b/>
          <w:bCs/>
          <w:sz w:val="22"/>
          <w:szCs w:val="22"/>
        </w:rPr>
        <w:t>Indian J Pathol Microbiol</w:t>
      </w:r>
      <w:r w:rsidRPr="00E75474">
        <w:rPr>
          <w:rFonts w:ascii="Times New Roman" w:hAnsi="Times New Roman" w:cs="Times New Roman"/>
          <w:sz w:val="22"/>
          <w:szCs w:val="22"/>
        </w:rPr>
        <w:t xml:space="preserve"> 2008;51(4):469–473.</w:t>
      </w:r>
    </w:p>
    <w:p w14:paraId="580A543A"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Silva RD, Souto LR, Matsushita GD, Matsushita MD. Diagnostic accuracy of frozen section tests for surgical diseases. </w:t>
      </w:r>
      <w:r w:rsidRPr="00E75474">
        <w:rPr>
          <w:rFonts w:ascii="Times New Roman" w:hAnsi="Times New Roman" w:cs="Times New Roman"/>
          <w:b/>
          <w:bCs/>
          <w:sz w:val="22"/>
          <w:szCs w:val="22"/>
        </w:rPr>
        <w:t>Rev Col Bras Cir</w:t>
      </w:r>
      <w:r w:rsidRPr="00E75474">
        <w:rPr>
          <w:rFonts w:ascii="Times New Roman" w:hAnsi="Times New Roman" w:cs="Times New Roman"/>
          <w:sz w:val="22"/>
          <w:szCs w:val="22"/>
        </w:rPr>
        <w:t xml:space="preserve"> 2011;38(3):149–154.</w:t>
      </w:r>
    </w:p>
    <w:p w14:paraId="1F4E1A9A"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Novis DA, Zarbo RJ. Interinstitutional comparison of frozen section turnaround time: A College of American Pathologists Q-Probes study of 32,868 frozen sections in 700 hospitals. </w:t>
      </w:r>
      <w:r w:rsidRPr="00E75474">
        <w:rPr>
          <w:rFonts w:ascii="Times New Roman" w:hAnsi="Times New Roman" w:cs="Times New Roman"/>
          <w:b/>
          <w:bCs/>
          <w:sz w:val="22"/>
          <w:szCs w:val="22"/>
        </w:rPr>
        <w:t>Arch Pathol Lab Med</w:t>
      </w:r>
      <w:r w:rsidRPr="00E75474">
        <w:rPr>
          <w:rFonts w:ascii="Times New Roman" w:hAnsi="Times New Roman" w:cs="Times New Roman"/>
          <w:sz w:val="22"/>
          <w:szCs w:val="22"/>
        </w:rPr>
        <w:t xml:space="preserve"> 1997;121(6):559–567.</w:t>
      </w:r>
    </w:p>
    <w:p w14:paraId="125F3E25"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Tangde A, Shrivastava V, Joshi A. Analysis of frozen section in correlation with surgical pathology diagnosis. </w:t>
      </w:r>
      <w:r w:rsidRPr="00E75474">
        <w:rPr>
          <w:rFonts w:ascii="Times New Roman" w:hAnsi="Times New Roman" w:cs="Times New Roman"/>
          <w:b/>
          <w:bCs/>
          <w:sz w:val="22"/>
          <w:szCs w:val="22"/>
        </w:rPr>
        <w:t>Int J Res Med Sci</w:t>
      </w:r>
      <w:r w:rsidRPr="00E75474">
        <w:rPr>
          <w:rFonts w:ascii="Times New Roman" w:hAnsi="Times New Roman" w:cs="Times New Roman"/>
          <w:sz w:val="22"/>
          <w:szCs w:val="22"/>
        </w:rPr>
        <w:t xml:space="preserve"> 2019;7(6):2312–2317.</w:t>
      </w:r>
    </w:p>
    <w:p w14:paraId="6ADFCDC2"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Preston HS, Bale PM. Rapid frozen section in pediatric pathology. </w:t>
      </w:r>
      <w:r w:rsidRPr="00E75474">
        <w:rPr>
          <w:rFonts w:ascii="Times New Roman" w:hAnsi="Times New Roman" w:cs="Times New Roman"/>
          <w:b/>
          <w:bCs/>
          <w:sz w:val="22"/>
          <w:szCs w:val="22"/>
        </w:rPr>
        <w:t>Am J Surg Pathol</w:t>
      </w:r>
      <w:r w:rsidRPr="00E75474">
        <w:rPr>
          <w:rFonts w:ascii="Times New Roman" w:hAnsi="Times New Roman" w:cs="Times New Roman"/>
          <w:sz w:val="22"/>
          <w:szCs w:val="22"/>
        </w:rPr>
        <w:t xml:space="preserve"> 1985;9(8):570–576.</w:t>
      </w:r>
    </w:p>
    <w:p w14:paraId="26E56DC9" w14:textId="77777777" w:rsidR="003E20DC" w:rsidRPr="00E75474" w:rsidRDefault="003E20DC" w:rsidP="00E75474">
      <w:pPr>
        <w:pStyle w:val="ListParagraph"/>
        <w:numPr>
          <w:ilvl w:val="0"/>
          <w:numId w:val="16"/>
        </w:numPr>
        <w:spacing w:line="360" w:lineRule="auto"/>
        <w:ind w:right="567"/>
        <w:jc w:val="both"/>
        <w:rPr>
          <w:rFonts w:ascii="Times New Roman" w:hAnsi="Times New Roman" w:cs="Times New Roman"/>
          <w:sz w:val="22"/>
          <w:szCs w:val="22"/>
        </w:rPr>
      </w:pPr>
      <w:r w:rsidRPr="00E75474">
        <w:rPr>
          <w:rFonts w:ascii="Times New Roman" w:hAnsi="Times New Roman" w:cs="Times New Roman"/>
          <w:sz w:val="22"/>
          <w:szCs w:val="22"/>
        </w:rPr>
        <w:t xml:space="preserve">Maia DM. Reliability of frozen-section diagnosis in the pathologic evaluation of Hirschsprung disease. </w:t>
      </w:r>
      <w:r w:rsidRPr="00E75474">
        <w:rPr>
          <w:rFonts w:ascii="Times New Roman" w:hAnsi="Times New Roman" w:cs="Times New Roman"/>
          <w:b/>
          <w:bCs/>
          <w:sz w:val="22"/>
          <w:szCs w:val="22"/>
        </w:rPr>
        <w:t>Am J Surg Pathol</w:t>
      </w:r>
      <w:r w:rsidRPr="00E75474">
        <w:rPr>
          <w:rFonts w:ascii="Times New Roman" w:hAnsi="Times New Roman" w:cs="Times New Roman"/>
          <w:sz w:val="22"/>
          <w:szCs w:val="22"/>
        </w:rPr>
        <w:t xml:space="preserve"> 2000;24(12):1675–1681.</w:t>
      </w:r>
    </w:p>
    <w:p w14:paraId="5CDAA687" w14:textId="2665909E" w:rsidR="00CD1DFF" w:rsidRPr="00E75474" w:rsidRDefault="003E20DC" w:rsidP="00E75474">
      <w:pPr>
        <w:pStyle w:val="ListParagraph"/>
        <w:numPr>
          <w:ilvl w:val="0"/>
          <w:numId w:val="16"/>
        </w:numPr>
        <w:spacing w:line="360" w:lineRule="auto"/>
        <w:ind w:right="567"/>
        <w:jc w:val="both"/>
        <w:rPr>
          <w:rFonts w:ascii="Times New Roman" w:hAnsi="Times New Roman" w:cs="Times New Roman"/>
          <w:b/>
          <w:bCs/>
          <w:sz w:val="22"/>
          <w:szCs w:val="22"/>
        </w:rPr>
      </w:pPr>
      <w:r w:rsidRPr="00E75474">
        <w:rPr>
          <w:rFonts w:ascii="Times New Roman" w:hAnsi="Times New Roman" w:cs="Times New Roman"/>
          <w:sz w:val="22"/>
          <w:szCs w:val="22"/>
        </w:rPr>
        <w:t xml:space="preserve">Shayan K, Smith C, Langer JC. Reliability of intraoperative frozen sections in the management of Hirschsprung disease. </w:t>
      </w:r>
      <w:r w:rsidRPr="00E75474">
        <w:rPr>
          <w:rFonts w:ascii="Times New Roman" w:hAnsi="Times New Roman" w:cs="Times New Roman"/>
          <w:b/>
          <w:bCs/>
          <w:sz w:val="22"/>
          <w:szCs w:val="22"/>
        </w:rPr>
        <w:t>J Pediatr Surg</w:t>
      </w:r>
      <w:r w:rsidRPr="00E75474">
        <w:rPr>
          <w:rFonts w:ascii="Times New Roman" w:hAnsi="Times New Roman" w:cs="Times New Roman"/>
          <w:sz w:val="22"/>
          <w:szCs w:val="22"/>
        </w:rPr>
        <w:t xml:space="preserve"> 2004;39(9):1345–1348.</w:t>
      </w:r>
    </w:p>
    <w:p w14:paraId="73D38D4E" w14:textId="2CA4BC32" w:rsidR="00CD1DFF" w:rsidRPr="005323D3" w:rsidRDefault="00CD1DFF" w:rsidP="00E75474">
      <w:pPr>
        <w:spacing w:line="360" w:lineRule="auto"/>
        <w:ind w:right="567"/>
        <w:jc w:val="both"/>
        <w:rPr>
          <w:rFonts w:ascii="Times New Roman" w:hAnsi="Times New Roman" w:cs="Times New Roman"/>
          <w:sz w:val="22"/>
          <w:szCs w:val="22"/>
        </w:rPr>
      </w:pPr>
    </w:p>
    <w:p w14:paraId="679AA37F" w14:textId="650D85AC" w:rsidR="00661C33" w:rsidRPr="005323D3" w:rsidRDefault="00661C33" w:rsidP="00E75474">
      <w:pPr>
        <w:spacing w:line="360" w:lineRule="auto"/>
        <w:ind w:right="567"/>
        <w:jc w:val="both"/>
        <w:rPr>
          <w:rFonts w:ascii="Times New Roman" w:hAnsi="Times New Roman" w:cs="Times New Roman"/>
          <w:sz w:val="22"/>
          <w:szCs w:val="22"/>
        </w:rPr>
      </w:pPr>
    </w:p>
    <w:sectPr w:rsidR="00661C33" w:rsidRPr="005323D3" w:rsidSect="000D0C90">
      <w:pgSz w:w="12240" w:h="15840"/>
      <w:pgMar w:top="1440" w:right="567"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49F"/>
    <w:multiLevelType w:val="multilevel"/>
    <w:tmpl w:val="F2CAB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75CD2"/>
    <w:multiLevelType w:val="multilevel"/>
    <w:tmpl w:val="3A38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B3E2A"/>
    <w:multiLevelType w:val="multilevel"/>
    <w:tmpl w:val="13FE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86509"/>
    <w:multiLevelType w:val="multilevel"/>
    <w:tmpl w:val="9AF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55B2F"/>
    <w:multiLevelType w:val="multilevel"/>
    <w:tmpl w:val="CBEE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B6865"/>
    <w:multiLevelType w:val="multilevel"/>
    <w:tmpl w:val="7D8C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A3444"/>
    <w:multiLevelType w:val="multilevel"/>
    <w:tmpl w:val="80A6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332A3"/>
    <w:multiLevelType w:val="multilevel"/>
    <w:tmpl w:val="C430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0075D"/>
    <w:multiLevelType w:val="hybridMultilevel"/>
    <w:tmpl w:val="419C74C6"/>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9" w15:restartNumberingAfterBreak="0">
    <w:nsid w:val="40083F61"/>
    <w:multiLevelType w:val="hybridMultilevel"/>
    <w:tmpl w:val="39BC622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0" w15:restartNumberingAfterBreak="0">
    <w:nsid w:val="4C5C2099"/>
    <w:multiLevelType w:val="multilevel"/>
    <w:tmpl w:val="A508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A0CD2"/>
    <w:multiLevelType w:val="hybridMultilevel"/>
    <w:tmpl w:val="EA7AE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65E6EA6"/>
    <w:multiLevelType w:val="multilevel"/>
    <w:tmpl w:val="696A7A2A"/>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BF869DB"/>
    <w:multiLevelType w:val="multilevel"/>
    <w:tmpl w:val="6A48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0310E8"/>
    <w:multiLevelType w:val="multilevel"/>
    <w:tmpl w:val="87E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64821"/>
    <w:multiLevelType w:val="hybridMultilevel"/>
    <w:tmpl w:val="C914B1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9416661">
    <w:abstractNumId w:val="2"/>
  </w:num>
  <w:num w:numId="2" w16cid:durableId="1601259822">
    <w:abstractNumId w:val="14"/>
  </w:num>
  <w:num w:numId="3" w16cid:durableId="59912333">
    <w:abstractNumId w:val="3"/>
  </w:num>
  <w:num w:numId="4" w16cid:durableId="770707094">
    <w:abstractNumId w:val="10"/>
  </w:num>
  <w:num w:numId="5" w16cid:durableId="1716004970">
    <w:abstractNumId w:val="7"/>
  </w:num>
  <w:num w:numId="6" w16cid:durableId="2047639066">
    <w:abstractNumId w:val="1"/>
  </w:num>
  <w:num w:numId="7" w16cid:durableId="1902053049">
    <w:abstractNumId w:val="0"/>
  </w:num>
  <w:num w:numId="8" w16cid:durableId="1533373933">
    <w:abstractNumId w:val="4"/>
  </w:num>
  <w:num w:numId="9" w16cid:durableId="2019891942">
    <w:abstractNumId w:val="13"/>
  </w:num>
  <w:num w:numId="10" w16cid:durableId="973217561">
    <w:abstractNumId w:val="5"/>
  </w:num>
  <w:num w:numId="11" w16cid:durableId="129370685">
    <w:abstractNumId w:val="6"/>
  </w:num>
  <w:num w:numId="12" w16cid:durableId="2133789284">
    <w:abstractNumId w:val="11"/>
  </w:num>
  <w:num w:numId="13" w16cid:durableId="1319378496">
    <w:abstractNumId w:val="12"/>
  </w:num>
  <w:num w:numId="14" w16cid:durableId="2062171454">
    <w:abstractNumId w:val="9"/>
  </w:num>
  <w:num w:numId="15" w16cid:durableId="229074238">
    <w:abstractNumId w:val="8"/>
  </w:num>
  <w:num w:numId="16" w16cid:durableId="1001589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FF"/>
    <w:rsid w:val="00001362"/>
    <w:rsid w:val="00001F60"/>
    <w:rsid w:val="00006974"/>
    <w:rsid w:val="00035BB2"/>
    <w:rsid w:val="000B1DA2"/>
    <w:rsid w:val="000C5E4D"/>
    <w:rsid w:val="000D0C90"/>
    <w:rsid w:val="000F4F50"/>
    <w:rsid w:val="000F6835"/>
    <w:rsid w:val="00101303"/>
    <w:rsid w:val="0010395C"/>
    <w:rsid w:val="0010408F"/>
    <w:rsid w:val="0012158F"/>
    <w:rsid w:val="001221B4"/>
    <w:rsid w:val="00122EC6"/>
    <w:rsid w:val="00141D6C"/>
    <w:rsid w:val="001B0CCC"/>
    <w:rsid w:val="001C2C05"/>
    <w:rsid w:val="001F7E9D"/>
    <w:rsid w:val="00203D39"/>
    <w:rsid w:val="00232EAE"/>
    <w:rsid w:val="00236ABC"/>
    <w:rsid w:val="0024155B"/>
    <w:rsid w:val="00263EC7"/>
    <w:rsid w:val="00270281"/>
    <w:rsid w:val="002A6962"/>
    <w:rsid w:val="002E5B22"/>
    <w:rsid w:val="002F2AC3"/>
    <w:rsid w:val="00300A2C"/>
    <w:rsid w:val="00311764"/>
    <w:rsid w:val="0034442D"/>
    <w:rsid w:val="003538DD"/>
    <w:rsid w:val="00382052"/>
    <w:rsid w:val="00384111"/>
    <w:rsid w:val="003A30D0"/>
    <w:rsid w:val="003C221A"/>
    <w:rsid w:val="003E20DC"/>
    <w:rsid w:val="003F4D59"/>
    <w:rsid w:val="0040243C"/>
    <w:rsid w:val="00415317"/>
    <w:rsid w:val="0044328F"/>
    <w:rsid w:val="0045413A"/>
    <w:rsid w:val="00462106"/>
    <w:rsid w:val="00464790"/>
    <w:rsid w:val="004A7A19"/>
    <w:rsid w:val="004A7BE4"/>
    <w:rsid w:val="004C331C"/>
    <w:rsid w:val="004C40C9"/>
    <w:rsid w:val="004D496F"/>
    <w:rsid w:val="00507735"/>
    <w:rsid w:val="00511B10"/>
    <w:rsid w:val="00514B42"/>
    <w:rsid w:val="005323D3"/>
    <w:rsid w:val="00534D5F"/>
    <w:rsid w:val="00554BAF"/>
    <w:rsid w:val="005828B3"/>
    <w:rsid w:val="005B2109"/>
    <w:rsid w:val="005B535E"/>
    <w:rsid w:val="005B7777"/>
    <w:rsid w:val="005C70ED"/>
    <w:rsid w:val="00631342"/>
    <w:rsid w:val="006473D4"/>
    <w:rsid w:val="0065557F"/>
    <w:rsid w:val="00661C33"/>
    <w:rsid w:val="006676EC"/>
    <w:rsid w:val="00670542"/>
    <w:rsid w:val="00685943"/>
    <w:rsid w:val="006C2EEA"/>
    <w:rsid w:val="006D1C59"/>
    <w:rsid w:val="00710C94"/>
    <w:rsid w:val="00716BAE"/>
    <w:rsid w:val="007673FD"/>
    <w:rsid w:val="0078061D"/>
    <w:rsid w:val="00794DA0"/>
    <w:rsid w:val="007A368D"/>
    <w:rsid w:val="007B2F3E"/>
    <w:rsid w:val="007C5982"/>
    <w:rsid w:val="008043D6"/>
    <w:rsid w:val="008064FD"/>
    <w:rsid w:val="0084083D"/>
    <w:rsid w:val="0084092F"/>
    <w:rsid w:val="008820DC"/>
    <w:rsid w:val="00885C2C"/>
    <w:rsid w:val="008862FC"/>
    <w:rsid w:val="008865BD"/>
    <w:rsid w:val="008E0C6B"/>
    <w:rsid w:val="008E1F0F"/>
    <w:rsid w:val="00927967"/>
    <w:rsid w:val="00930898"/>
    <w:rsid w:val="00941F7A"/>
    <w:rsid w:val="00945316"/>
    <w:rsid w:val="009549CC"/>
    <w:rsid w:val="0096141E"/>
    <w:rsid w:val="009A6B85"/>
    <w:rsid w:val="009B75AE"/>
    <w:rsid w:val="00A1069B"/>
    <w:rsid w:val="00A66057"/>
    <w:rsid w:val="00AC1E45"/>
    <w:rsid w:val="00AC5B1F"/>
    <w:rsid w:val="00B0057D"/>
    <w:rsid w:val="00B70B83"/>
    <w:rsid w:val="00B7276F"/>
    <w:rsid w:val="00B76C2D"/>
    <w:rsid w:val="00B93C17"/>
    <w:rsid w:val="00B97757"/>
    <w:rsid w:val="00B97FDE"/>
    <w:rsid w:val="00BE6380"/>
    <w:rsid w:val="00BF04EC"/>
    <w:rsid w:val="00C071B8"/>
    <w:rsid w:val="00C4310A"/>
    <w:rsid w:val="00C81EDC"/>
    <w:rsid w:val="00CA3FA7"/>
    <w:rsid w:val="00CD1DFF"/>
    <w:rsid w:val="00D062BF"/>
    <w:rsid w:val="00D24842"/>
    <w:rsid w:val="00D24887"/>
    <w:rsid w:val="00D34192"/>
    <w:rsid w:val="00D62CAE"/>
    <w:rsid w:val="00D7132F"/>
    <w:rsid w:val="00D7518D"/>
    <w:rsid w:val="00DA432D"/>
    <w:rsid w:val="00DB4C1B"/>
    <w:rsid w:val="00DF1355"/>
    <w:rsid w:val="00E15E40"/>
    <w:rsid w:val="00E16E99"/>
    <w:rsid w:val="00E67CAE"/>
    <w:rsid w:val="00E75474"/>
    <w:rsid w:val="00ED3701"/>
    <w:rsid w:val="00EE05F4"/>
    <w:rsid w:val="00F01B10"/>
    <w:rsid w:val="00F3763F"/>
    <w:rsid w:val="00F53ED4"/>
    <w:rsid w:val="00F80F1C"/>
    <w:rsid w:val="00F9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F14C4"/>
  <w15:chartTrackingRefBased/>
  <w15:docId w15:val="{0B299352-2502-4921-B40E-342E9417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1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1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1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1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1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1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1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1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1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1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DFF"/>
    <w:rPr>
      <w:rFonts w:eastAsiaTheme="majorEastAsia" w:cstheme="majorBidi"/>
      <w:color w:val="272727" w:themeColor="text1" w:themeTint="D8"/>
    </w:rPr>
  </w:style>
  <w:style w:type="paragraph" w:styleId="Title">
    <w:name w:val="Title"/>
    <w:basedOn w:val="Normal"/>
    <w:next w:val="Normal"/>
    <w:link w:val="TitleChar"/>
    <w:uiPriority w:val="10"/>
    <w:qFormat/>
    <w:rsid w:val="00CD1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DFF"/>
    <w:pPr>
      <w:spacing w:before="160"/>
      <w:jc w:val="center"/>
    </w:pPr>
    <w:rPr>
      <w:i/>
      <w:iCs/>
      <w:color w:val="404040" w:themeColor="text1" w:themeTint="BF"/>
    </w:rPr>
  </w:style>
  <w:style w:type="character" w:customStyle="1" w:styleId="QuoteChar">
    <w:name w:val="Quote Char"/>
    <w:basedOn w:val="DefaultParagraphFont"/>
    <w:link w:val="Quote"/>
    <w:uiPriority w:val="29"/>
    <w:rsid w:val="00CD1DFF"/>
    <w:rPr>
      <w:i/>
      <w:iCs/>
      <w:color w:val="404040" w:themeColor="text1" w:themeTint="BF"/>
    </w:rPr>
  </w:style>
  <w:style w:type="paragraph" w:styleId="ListParagraph">
    <w:name w:val="List Paragraph"/>
    <w:basedOn w:val="Normal"/>
    <w:uiPriority w:val="34"/>
    <w:qFormat/>
    <w:rsid w:val="00CD1DFF"/>
    <w:pPr>
      <w:ind w:left="720"/>
      <w:contextualSpacing/>
    </w:pPr>
  </w:style>
  <w:style w:type="character" w:styleId="IntenseEmphasis">
    <w:name w:val="Intense Emphasis"/>
    <w:basedOn w:val="DefaultParagraphFont"/>
    <w:uiPriority w:val="21"/>
    <w:qFormat/>
    <w:rsid w:val="00CD1DFF"/>
    <w:rPr>
      <w:i/>
      <w:iCs/>
      <w:color w:val="2F5496" w:themeColor="accent1" w:themeShade="BF"/>
    </w:rPr>
  </w:style>
  <w:style w:type="paragraph" w:styleId="IntenseQuote">
    <w:name w:val="Intense Quote"/>
    <w:basedOn w:val="Normal"/>
    <w:next w:val="Normal"/>
    <w:link w:val="IntenseQuoteChar"/>
    <w:uiPriority w:val="30"/>
    <w:qFormat/>
    <w:rsid w:val="00CD1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1DFF"/>
    <w:rPr>
      <w:i/>
      <w:iCs/>
      <w:color w:val="2F5496" w:themeColor="accent1" w:themeShade="BF"/>
    </w:rPr>
  </w:style>
  <w:style w:type="character" w:styleId="IntenseReference">
    <w:name w:val="Intense Reference"/>
    <w:basedOn w:val="DefaultParagraphFont"/>
    <w:uiPriority w:val="32"/>
    <w:qFormat/>
    <w:rsid w:val="00CD1DFF"/>
    <w:rPr>
      <w:b/>
      <w:bCs/>
      <w:smallCaps/>
      <w:color w:val="2F5496" w:themeColor="accent1" w:themeShade="BF"/>
      <w:spacing w:val="5"/>
    </w:rPr>
  </w:style>
  <w:style w:type="table" w:styleId="TableGrid">
    <w:name w:val="Table Grid"/>
    <w:basedOn w:val="TableNormal"/>
    <w:uiPriority w:val="39"/>
    <w:rsid w:val="00CD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CD1D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3E20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Accent6">
    <w:name w:val="Grid Table 1 Light Accent 6"/>
    <w:basedOn w:val="TableNormal"/>
    <w:uiPriority w:val="46"/>
    <w:rsid w:val="003E20D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20D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Mansoor Nabi</dc:creator>
  <cp:keywords/>
  <dc:description/>
  <cp:lastModifiedBy>sabrina masoodi</cp:lastModifiedBy>
  <cp:revision>106</cp:revision>
  <dcterms:created xsi:type="dcterms:W3CDTF">2025-12-29T14:47:00Z</dcterms:created>
  <dcterms:modified xsi:type="dcterms:W3CDTF">2026-05-06T07:02:00Z</dcterms:modified>
</cp:coreProperties>
</file>