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B9D" w:rsidRPr="00BF2B9D" w:rsidRDefault="00BF2B9D" w:rsidP="00BF2B9D">
      <w:pPr>
        <w:shd w:val="clear" w:color="auto" w:fill="FFFFFF"/>
        <w:rPr>
          <w:rFonts w:asciiTheme="majorBidi" w:hAnsiTheme="majorBidi" w:cstheme="majorBidi"/>
          <w:b/>
          <w:bCs/>
          <w:color w:val="0F1115"/>
          <w:sz w:val="36"/>
          <w:szCs w:val="36"/>
        </w:rPr>
      </w:pPr>
      <w:r w:rsidRPr="00BF2B9D">
        <w:rPr>
          <w:rFonts w:asciiTheme="majorBidi" w:hAnsiTheme="majorBidi" w:cstheme="majorBidi"/>
          <w:b/>
          <w:bCs/>
          <w:color w:val="0F1115"/>
          <w:sz w:val="36"/>
          <w:szCs w:val="36"/>
        </w:rPr>
        <w:t>Assessment of Calcium, Vitamin D, and Vitamin B12 Status among College Students in Mauritius: Prevalence, Dietary Determinants, and Association with Cognitive Function</w:t>
      </w:r>
    </w:p>
    <w:p w:rsidR="00BF2B9D" w:rsidRPr="00BF2B9D" w:rsidRDefault="00BF2B9D" w:rsidP="00BF2B9D">
      <w:pPr>
        <w:shd w:val="clear" w:color="auto" w:fill="FFFFFF"/>
        <w:jc w:val="center"/>
        <w:rPr>
          <w:rFonts w:asciiTheme="majorBidi" w:hAnsiTheme="majorBidi" w:cstheme="majorBidi"/>
          <w:color w:val="0F1115"/>
        </w:rPr>
      </w:pPr>
      <w:r w:rsidRPr="00BF2B9D">
        <w:rPr>
          <w:rFonts w:asciiTheme="majorBidi" w:hAnsiTheme="majorBidi" w:cstheme="majorBidi"/>
          <w:b/>
          <w:bCs/>
          <w:color w:val="0F1115"/>
        </w:rPr>
        <w:t xml:space="preserve">Deshwali Kumar Sanjay¹*, </w:t>
      </w:r>
      <w:r w:rsidRPr="00D266E7">
        <w:rPr>
          <w:rFonts w:asciiTheme="majorBidi" w:hAnsiTheme="majorBidi" w:cstheme="majorBidi"/>
          <w:b/>
          <w:bCs/>
          <w:color w:val="0F1115"/>
        </w:rPr>
        <w:t>Sanjo Gupta</w:t>
      </w:r>
      <w:r w:rsidRPr="00BF2B9D">
        <w:rPr>
          <w:rFonts w:asciiTheme="majorBidi" w:hAnsiTheme="majorBidi" w:cstheme="majorBidi"/>
          <w:b/>
          <w:bCs/>
          <w:color w:val="0F1115"/>
        </w:rPr>
        <w:t xml:space="preserve">², </w:t>
      </w:r>
      <w:r w:rsidR="00D266E7" w:rsidRPr="00D266E7">
        <w:rPr>
          <w:rFonts w:asciiTheme="majorBidi" w:hAnsiTheme="majorBidi" w:cstheme="majorBidi"/>
          <w:b/>
          <w:bCs/>
          <w:color w:val="0F1115"/>
        </w:rPr>
        <w:t>Poulami Sarkar</w:t>
      </w:r>
      <w:r w:rsidR="00D266E7" w:rsidRPr="00D266E7">
        <w:rPr>
          <w:rFonts w:asciiTheme="majorBidi" w:hAnsiTheme="majorBidi" w:cstheme="majorBidi"/>
          <w:b/>
          <w:bCs/>
          <w:color w:val="0F1115"/>
          <w:vertAlign w:val="superscript"/>
        </w:rPr>
        <w:t>3</w:t>
      </w:r>
      <w:r w:rsidR="00D266E7" w:rsidRPr="00D266E7">
        <w:rPr>
          <w:rFonts w:asciiTheme="majorBidi" w:hAnsiTheme="majorBidi" w:cstheme="majorBidi"/>
          <w:b/>
          <w:bCs/>
          <w:color w:val="0F1115"/>
        </w:rPr>
        <w:t>,</w:t>
      </w:r>
      <w:r w:rsidRPr="00BF2B9D">
        <w:rPr>
          <w:rFonts w:asciiTheme="majorBidi" w:hAnsiTheme="majorBidi" w:cstheme="majorBidi"/>
          <w:b/>
          <w:bCs/>
          <w:color w:val="0F1115"/>
        </w:rPr>
        <w:t>Awotarowa Ridhee</w:t>
      </w:r>
      <w:r w:rsidR="00D266E7">
        <w:rPr>
          <w:rFonts w:asciiTheme="majorBidi" w:hAnsiTheme="majorBidi" w:cstheme="majorBidi"/>
          <w:b/>
          <w:bCs/>
          <w:color w:val="0F1115"/>
          <w:lang w:val="en-US"/>
        </w:rPr>
        <w:t>4</w:t>
      </w:r>
      <w:r w:rsidRPr="00BF2B9D">
        <w:rPr>
          <w:rFonts w:asciiTheme="majorBidi" w:hAnsiTheme="majorBidi" w:cstheme="majorBidi"/>
          <w:b/>
          <w:bCs/>
          <w:color w:val="0F1115"/>
        </w:rPr>
        <w:t>,</w:t>
      </w:r>
      <w:r w:rsidR="00D266E7" w:rsidRPr="00D266E7">
        <w:rPr>
          <w:rFonts w:asciiTheme="majorBidi" w:hAnsiTheme="majorBidi" w:cstheme="majorBidi"/>
          <w:b/>
          <w:bCs/>
          <w:color w:val="0F1115"/>
        </w:rPr>
        <w:t xml:space="preserve"> </w:t>
      </w:r>
      <w:r w:rsidR="00D266E7" w:rsidRPr="00BF2B9D">
        <w:rPr>
          <w:rFonts w:asciiTheme="majorBidi" w:hAnsiTheme="majorBidi" w:cstheme="majorBidi"/>
          <w:b/>
          <w:bCs/>
          <w:color w:val="0F1115"/>
        </w:rPr>
        <w:t>Kullen Girish</w:t>
      </w:r>
      <w:r w:rsidR="00D266E7" w:rsidRPr="00D266E7">
        <w:rPr>
          <w:rFonts w:asciiTheme="majorBidi" w:hAnsiTheme="majorBidi" w:cstheme="majorBidi"/>
          <w:b/>
          <w:bCs/>
          <w:color w:val="0F1115"/>
        </w:rPr>
        <w:t>,</w:t>
      </w:r>
      <w:r w:rsidRPr="00BF2B9D">
        <w:rPr>
          <w:rFonts w:asciiTheme="majorBidi" w:hAnsiTheme="majorBidi" w:cstheme="majorBidi"/>
          <w:b/>
          <w:bCs/>
          <w:color w:val="0F1115"/>
        </w:rPr>
        <w:t>Jokhoo Sonakshi</w:t>
      </w:r>
      <w:r w:rsidRPr="00BF2B9D">
        <w:rPr>
          <w:rFonts w:asciiTheme="majorBidi" w:hAnsiTheme="majorBidi" w:cstheme="majorBidi"/>
          <w:b/>
          <w:bCs/>
          <w:color w:val="0F1115"/>
          <w:vertAlign w:val="superscript"/>
        </w:rPr>
        <w:t>4</w:t>
      </w:r>
      <w:r w:rsidRPr="00BF2B9D">
        <w:rPr>
          <w:rFonts w:asciiTheme="majorBidi" w:hAnsiTheme="majorBidi" w:cstheme="majorBidi"/>
          <w:b/>
          <w:bCs/>
          <w:color w:val="0F1115"/>
        </w:rPr>
        <w:t xml:space="preserve"> ,Rajapundit Bhoomika Urvi</w:t>
      </w:r>
      <w:r w:rsidRPr="00BF2B9D">
        <w:rPr>
          <w:rFonts w:asciiTheme="majorBidi" w:hAnsiTheme="majorBidi" w:cstheme="majorBidi"/>
          <w:b/>
          <w:bCs/>
          <w:color w:val="0F1115"/>
          <w:vertAlign w:val="superscript"/>
        </w:rPr>
        <w:t>5</w:t>
      </w:r>
      <w:r w:rsidRPr="00BF2B9D">
        <w:rPr>
          <w:rFonts w:asciiTheme="majorBidi" w:hAnsiTheme="majorBidi" w:cstheme="majorBidi"/>
          <w:b/>
          <w:bCs/>
          <w:color w:val="0F1115"/>
        </w:rPr>
        <w:t xml:space="preserve">, </w:t>
      </w:r>
    </w:p>
    <w:p w:rsidR="00BF2B9D" w:rsidRPr="00BF2B9D" w:rsidRDefault="00BF2B9D" w:rsidP="00BF2B9D">
      <w:pPr>
        <w:shd w:val="clear" w:color="auto" w:fill="FFFFFF"/>
        <w:jc w:val="center"/>
        <w:rPr>
          <w:rFonts w:asciiTheme="majorBidi" w:hAnsiTheme="majorBidi" w:cstheme="majorBidi"/>
          <w:color w:val="0F1115"/>
        </w:rPr>
      </w:pPr>
      <w:r w:rsidRPr="00BF2B9D">
        <w:rPr>
          <w:rFonts w:asciiTheme="majorBidi" w:hAnsiTheme="majorBidi" w:cstheme="majorBidi"/>
          <w:color w:val="0F1115"/>
        </w:rPr>
        <w:t>¹Department of Biochemistry, SSR Medical College, Mauritius</w:t>
      </w:r>
      <w:r w:rsidRPr="00BF2B9D">
        <w:rPr>
          <w:rFonts w:asciiTheme="majorBidi" w:hAnsiTheme="majorBidi" w:cstheme="majorBidi"/>
          <w:color w:val="0F1115"/>
        </w:rPr>
        <w:br/>
        <w:t>²</w:t>
      </w:r>
      <w:r w:rsidRPr="00BF2B9D">
        <w:rPr>
          <w:rFonts w:asciiTheme="majorBidi" w:hAnsiTheme="majorBidi" w:cstheme="majorBidi"/>
          <w:color w:val="0F1115"/>
          <w:lang w:val="en-US"/>
        </w:rPr>
        <w:t>Department of Microbiology , Pacific Medical College, Udaipur,</w:t>
      </w:r>
      <w:r w:rsidRPr="00BF2B9D">
        <w:rPr>
          <w:rFonts w:asciiTheme="majorBidi" w:hAnsiTheme="majorBidi" w:cstheme="majorBidi"/>
          <w:color w:val="0F1115"/>
        </w:rPr>
        <w:t xml:space="preserve"> India</w:t>
      </w:r>
      <w:r w:rsidRPr="00BF2B9D">
        <w:rPr>
          <w:rFonts w:asciiTheme="majorBidi" w:hAnsiTheme="majorBidi" w:cstheme="majorBidi"/>
          <w:color w:val="0F1115"/>
        </w:rPr>
        <w:br/>
        <w:t>³⁴⁵</w:t>
      </w:r>
      <w:r w:rsidRPr="00BF2B9D">
        <w:rPr>
          <w:rFonts w:asciiTheme="majorBidi" w:hAnsiTheme="majorBidi" w:cstheme="majorBidi"/>
          <w:color w:val="0F1115"/>
          <w:lang w:val="en-US"/>
        </w:rPr>
        <w:t>⁶</w:t>
      </w:r>
      <w:r w:rsidRPr="00BF2B9D">
        <w:rPr>
          <w:rFonts w:asciiTheme="majorBidi" w:hAnsiTheme="majorBidi" w:cstheme="majorBidi"/>
          <w:color w:val="0F1115"/>
        </w:rPr>
        <w:t>MBBS Student, SSR Medical College, Mauritius</w:t>
      </w:r>
    </w:p>
    <w:p w:rsidR="00BF2B9D" w:rsidRPr="00BF2B9D" w:rsidRDefault="00BF2B9D" w:rsidP="00BF2B9D">
      <w:pPr>
        <w:shd w:val="clear" w:color="auto" w:fill="FFFFFF"/>
        <w:jc w:val="center"/>
        <w:rPr>
          <w:rFonts w:asciiTheme="majorBidi" w:hAnsiTheme="majorBidi" w:cstheme="majorBidi"/>
          <w:color w:val="0F1115"/>
        </w:rPr>
      </w:pPr>
      <w:r w:rsidRPr="00BF2B9D">
        <w:rPr>
          <w:rFonts w:asciiTheme="majorBidi" w:hAnsiTheme="majorBidi" w:cstheme="majorBidi"/>
          <w:color w:val="0F1115"/>
        </w:rPr>
        <w:t>*</w:t>
      </w:r>
      <w:r w:rsidRPr="00BF2B9D">
        <w:rPr>
          <w:rFonts w:asciiTheme="majorBidi" w:hAnsiTheme="majorBidi" w:cstheme="majorBidi"/>
          <w:b/>
          <w:bCs/>
          <w:color w:val="0F1115"/>
        </w:rPr>
        <w:t>Corresponding Author:</w:t>
      </w:r>
      <w:r w:rsidRPr="00BF2B9D">
        <w:rPr>
          <w:rFonts w:asciiTheme="majorBidi" w:hAnsiTheme="majorBidi" w:cstheme="majorBidi"/>
          <w:color w:val="0F1115"/>
        </w:rPr>
        <w:br/>
        <w:t>Dr. Sanjay Kumar Deshwali</w:t>
      </w:r>
      <w:r w:rsidRPr="00BF2B9D">
        <w:rPr>
          <w:rFonts w:asciiTheme="majorBidi" w:hAnsiTheme="majorBidi" w:cstheme="majorBidi"/>
          <w:color w:val="0F1115"/>
        </w:rPr>
        <w:br/>
        <w:t>Department of Biochemistry, SSR Medical College, Mauritius</w:t>
      </w:r>
      <w:r w:rsidRPr="00BF2B9D">
        <w:rPr>
          <w:rFonts w:asciiTheme="majorBidi" w:hAnsiTheme="majorBidi" w:cstheme="majorBidi"/>
          <w:color w:val="0F1115"/>
        </w:rPr>
        <w:br/>
        <w:t>Email: drsanjaydeshwalissrmc@gmail.com</w:t>
      </w:r>
    </w:p>
    <w:p w:rsidR="00BF2B9D" w:rsidRPr="00BF2B9D" w:rsidRDefault="00BF2B9D" w:rsidP="00BF2B9D">
      <w:pPr>
        <w:shd w:val="clear" w:color="auto" w:fill="FFFFFF"/>
        <w:spacing w:before="480" w:after="240" w:line="450" w:lineRule="atLeast"/>
        <w:jc w:val="both"/>
        <w:outlineLvl w:val="2"/>
        <w:rPr>
          <w:rFonts w:asciiTheme="majorBidi" w:eastAsia="Times New Roman" w:hAnsiTheme="majorBidi" w:cstheme="majorBidi"/>
          <w:b/>
          <w:bCs/>
          <w:color w:val="0F1115"/>
          <w:sz w:val="32"/>
          <w:szCs w:val="32"/>
        </w:rPr>
      </w:pPr>
      <w:r w:rsidRPr="00BF2B9D">
        <w:rPr>
          <w:rFonts w:asciiTheme="majorBidi" w:eastAsia="Times New Roman" w:hAnsiTheme="majorBidi" w:cstheme="majorBidi"/>
          <w:b/>
          <w:bCs/>
          <w:color w:val="0F1115"/>
          <w:sz w:val="32"/>
          <w:szCs w:val="32"/>
        </w:rPr>
        <w:t>Abstract</w:t>
      </w:r>
    </w:p>
    <w:p w:rsidR="00BF2B9D" w:rsidRPr="00BF2B9D" w:rsidRDefault="00BF2B9D" w:rsidP="00BF2B9D">
      <w:pPr>
        <w:shd w:val="clear" w:color="auto" w:fill="FFFFFF"/>
        <w:contextualSpacing/>
        <w:jc w:val="both"/>
        <w:rPr>
          <w:rFonts w:asciiTheme="majorBidi" w:eastAsia="Times New Roman" w:hAnsiTheme="majorBidi" w:cstheme="majorBidi"/>
          <w:color w:val="0F1115"/>
          <w:sz w:val="22"/>
          <w:szCs w:val="22"/>
        </w:rPr>
      </w:pPr>
      <w:r w:rsidRPr="00BF2B9D">
        <w:rPr>
          <w:rFonts w:asciiTheme="majorBidi" w:eastAsia="Times New Roman" w:hAnsiTheme="majorBidi" w:cstheme="majorBidi"/>
          <w:b/>
          <w:bCs/>
          <w:color w:val="0F1115"/>
          <w:sz w:val="22"/>
          <w:szCs w:val="22"/>
        </w:rPr>
        <w:t>Background:</w:t>
      </w:r>
      <w:r w:rsidRPr="00BF2B9D">
        <w:rPr>
          <w:rFonts w:asciiTheme="majorBidi" w:eastAsia="Times New Roman" w:hAnsiTheme="majorBidi" w:cstheme="majorBidi"/>
          <w:color w:val="0F1115"/>
          <w:sz w:val="22"/>
          <w:szCs w:val="22"/>
        </w:rPr>
        <w:t> Nutritional deficiencies are a global concern, particularly among young adults in transitional settings. This study assessed the prevalence of inadequate dietary intake of calcium, vitamin D, and vitamin B12 among college students in Mauritius, identified key dietary determinants, and explored their association with self-reported cognitive function and fatigue.</w:t>
      </w:r>
    </w:p>
    <w:p w:rsidR="00BF2B9D" w:rsidRPr="00BF2B9D" w:rsidRDefault="00BF2B9D" w:rsidP="00BF2B9D">
      <w:pPr>
        <w:shd w:val="clear" w:color="auto" w:fill="FFFFFF"/>
        <w:contextualSpacing/>
        <w:jc w:val="both"/>
        <w:rPr>
          <w:rFonts w:asciiTheme="majorBidi" w:eastAsia="Times New Roman" w:hAnsiTheme="majorBidi" w:cstheme="majorBidi"/>
          <w:color w:val="0F1115"/>
          <w:sz w:val="22"/>
          <w:szCs w:val="22"/>
        </w:rPr>
      </w:pPr>
      <w:r w:rsidRPr="00BF2B9D">
        <w:rPr>
          <w:rFonts w:asciiTheme="majorBidi" w:eastAsia="Times New Roman" w:hAnsiTheme="majorBidi" w:cstheme="majorBidi"/>
          <w:b/>
          <w:bCs/>
          <w:color w:val="0F1115"/>
          <w:sz w:val="22"/>
          <w:szCs w:val="22"/>
        </w:rPr>
        <w:t>Methods:</w:t>
      </w:r>
      <w:r w:rsidRPr="00BF2B9D">
        <w:rPr>
          <w:rFonts w:asciiTheme="majorBidi" w:eastAsia="Times New Roman" w:hAnsiTheme="majorBidi" w:cstheme="majorBidi"/>
          <w:color w:val="0F1115"/>
          <w:sz w:val="22"/>
          <w:szCs w:val="22"/>
        </w:rPr>
        <w:t> A cross-sectional study was conducted among 180 college students (n=180) using a structured online questionnaire. The survey captured demographics, residency, sun exposure, and a food frequency questionnaire (FFQ) for dietary assessment. Self-reported cognitive function and fatigue were measured using a Likert scale. Chi-square tests were employed to analyze associations between dietary intake and cognitive symptoms, with statistical significance set at p &lt; 0.05.</w:t>
      </w:r>
    </w:p>
    <w:p w:rsidR="00BF2B9D" w:rsidRPr="00BF2B9D" w:rsidRDefault="00BF2B9D" w:rsidP="00BF2B9D">
      <w:pPr>
        <w:shd w:val="clear" w:color="auto" w:fill="FFFFFF"/>
        <w:contextualSpacing/>
        <w:jc w:val="both"/>
        <w:rPr>
          <w:rFonts w:asciiTheme="majorBidi" w:eastAsia="Times New Roman" w:hAnsiTheme="majorBidi" w:cstheme="majorBidi"/>
          <w:color w:val="0F1115"/>
          <w:sz w:val="22"/>
          <w:szCs w:val="22"/>
        </w:rPr>
      </w:pPr>
      <w:r w:rsidRPr="00BF2B9D">
        <w:rPr>
          <w:rFonts w:asciiTheme="majorBidi" w:eastAsia="Times New Roman" w:hAnsiTheme="majorBidi" w:cstheme="majorBidi"/>
          <w:b/>
          <w:bCs/>
          <w:color w:val="0F1115"/>
          <w:sz w:val="22"/>
          <w:szCs w:val="22"/>
        </w:rPr>
        <w:t>Results:</w:t>
      </w:r>
      <w:r w:rsidRPr="00BF2B9D">
        <w:rPr>
          <w:rFonts w:asciiTheme="majorBidi" w:eastAsia="Times New Roman" w:hAnsiTheme="majorBidi" w:cstheme="majorBidi"/>
          <w:color w:val="0F1115"/>
          <w:sz w:val="22"/>
          <w:szCs w:val="22"/>
        </w:rPr>
        <w:t> The majority of participants were Indo-Mauritian (72.2%) and lived with their parents (70.0%). A significant proportion reported low sun exposure, with 32.2% spending less than 15 minutes outdoors daily. Dietary intake of key nutrients was suboptimal: 51.1% of respondents consumed milk less than once per week, and 61.1% never consumed fortified plant-based milks. Statistically significant associations were found between milk consumption frequency and self-reported memory problems (χ² = 15.47, p = 0.004), between fatty fish consumption and fatigue (χ² = 9.84, p = 0.007), and between overall dietary diversity and concentration difficulties (χ² = 12.33, p = 0.015), suggesting a potential link between dietary nutrient intake and cognitive complaints.</w:t>
      </w:r>
    </w:p>
    <w:p w:rsidR="00BF2B9D" w:rsidRPr="00BF2B9D" w:rsidRDefault="00BF2B9D" w:rsidP="00BF2B9D">
      <w:pPr>
        <w:shd w:val="clear" w:color="auto" w:fill="FFFFFF"/>
        <w:contextualSpacing/>
        <w:jc w:val="both"/>
        <w:rPr>
          <w:rFonts w:asciiTheme="majorBidi" w:eastAsia="Times New Roman" w:hAnsiTheme="majorBidi" w:cstheme="majorBidi"/>
          <w:color w:val="0F1115"/>
          <w:sz w:val="22"/>
          <w:szCs w:val="22"/>
        </w:rPr>
      </w:pPr>
      <w:r w:rsidRPr="00BF2B9D">
        <w:rPr>
          <w:rFonts w:asciiTheme="majorBidi" w:eastAsia="Times New Roman" w:hAnsiTheme="majorBidi" w:cstheme="majorBidi"/>
          <w:b/>
          <w:bCs/>
          <w:color w:val="0F1115"/>
          <w:sz w:val="22"/>
          <w:szCs w:val="22"/>
        </w:rPr>
        <w:t>Conclusion:</w:t>
      </w:r>
      <w:r w:rsidRPr="00BF2B9D">
        <w:rPr>
          <w:rFonts w:asciiTheme="majorBidi" w:eastAsia="Times New Roman" w:hAnsiTheme="majorBidi" w:cstheme="majorBidi"/>
          <w:color w:val="0F1115"/>
          <w:sz w:val="22"/>
          <w:szCs w:val="22"/>
        </w:rPr>
        <w:t> Inadequate intake of calcium, vitamin D, and vitamin B12-rich foods is prevalent among Mauritian college students and is significantly associated with self-reported cognitive difficulties and fatigue. These findings highlight the need for targeted nutritional interventions and public health strategies to improve the micronutrient status of this population.</w:t>
      </w:r>
    </w:p>
    <w:p w:rsidR="00BF2B9D" w:rsidRPr="00BF2B9D" w:rsidRDefault="00BF2B9D" w:rsidP="00BF2B9D">
      <w:pPr>
        <w:shd w:val="clear" w:color="auto" w:fill="FFFFFF"/>
        <w:contextualSpacing/>
        <w:jc w:val="both"/>
        <w:rPr>
          <w:rFonts w:asciiTheme="majorBidi" w:eastAsia="Times New Roman" w:hAnsiTheme="majorBidi" w:cstheme="majorBidi"/>
          <w:color w:val="0F1115"/>
          <w:sz w:val="22"/>
          <w:szCs w:val="22"/>
        </w:rPr>
      </w:pPr>
    </w:p>
    <w:p w:rsidR="00BF2B9D" w:rsidRPr="00BF2B9D" w:rsidRDefault="00BF2B9D" w:rsidP="00BF2B9D">
      <w:pPr>
        <w:shd w:val="clear" w:color="auto" w:fill="FFFFFF"/>
        <w:contextualSpacing/>
        <w:jc w:val="both"/>
        <w:rPr>
          <w:rFonts w:asciiTheme="majorBidi" w:hAnsiTheme="majorBidi" w:cstheme="majorBidi"/>
          <w:color w:val="0F1115"/>
          <w:sz w:val="22"/>
          <w:szCs w:val="22"/>
        </w:rPr>
      </w:pPr>
      <w:r w:rsidRPr="00BF2B9D">
        <w:rPr>
          <w:rFonts w:asciiTheme="majorBidi" w:hAnsiTheme="majorBidi" w:cstheme="majorBidi"/>
          <w:b/>
          <w:bCs/>
          <w:color w:val="0F1115"/>
          <w:sz w:val="22"/>
          <w:szCs w:val="22"/>
        </w:rPr>
        <w:t>Keywords:</w:t>
      </w:r>
      <w:r w:rsidRPr="00BF2B9D">
        <w:rPr>
          <w:rFonts w:asciiTheme="majorBidi" w:hAnsiTheme="majorBidi" w:cstheme="majorBidi"/>
          <w:color w:val="0F1115"/>
          <w:sz w:val="22"/>
          <w:szCs w:val="22"/>
        </w:rPr>
        <w:t> Calcium, Vitamin D, Vitamin B12, College Students, Mauritius, Cognitive Function, Dietary Determinants, Micronutrient Deficiency</w:t>
      </w:r>
    </w:p>
    <w:p w:rsidR="00834A29" w:rsidRDefault="00834A29" w:rsidP="00BF2B9D">
      <w:pPr>
        <w:shd w:val="clear" w:color="auto" w:fill="FFFFFF"/>
        <w:rPr>
          <w:rFonts w:asciiTheme="majorBidi" w:hAnsiTheme="majorBidi" w:cstheme="majorBidi"/>
          <w:b/>
          <w:bCs/>
          <w:color w:val="0F1115"/>
          <w:sz w:val="33"/>
          <w:szCs w:val="33"/>
        </w:rPr>
      </w:pPr>
    </w:p>
    <w:p w:rsidR="00834A29" w:rsidRDefault="00834A29" w:rsidP="00BF2B9D">
      <w:pPr>
        <w:shd w:val="clear" w:color="auto" w:fill="FFFFFF"/>
        <w:rPr>
          <w:rFonts w:asciiTheme="majorBidi" w:hAnsiTheme="majorBidi" w:cstheme="majorBidi"/>
          <w:b/>
          <w:bCs/>
          <w:color w:val="0F1115"/>
          <w:sz w:val="33"/>
          <w:szCs w:val="33"/>
        </w:rPr>
      </w:pPr>
    </w:p>
    <w:p w:rsidR="00834A29" w:rsidRDefault="00834A29" w:rsidP="00BF2B9D">
      <w:pPr>
        <w:shd w:val="clear" w:color="auto" w:fill="FFFFFF"/>
        <w:rPr>
          <w:rFonts w:asciiTheme="majorBidi" w:hAnsiTheme="majorBidi" w:cstheme="majorBidi"/>
          <w:b/>
          <w:bCs/>
          <w:color w:val="0F1115"/>
          <w:sz w:val="33"/>
          <w:szCs w:val="33"/>
        </w:rPr>
      </w:pPr>
    </w:p>
    <w:p w:rsidR="00834A29" w:rsidRDefault="00834A29" w:rsidP="00BF2B9D">
      <w:pPr>
        <w:shd w:val="clear" w:color="auto" w:fill="FFFFFF"/>
        <w:rPr>
          <w:rFonts w:asciiTheme="majorBidi" w:hAnsiTheme="majorBidi" w:cstheme="majorBidi"/>
          <w:b/>
          <w:bCs/>
          <w:color w:val="0F1115"/>
          <w:sz w:val="33"/>
          <w:szCs w:val="33"/>
        </w:rPr>
      </w:pPr>
    </w:p>
    <w:p w:rsidR="00834A29" w:rsidRDefault="00834A29" w:rsidP="00BF2B9D">
      <w:pPr>
        <w:shd w:val="clear" w:color="auto" w:fill="FFFFFF"/>
        <w:rPr>
          <w:rFonts w:asciiTheme="majorBidi" w:hAnsiTheme="majorBidi" w:cstheme="majorBidi"/>
          <w:b/>
          <w:bCs/>
          <w:color w:val="0F1115"/>
          <w:sz w:val="33"/>
          <w:szCs w:val="33"/>
        </w:rPr>
      </w:pPr>
    </w:p>
    <w:p w:rsidR="00BF2B9D" w:rsidRPr="00834A29" w:rsidRDefault="00BF2B9D" w:rsidP="00BF2B9D">
      <w:pPr>
        <w:shd w:val="clear" w:color="auto" w:fill="FFFFFF"/>
        <w:rPr>
          <w:rFonts w:asciiTheme="majorBidi" w:hAnsiTheme="majorBidi" w:cstheme="majorBidi"/>
          <w:b/>
          <w:bCs/>
          <w:color w:val="0F1115"/>
          <w:sz w:val="32"/>
          <w:szCs w:val="32"/>
        </w:rPr>
      </w:pPr>
      <w:r w:rsidRPr="00834A29">
        <w:rPr>
          <w:rFonts w:asciiTheme="majorBidi" w:hAnsiTheme="majorBidi" w:cstheme="majorBidi"/>
          <w:b/>
          <w:bCs/>
          <w:color w:val="0F1115"/>
          <w:sz w:val="32"/>
          <w:szCs w:val="32"/>
        </w:rPr>
        <w:lastRenderedPageBreak/>
        <w:t>Introduction</w:t>
      </w:r>
    </w:p>
    <w:p w:rsidR="00BF2B9D" w:rsidRPr="00BF2B9D" w:rsidRDefault="00BF2B9D" w:rsidP="00BF2B9D">
      <w:pPr>
        <w:shd w:val="clear" w:color="auto" w:fill="FFFFFF"/>
        <w:rPr>
          <w:rFonts w:asciiTheme="majorBidi" w:hAnsiTheme="majorBidi" w:cstheme="majorBidi"/>
          <w:b/>
          <w:bCs/>
          <w:color w:val="0F1115"/>
          <w:sz w:val="30"/>
          <w:szCs w:val="30"/>
        </w:rPr>
      </w:pPr>
      <w:r w:rsidRPr="00BF2B9D">
        <w:rPr>
          <w:rFonts w:asciiTheme="majorBidi" w:hAnsiTheme="majorBidi" w:cstheme="majorBidi"/>
          <w:b/>
          <w:bCs/>
          <w:color w:val="0F1115"/>
          <w:sz w:val="30"/>
          <w:szCs w:val="30"/>
        </w:rPr>
        <w:t>Background</w:t>
      </w:r>
    </w:p>
    <w:p w:rsidR="00BF2B9D" w:rsidRPr="00BF2B9D" w:rsidRDefault="00BF2B9D" w:rsidP="00BF2B9D">
      <w:pPr>
        <w:shd w:val="clear" w:color="auto" w:fill="FFFFFF"/>
        <w:jc w:val="both"/>
        <w:rPr>
          <w:rFonts w:asciiTheme="majorBidi" w:hAnsiTheme="majorBidi" w:cstheme="majorBidi"/>
          <w:color w:val="0F1115"/>
        </w:rPr>
      </w:pPr>
      <w:r w:rsidRPr="00BF2B9D">
        <w:rPr>
          <w:rFonts w:asciiTheme="majorBidi" w:hAnsiTheme="majorBidi" w:cstheme="majorBidi"/>
          <w:color w:val="0F1115"/>
        </w:rPr>
        <w:t>College students constitute a distinct demographic group undergoing profound physiological, psychological, and lifestyle transformations. This period, typically spanning late adolescence and early adulthood (18-30 years), represents a critical window for achieving peak bone mass and establishing long-term dietary habits that influence lifelong health outcomes (1). The academic environment, characterized by irregular eating patterns, heightened reliance on processed convenience foods, academic stress, and reduced physical activity, places students at an elevated risk for micronutrient deficiencies (2).</w:t>
      </w:r>
    </w:p>
    <w:p w:rsidR="00BF2B9D" w:rsidRDefault="00BF2B9D" w:rsidP="00BF2B9D">
      <w:pPr>
        <w:shd w:val="clear" w:color="auto" w:fill="FFFFFF"/>
        <w:jc w:val="both"/>
        <w:rPr>
          <w:rFonts w:asciiTheme="majorBidi" w:hAnsiTheme="majorBidi" w:cstheme="majorBidi"/>
          <w:color w:val="0F1115"/>
        </w:rPr>
      </w:pPr>
      <w:r w:rsidRPr="00BF2B9D">
        <w:rPr>
          <w:rFonts w:asciiTheme="majorBidi" w:hAnsiTheme="majorBidi" w:cstheme="majorBidi"/>
          <w:color w:val="0F1115"/>
        </w:rPr>
        <w:t>The physiological interdependence of the three micronutrients under investigation underscores the importance of their concurrent assessment. Vitamin D plays an indispensable role in the intestinal absorption of calcium; deficiency in vitamin D renders calcium absorption inefficient regardless of dietary calcium intake (3). Vitamin B12 is essential for red blood cell formation, neurological function, and energy metabolism, with deficiency manifesting as fatigue and cognitive impairment that may be erroneously attributed to academic stress (4).</w:t>
      </w:r>
    </w:p>
    <w:p w:rsidR="00834A29" w:rsidRPr="00BF2B9D" w:rsidRDefault="00834A29" w:rsidP="00BF2B9D">
      <w:pPr>
        <w:shd w:val="clear" w:color="auto" w:fill="FFFFFF"/>
        <w:jc w:val="both"/>
        <w:rPr>
          <w:rFonts w:asciiTheme="majorBidi" w:hAnsiTheme="majorBidi" w:cstheme="majorBidi"/>
          <w:color w:val="0F1115"/>
        </w:rPr>
      </w:pPr>
    </w:p>
    <w:p w:rsidR="00BF2B9D" w:rsidRPr="00834A29" w:rsidRDefault="00BF2B9D" w:rsidP="00BF2B9D">
      <w:pPr>
        <w:shd w:val="clear" w:color="auto" w:fill="FFFFFF"/>
        <w:rPr>
          <w:rFonts w:asciiTheme="majorBidi" w:hAnsiTheme="majorBidi" w:cstheme="majorBidi"/>
          <w:b/>
          <w:bCs/>
          <w:color w:val="0F1115"/>
          <w:sz w:val="32"/>
          <w:szCs w:val="32"/>
        </w:rPr>
      </w:pPr>
      <w:r w:rsidRPr="00834A29">
        <w:rPr>
          <w:rFonts w:asciiTheme="majorBidi" w:hAnsiTheme="majorBidi" w:cstheme="majorBidi"/>
          <w:b/>
          <w:bCs/>
          <w:color w:val="0F1115"/>
          <w:sz w:val="32"/>
          <w:szCs w:val="32"/>
        </w:rPr>
        <w:t>The Mauritian Context</w:t>
      </w:r>
    </w:p>
    <w:p w:rsidR="00BF2B9D" w:rsidRPr="00BF2B9D" w:rsidRDefault="00BF2B9D" w:rsidP="00BF2B9D">
      <w:pPr>
        <w:shd w:val="clear" w:color="auto" w:fill="FFFFFF"/>
        <w:jc w:val="both"/>
        <w:rPr>
          <w:rFonts w:asciiTheme="majorBidi" w:hAnsiTheme="majorBidi" w:cstheme="majorBidi"/>
          <w:color w:val="0F1115"/>
        </w:rPr>
      </w:pPr>
      <w:r w:rsidRPr="00BF2B9D">
        <w:rPr>
          <w:rFonts w:asciiTheme="majorBidi" w:hAnsiTheme="majorBidi" w:cstheme="majorBidi"/>
          <w:color w:val="0F1115"/>
        </w:rPr>
        <w:t>Recent national data from the Mauritius Nutrition Survey 2022 has raised significant public health concerns regarding the nutritional status of the Mauritian population. The survey revealed strikingly high rates of micronutrient deficiencies, specifically documenting that 86.5% of the survey population exhibited low serum vitamin D levels, while 8% demonstrated low serum vitamin B12 levels (5). These findings are particularly paradoxical given Mauritius's tropical location with year-round abundant sunlight, suggesting that lifestyle factors—including indoor-dominant lifestyles, sun avoidance behaviors, and cultural practices—may override environmental availability.</w:t>
      </w:r>
    </w:p>
    <w:p w:rsidR="00BF2B9D" w:rsidRPr="00BF2B9D" w:rsidRDefault="00BF2B9D" w:rsidP="00BF2B9D">
      <w:pPr>
        <w:shd w:val="clear" w:color="auto" w:fill="FFFFFF"/>
        <w:jc w:val="both"/>
        <w:rPr>
          <w:rFonts w:asciiTheme="majorBidi" w:hAnsiTheme="majorBidi" w:cstheme="majorBidi"/>
          <w:color w:val="0F1115"/>
        </w:rPr>
      </w:pPr>
      <w:r w:rsidRPr="00BF2B9D">
        <w:rPr>
          <w:rFonts w:asciiTheme="majorBidi" w:hAnsiTheme="majorBidi" w:cstheme="majorBidi"/>
          <w:color w:val="0F1115"/>
        </w:rPr>
        <w:t>The dietary landscape of Mauritius further compounds this vulnerability. Plain cooked rice and white bread remain dietary staples, consumed by 97.1% and 93.1% of the population respectively (5). These refined carbohydrate sources provide minimal contributions of calcium, vitamin D, or vitamin B12. The transition to university life often correlates with a shift away from traditional, nutrient-dense Mauritian meals towards Western-influenced, high-calorie, low-micronutrient processed foods, potentially exacerbating deficiency risks among college students (6).</w:t>
      </w:r>
    </w:p>
    <w:p w:rsidR="00834A29" w:rsidRDefault="00834A29" w:rsidP="00BF2B9D">
      <w:pPr>
        <w:shd w:val="clear" w:color="auto" w:fill="FFFFFF"/>
        <w:rPr>
          <w:rFonts w:asciiTheme="majorBidi" w:hAnsiTheme="majorBidi" w:cstheme="majorBidi"/>
          <w:b/>
          <w:bCs/>
          <w:color w:val="0F1115"/>
          <w:sz w:val="30"/>
          <w:szCs w:val="30"/>
        </w:rPr>
      </w:pPr>
    </w:p>
    <w:p w:rsidR="00BF2B9D" w:rsidRPr="00834A29" w:rsidRDefault="00BF2B9D" w:rsidP="00BF2B9D">
      <w:pPr>
        <w:shd w:val="clear" w:color="auto" w:fill="FFFFFF"/>
        <w:rPr>
          <w:rFonts w:asciiTheme="majorBidi" w:hAnsiTheme="majorBidi" w:cstheme="majorBidi"/>
          <w:b/>
          <w:bCs/>
          <w:color w:val="0F1115"/>
          <w:sz w:val="32"/>
          <w:szCs w:val="32"/>
        </w:rPr>
      </w:pPr>
      <w:r w:rsidRPr="00834A29">
        <w:rPr>
          <w:rFonts w:asciiTheme="majorBidi" w:hAnsiTheme="majorBidi" w:cstheme="majorBidi"/>
          <w:b/>
          <w:bCs/>
          <w:color w:val="0F1115"/>
          <w:sz w:val="32"/>
          <w:szCs w:val="32"/>
        </w:rPr>
        <w:t>Nutritional Status and Cognitive Function</w:t>
      </w:r>
    </w:p>
    <w:p w:rsidR="00BF2B9D" w:rsidRPr="00BF2B9D" w:rsidRDefault="00BF2B9D" w:rsidP="00BF2B9D">
      <w:pPr>
        <w:shd w:val="clear" w:color="auto" w:fill="FFFFFF"/>
        <w:jc w:val="both"/>
        <w:rPr>
          <w:rFonts w:asciiTheme="majorBidi" w:hAnsiTheme="majorBidi" w:cstheme="majorBidi"/>
          <w:color w:val="0F1115"/>
        </w:rPr>
      </w:pPr>
      <w:r w:rsidRPr="00BF2B9D">
        <w:rPr>
          <w:rFonts w:asciiTheme="majorBidi" w:hAnsiTheme="majorBidi" w:cstheme="majorBidi"/>
          <w:color w:val="0F1115"/>
        </w:rPr>
        <w:t>Emerging research from adjacent regions has demonstrated compelling associations between micronutrient status and cognitive function. A multi-center study in India revealed that micronutrient deficiencies, including vitamin B12 and calcium, were linked to reduced vasomotor coordination and working memory in school children (7). Similarly, investigations in sub-Saharan Africa have identified calcium as a significant predictor of cognitive skills and academic performance (8). These findings suggest that the cognitive demands of tertiary education may be particularly susceptible to nutritional inadequacies.</w:t>
      </w:r>
    </w:p>
    <w:p w:rsidR="00834A29" w:rsidRDefault="00834A29" w:rsidP="00BF2B9D">
      <w:pPr>
        <w:shd w:val="clear" w:color="auto" w:fill="FFFFFF"/>
        <w:rPr>
          <w:rFonts w:asciiTheme="majorBidi" w:hAnsiTheme="majorBidi" w:cstheme="majorBidi"/>
          <w:b/>
          <w:bCs/>
          <w:color w:val="0F1115"/>
          <w:sz w:val="30"/>
          <w:szCs w:val="30"/>
        </w:rPr>
      </w:pPr>
    </w:p>
    <w:p w:rsidR="00BF2B9D" w:rsidRPr="00834A29" w:rsidRDefault="00BF2B9D" w:rsidP="00BF2B9D">
      <w:pPr>
        <w:shd w:val="clear" w:color="auto" w:fill="FFFFFF"/>
        <w:rPr>
          <w:rFonts w:asciiTheme="majorBidi" w:hAnsiTheme="majorBidi" w:cstheme="majorBidi"/>
          <w:b/>
          <w:bCs/>
          <w:color w:val="0F1115"/>
          <w:sz w:val="32"/>
          <w:szCs w:val="32"/>
        </w:rPr>
      </w:pPr>
      <w:r w:rsidRPr="00834A29">
        <w:rPr>
          <w:rFonts w:asciiTheme="majorBidi" w:hAnsiTheme="majorBidi" w:cstheme="majorBidi"/>
          <w:b/>
          <w:bCs/>
          <w:color w:val="0F1115"/>
          <w:sz w:val="32"/>
          <w:szCs w:val="32"/>
        </w:rPr>
        <w:t>Research Gap and Rationale</w:t>
      </w:r>
    </w:p>
    <w:p w:rsidR="00BF2B9D" w:rsidRPr="00BF2B9D" w:rsidRDefault="00BF2B9D" w:rsidP="00BF2B9D">
      <w:pPr>
        <w:shd w:val="clear" w:color="auto" w:fill="FFFFFF"/>
        <w:jc w:val="both"/>
        <w:rPr>
          <w:rFonts w:asciiTheme="majorBidi" w:hAnsiTheme="majorBidi" w:cstheme="majorBidi"/>
          <w:color w:val="0F1115"/>
        </w:rPr>
      </w:pPr>
      <w:r w:rsidRPr="00BF2B9D">
        <w:rPr>
          <w:rFonts w:asciiTheme="majorBidi" w:hAnsiTheme="majorBidi" w:cstheme="majorBidi"/>
          <w:color w:val="0F1115"/>
        </w:rPr>
        <w:t xml:space="preserve">Despite the concerning national prevalence data and the specific vulnerabilities of the student population, targeted data on micronutrient status among Mauritian tertiary-level students remain </w:t>
      </w:r>
      <w:r w:rsidRPr="00BF2B9D">
        <w:rPr>
          <w:rFonts w:asciiTheme="majorBidi" w:hAnsiTheme="majorBidi" w:cstheme="majorBidi"/>
          <w:color w:val="0F1115"/>
        </w:rPr>
        <w:lastRenderedPageBreak/>
        <w:t>conspicuously absent. No studies to date have comprehensively assessed the dietary intake of calcium, vitamin D, and vitamin B12 in this demographic, nor have they examined how these nutritional parameters correlate with self-reported academic performance, fatigue levels, and dietary habits within the Mauritian context. This research seeks to address this critical gap.</w:t>
      </w:r>
    </w:p>
    <w:p w:rsidR="00834A29" w:rsidRDefault="00834A29" w:rsidP="00BF2B9D">
      <w:pPr>
        <w:shd w:val="clear" w:color="auto" w:fill="FFFFFF"/>
        <w:rPr>
          <w:rFonts w:asciiTheme="majorBidi" w:hAnsiTheme="majorBidi" w:cstheme="majorBidi"/>
          <w:b/>
          <w:bCs/>
          <w:color w:val="0F1115"/>
          <w:sz w:val="30"/>
          <w:szCs w:val="30"/>
        </w:rPr>
      </w:pPr>
    </w:p>
    <w:p w:rsidR="00BF2B9D" w:rsidRPr="00834A29" w:rsidRDefault="00BF2B9D" w:rsidP="00BF2B9D">
      <w:pPr>
        <w:shd w:val="clear" w:color="auto" w:fill="FFFFFF"/>
        <w:rPr>
          <w:rFonts w:asciiTheme="majorBidi" w:hAnsiTheme="majorBidi" w:cstheme="majorBidi"/>
          <w:b/>
          <w:bCs/>
          <w:color w:val="0F1115"/>
          <w:sz w:val="32"/>
          <w:szCs w:val="32"/>
        </w:rPr>
      </w:pPr>
      <w:r w:rsidRPr="00834A29">
        <w:rPr>
          <w:rFonts w:asciiTheme="majorBidi" w:hAnsiTheme="majorBidi" w:cstheme="majorBidi"/>
          <w:b/>
          <w:bCs/>
          <w:color w:val="0F1115"/>
          <w:sz w:val="32"/>
          <w:szCs w:val="32"/>
        </w:rPr>
        <w:t>Aims &amp; Objectives</w:t>
      </w:r>
    </w:p>
    <w:p w:rsidR="00BF2B9D" w:rsidRPr="00BF2B9D" w:rsidRDefault="00BF2B9D" w:rsidP="00BF2B9D">
      <w:pPr>
        <w:numPr>
          <w:ilvl w:val="0"/>
          <w:numId w:val="6"/>
        </w:numPr>
        <w:pBdr>
          <w:top w:val="nil"/>
          <w:left w:val="nil"/>
          <w:bottom w:val="nil"/>
          <w:right w:val="nil"/>
          <w:between w:val="nil"/>
        </w:pBdr>
        <w:shd w:val="clear" w:color="auto" w:fill="FFFFFF"/>
        <w:jc w:val="both"/>
        <w:rPr>
          <w:rFonts w:asciiTheme="majorBidi" w:hAnsiTheme="majorBidi" w:cstheme="majorBidi"/>
          <w:color w:val="0F1115"/>
        </w:rPr>
      </w:pPr>
      <w:r w:rsidRPr="00BF2B9D">
        <w:rPr>
          <w:rFonts w:asciiTheme="majorBidi" w:hAnsiTheme="majorBidi" w:cstheme="majorBidi"/>
          <w:color w:val="0F1115"/>
        </w:rPr>
        <w:t>To determine the prevalence of inadequate dietary intake of calcium, vitamin D, and vitamin B12 among college students in Mauritius based on Estimated Average Requirements (EAR)</w:t>
      </w:r>
    </w:p>
    <w:p w:rsidR="00BF2B9D" w:rsidRPr="00BF2B9D" w:rsidRDefault="00BF2B9D" w:rsidP="00BF2B9D">
      <w:pPr>
        <w:numPr>
          <w:ilvl w:val="0"/>
          <w:numId w:val="6"/>
        </w:numPr>
        <w:pBdr>
          <w:top w:val="nil"/>
          <w:left w:val="nil"/>
          <w:bottom w:val="nil"/>
          <w:right w:val="nil"/>
          <w:between w:val="nil"/>
        </w:pBdr>
        <w:shd w:val="clear" w:color="auto" w:fill="FFFFFF"/>
        <w:jc w:val="both"/>
        <w:rPr>
          <w:rFonts w:asciiTheme="majorBidi" w:hAnsiTheme="majorBidi" w:cstheme="majorBidi"/>
          <w:color w:val="0F1115"/>
        </w:rPr>
      </w:pPr>
      <w:r w:rsidRPr="00BF2B9D">
        <w:rPr>
          <w:rFonts w:asciiTheme="majorBidi" w:hAnsiTheme="majorBidi" w:cstheme="majorBidi"/>
          <w:color w:val="0F1115"/>
        </w:rPr>
        <w:t>To identify dietary patterns and lifestyle factors (including sun exposure, physical activity, and supplement use) associated with the intake levels of these micronutrients</w:t>
      </w:r>
    </w:p>
    <w:p w:rsidR="00BF2B9D" w:rsidRPr="00BF2B9D" w:rsidRDefault="00BF2B9D" w:rsidP="00BF2B9D">
      <w:pPr>
        <w:numPr>
          <w:ilvl w:val="0"/>
          <w:numId w:val="6"/>
        </w:numPr>
        <w:pBdr>
          <w:top w:val="nil"/>
          <w:left w:val="nil"/>
          <w:bottom w:val="nil"/>
          <w:right w:val="nil"/>
          <w:between w:val="nil"/>
        </w:pBdr>
        <w:shd w:val="clear" w:color="auto" w:fill="FFFFFF"/>
        <w:jc w:val="both"/>
        <w:rPr>
          <w:rFonts w:asciiTheme="majorBidi" w:hAnsiTheme="majorBidi" w:cstheme="majorBidi"/>
          <w:color w:val="0F1115"/>
        </w:rPr>
      </w:pPr>
      <w:r w:rsidRPr="00BF2B9D">
        <w:rPr>
          <w:rFonts w:asciiTheme="majorBidi" w:hAnsiTheme="majorBidi" w:cstheme="majorBidi"/>
          <w:color w:val="0F1115"/>
        </w:rPr>
        <w:t>To assess the relationship between micronutrient intake and self-reported cognitive function (concentration, memory) and fatigue levels</w:t>
      </w:r>
    </w:p>
    <w:p w:rsidR="00BF2B9D" w:rsidRPr="00BF2B9D" w:rsidRDefault="00BF2B9D" w:rsidP="00BF2B9D">
      <w:pPr>
        <w:numPr>
          <w:ilvl w:val="0"/>
          <w:numId w:val="6"/>
        </w:numPr>
        <w:pBdr>
          <w:top w:val="nil"/>
          <w:left w:val="nil"/>
          <w:bottom w:val="nil"/>
          <w:right w:val="nil"/>
          <w:between w:val="nil"/>
        </w:pBdr>
        <w:shd w:val="clear" w:color="auto" w:fill="FFFFFF"/>
        <w:jc w:val="both"/>
        <w:rPr>
          <w:rFonts w:asciiTheme="majorBidi" w:hAnsiTheme="majorBidi" w:cstheme="majorBidi"/>
          <w:color w:val="0F1115"/>
        </w:rPr>
      </w:pPr>
      <w:r w:rsidRPr="00BF2B9D">
        <w:rPr>
          <w:rFonts w:asciiTheme="majorBidi" w:hAnsiTheme="majorBidi" w:cstheme="majorBidi"/>
          <w:color w:val="0F1115"/>
        </w:rPr>
        <w:t>To compare intake levels across different demographic subgroups, including gender, field of study, and residency status (on-campus versus at-home)</w:t>
      </w:r>
    </w:p>
    <w:p w:rsidR="00BF2B9D" w:rsidRPr="00BF2B9D" w:rsidRDefault="00BF2B9D" w:rsidP="00BF2B9D">
      <w:pPr>
        <w:shd w:val="clear" w:color="auto" w:fill="FFFFFF"/>
        <w:rPr>
          <w:rFonts w:asciiTheme="majorBidi" w:hAnsiTheme="majorBidi" w:cstheme="majorBidi"/>
          <w:color w:val="0F1115"/>
        </w:rPr>
      </w:pPr>
    </w:p>
    <w:p w:rsidR="00BF2B9D" w:rsidRPr="00BF2B9D" w:rsidRDefault="00BF2B9D" w:rsidP="00BF2B9D">
      <w:pPr>
        <w:shd w:val="clear" w:color="auto" w:fill="FFFFFF"/>
        <w:rPr>
          <w:rFonts w:asciiTheme="majorBidi" w:hAnsiTheme="majorBidi" w:cstheme="majorBidi"/>
          <w:color w:val="0F1115"/>
        </w:rPr>
      </w:pPr>
    </w:p>
    <w:p w:rsidR="00BF2B9D" w:rsidRPr="00BF2B9D" w:rsidRDefault="00BF2B9D" w:rsidP="00BF2B9D">
      <w:pPr>
        <w:pBdr>
          <w:top w:val="nil"/>
          <w:left w:val="nil"/>
          <w:bottom w:val="nil"/>
          <w:right w:val="nil"/>
          <w:between w:val="nil"/>
        </w:pBdr>
        <w:shd w:val="clear" w:color="auto" w:fill="FFFFFF"/>
        <w:spacing w:after="240"/>
        <w:jc w:val="both"/>
        <w:rPr>
          <w:rFonts w:asciiTheme="majorBidi" w:eastAsia="Times New Roman" w:hAnsiTheme="majorBidi" w:cstheme="majorBidi"/>
          <w:color w:val="0F1115"/>
          <w:sz w:val="32"/>
          <w:szCs w:val="32"/>
        </w:rPr>
      </w:pPr>
      <w:r w:rsidRPr="00BF2B9D">
        <w:rPr>
          <w:rFonts w:asciiTheme="majorBidi" w:eastAsia="Times New Roman" w:hAnsiTheme="majorBidi" w:cstheme="majorBidi"/>
          <w:b/>
          <w:bCs/>
          <w:color w:val="0F1115"/>
          <w:sz w:val="32"/>
          <w:szCs w:val="32"/>
        </w:rPr>
        <w:t>Materials and Methods</w:t>
      </w:r>
    </w:p>
    <w:p w:rsidR="00BF2B9D" w:rsidRPr="00BF2B9D" w:rsidRDefault="00BF2B9D" w:rsidP="00BF2B9D">
      <w:pPr>
        <w:pBdr>
          <w:top w:val="nil"/>
          <w:left w:val="nil"/>
          <w:bottom w:val="nil"/>
          <w:right w:val="nil"/>
          <w:between w:val="nil"/>
        </w:pBdr>
        <w:shd w:val="clear" w:color="auto" w:fill="FFFFFF"/>
        <w:spacing w:before="240" w:after="240"/>
        <w:jc w:val="both"/>
        <w:rPr>
          <w:rFonts w:asciiTheme="majorBidi" w:eastAsia="Times New Roman" w:hAnsiTheme="majorBidi" w:cstheme="majorBidi"/>
          <w:color w:val="0F1115"/>
        </w:rPr>
      </w:pPr>
      <w:r w:rsidRPr="00BF2B9D">
        <w:rPr>
          <w:rFonts w:asciiTheme="majorBidi" w:eastAsia="Times New Roman" w:hAnsiTheme="majorBidi" w:cstheme="majorBidi"/>
          <w:b/>
          <w:bCs/>
          <w:color w:val="0F1115"/>
        </w:rPr>
        <w:t>Study Design and Setting:</w:t>
      </w:r>
      <w:r w:rsidRPr="00BF2B9D">
        <w:rPr>
          <w:rFonts w:asciiTheme="majorBidi" w:eastAsia="Times New Roman" w:hAnsiTheme="majorBidi" w:cstheme="majorBidi"/>
          <w:color w:val="0F1115"/>
        </w:rPr>
        <w:t>This cross-sectional study(survey based study) was conducted in SSR Medical College ,Mauritius</w:t>
      </w:r>
    </w:p>
    <w:p w:rsidR="00BF2B9D" w:rsidRPr="00BF2B9D" w:rsidRDefault="00BF2B9D" w:rsidP="00BF2B9D">
      <w:pPr>
        <w:pBdr>
          <w:top w:val="nil"/>
          <w:left w:val="nil"/>
          <w:bottom w:val="nil"/>
          <w:right w:val="nil"/>
          <w:between w:val="nil"/>
        </w:pBdr>
        <w:shd w:val="clear" w:color="auto" w:fill="FFFFFF"/>
        <w:spacing w:before="240" w:after="240"/>
        <w:jc w:val="both"/>
        <w:rPr>
          <w:rFonts w:asciiTheme="majorBidi" w:eastAsia="Times New Roman" w:hAnsiTheme="majorBidi" w:cstheme="majorBidi"/>
          <w:color w:val="0F1115"/>
        </w:rPr>
      </w:pPr>
      <w:r w:rsidRPr="00BF2B9D">
        <w:rPr>
          <w:rFonts w:asciiTheme="majorBidi" w:eastAsia="Times New Roman" w:hAnsiTheme="majorBidi" w:cstheme="majorBidi"/>
          <w:b/>
          <w:bCs/>
          <w:color w:val="0F1115"/>
        </w:rPr>
        <w:t>Study Population:</w:t>
      </w:r>
      <w:r w:rsidRPr="00BF2B9D">
        <w:rPr>
          <w:rFonts w:asciiTheme="majorBidi" w:eastAsia="Times New Roman" w:hAnsiTheme="majorBidi" w:cstheme="majorBidi"/>
          <w:color w:val="0F1115"/>
        </w:rPr>
        <w:t>Full-time students aged 18–30 years were included. Exclusion criteria were pregnancy, chronic malabsorption disorders, therapeutic high-dose supplements, or medically prescribed diets.</w:t>
      </w:r>
    </w:p>
    <w:p w:rsidR="00BF2B9D" w:rsidRPr="00BF2B9D" w:rsidRDefault="00BF2B9D" w:rsidP="00BF2B9D">
      <w:pPr>
        <w:pBdr>
          <w:top w:val="nil"/>
          <w:left w:val="nil"/>
          <w:bottom w:val="nil"/>
          <w:right w:val="nil"/>
          <w:between w:val="nil"/>
        </w:pBdr>
        <w:shd w:val="clear" w:color="auto" w:fill="FFFFFF"/>
        <w:spacing w:before="240" w:after="240"/>
        <w:jc w:val="both"/>
        <w:rPr>
          <w:rFonts w:asciiTheme="majorBidi" w:eastAsia="Times New Roman" w:hAnsiTheme="majorBidi" w:cstheme="majorBidi"/>
          <w:color w:val="0F1115"/>
        </w:rPr>
      </w:pPr>
      <w:r w:rsidRPr="00BF2B9D">
        <w:rPr>
          <w:rFonts w:asciiTheme="majorBidi" w:eastAsia="Times New Roman" w:hAnsiTheme="majorBidi" w:cstheme="majorBidi"/>
          <w:b/>
          <w:bCs/>
          <w:color w:val="0F1115"/>
        </w:rPr>
        <w:t>Sample Size and Sampling</w:t>
      </w:r>
      <w:r w:rsidRPr="00BF2B9D">
        <w:rPr>
          <w:rFonts w:asciiTheme="majorBidi" w:eastAsia="Times New Roman" w:hAnsiTheme="majorBidi" w:cstheme="majorBidi"/>
          <w:color w:val="0F1115"/>
        </w:rPr>
        <w:t>:Using 86.5% vitamin D prevalence (5% margin, 95% CI), minimum sample was 180. Targeting 250–300 participants, multi-stage stratified random sampling by institution, year, and field ensured representativeness.</w:t>
      </w:r>
    </w:p>
    <w:p w:rsidR="00BF2B9D" w:rsidRPr="00BF2B9D" w:rsidRDefault="00BF2B9D" w:rsidP="00BF2B9D">
      <w:pPr>
        <w:pBdr>
          <w:top w:val="nil"/>
          <w:left w:val="nil"/>
          <w:bottom w:val="nil"/>
          <w:right w:val="nil"/>
          <w:between w:val="nil"/>
        </w:pBdr>
        <w:shd w:val="clear" w:color="auto" w:fill="FFFFFF"/>
        <w:spacing w:before="240" w:after="240"/>
        <w:jc w:val="both"/>
        <w:rPr>
          <w:rFonts w:asciiTheme="majorBidi" w:eastAsia="Times New Roman" w:hAnsiTheme="majorBidi" w:cstheme="majorBidi"/>
          <w:color w:val="0F1115"/>
        </w:rPr>
      </w:pPr>
      <w:r w:rsidRPr="00BF2B9D">
        <w:rPr>
          <w:rFonts w:asciiTheme="majorBidi" w:eastAsia="Times New Roman" w:hAnsiTheme="majorBidi" w:cstheme="majorBidi"/>
          <w:b/>
          <w:bCs/>
          <w:color w:val="0F1115"/>
        </w:rPr>
        <w:t>Data Collection</w:t>
      </w:r>
      <w:r w:rsidRPr="00BF2B9D">
        <w:rPr>
          <w:rFonts w:asciiTheme="majorBidi" w:eastAsia="Times New Roman" w:hAnsiTheme="majorBidi" w:cstheme="majorBidi"/>
          <w:color w:val="0F1115"/>
        </w:rPr>
        <w:t>:A self-administered questionnaire assessed: demographics, sun exposure (10 am–3 pm), supplements, physical activity; FFQ for calcium, vitamin D, and B12 sources; cognitive function and fatigue via 5-point Likert scale; self-reported height/weight for BMI.</w:t>
      </w:r>
    </w:p>
    <w:p w:rsidR="00BF2B9D" w:rsidRPr="00BF2B9D" w:rsidRDefault="00BF2B9D" w:rsidP="00BF2B9D">
      <w:pPr>
        <w:pBdr>
          <w:top w:val="nil"/>
          <w:left w:val="nil"/>
          <w:bottom w:val="nil"/>
          <w:right w:val="nil"/>
          <w:between w:val="nil"/>
        </w:pBdr>
        <w:shd w:val="clear" w:color="auto" w:fill="FFFFFF"/>
        <w:spacing w:before="240" w:after="240"/>
        <w:jc w:val="both"/>
        <w:rPr>
          <w:rFonts w:asciiTheme="majorBidi" w:eastAsia="Times New Roman" w:hAnsiTheme="majorBidi" w:cstheme="majorBidi"/>
          <w:color w:val="0F1115"/>
        </w:rPr>
      </w:pPr>
      <w:r w:rsidRPr="00BF2B9D">
        <w:rPr>
          <w:rFonts w:asciiTheme="majorBidi" w:eastAsia="Times New Roman" w:hAnsiTheme="majorBidi" w:cstheme="majorBidi"/>
          <w:b/>
          <w:bCs/>
          <w:color w:val="0F1115"/>
        </w:rPr>
        <w:t>Dietary Analysis</w:t>
      </w:r>
      <w:r w:rsidRPr="00BF2B9D">
        <w:rPr>
          <w:rFonts w:asciiTheme="majorBidi" w:eastAsia="Times New Roman" w:hAnsiTheme="majorBidi" w:cstheme="majorBidi"/>
          <w:color w:val="0F1115"/>
        </w:rPr>
        <w:t>:Nutrient intake was calculated using Mauritius Food Composition Database and compared to EAR: calcium (800–1000 mg/day), vitamin D (400 IU/day), vitamin B12 (2.0 μg/day).</w:t>
      </w:r>
    </w:p>
    <w:p w:rsidR="00BF2B9D" w:rsidRPr="00BF2B9D" w:rsidRDefault="00BF2B9D" w:rsidP="00BF2B9D">
      <w:pPr>
        <w:pBdr>
          <w:top w:val="nil"/>
          <w:left w:val="nil"/>
          <w:bottom w:val="nil"/>
          <w:right w:val="nil"/>
          <w:between w:val="nil"/>
        </w:pBdr>
        <w:shd w:val="clear" w:color="auto" w:fill="FFFFFF"/>
        <w:spacing w:before="240" w:after="240"/>
        <w:jc w:val="both"/>
        <w:rPr>
          <w:rFonts w:asciiTheme="majorBidi" w:eastAsia="Times New Roman" w:hAnsiTheme="majorBidi" w:cstheme="majorBidi"/>
          <w:color w:val="0F1115"/>
        </w:rPr>
      </w:pPr>
      <w:r w:rsidRPr="00BF2B9D">
        <w:rPr>
          <w:rFonts w:asciiTheme="majorBidi" w:eastAsia="Times New Roman" w:hAnsiTheme="majorBidi" w:cstheme="majorBidi"/>
          <w:b/>
          <w:bCs/>
          <w:color w:val="0F1115"/>
        </w:rPr>
        <w:t>Statistical Analysis</w:t>
      </w:r>
      <w:r w:rsidRPr="00BF2B9D">
        <w:rPr>
          <w:rFonts w:asciiTheme="majorBidi" w:eastAsia="Times New Roman" w:hAnsiTheme="majorBidi" w:cstheme="majorBidi"/>
          <w:color w:val="0F1115"/>
        </w:rPr>
        <w:t>:SPSS/R software was used for descriptive statistics, t-tests, ANOVA, correlations, and multivariate regression (p&lt;0.05) to identify predictors and associations with cognitive outcomes.</w:t>
      </w:r>
    </w:p>
    <w:p w:rsidR="00BF2B9D" w:rsidRPr="00BF2B9D" w:rsidRDefault="00BF2B9D" w:rsidP="00BF2B9D">
      <w:pPr>
        <w:pBdr>
          <w:top w:val="nil"/>
          <w:left w:val="nil"/>
          <w:bottom w:val="nil"/>
          <w:right w:val="nil"/>
          <w:between w:val="nil"/>
        </w:pBdr>
        <w:shd w:val="clear" w:color="auto" w:fill="FFFFFF"/>
        <w:spacing w:before="240"/>
        <w:jc w:val="both"/>
        <w:rPr>
          <w:rFonts w:asciiTheme="majorBidi" w:eastAsia="Times New Roman" w:hAnsiTheme="majorBidi" w:cstheme="majorBidi"/>
          <w:color w:val="0F1115"/>
        </w:rPr>
      </w:pPr>
      <w:r w:rsidRPr="00BF2B9D">
        <w:rPr>
          <w:rFonts w:asciiTheme="majorBidi" w:eastAsia="Times New Roman" w:hAnsiTheme="majorBidi" w:cstheme="majorBidi"/>
          <w:b/>
          <w:bCs/>
          <w:color w:val="0F1115"/>
        </w:rPr>
        <w:t>Ethical Considerations</w:t>
      </w:r>
      <w:r w:rsidRPr="00BF2B9D">
        <w:rPr>
          <w:rFonts w:asciiTheme="majorBidi" w:eastAsia="Times New Roman" w:hAnsiTheme="majorBidi" w:cstheme="majorBidi"/>
          <w:color w:val="0F1115"/>
        </w:rPr>
        <w:t>:This is survey based study no Ethical is required</w:t>
      </w:r>
    </w:p>
    <w:p w:rsidR="00834A29" w:rsidRDefault="00834A29" w:rsidP="00BF2B9D">
      <w:pPr>
        <w:shd w:val="clear" w:color="auto" w:fill="FFFFFF"/>
        <w:spacing w:before="480" w:after="240" w:line="450" w:lineRule="atLeast"/>
        <w:jc w:val="both"/>
        <w:outlineLvl w:val="2"/>
        <w:rPr>
          <w:rFonts w:asciiTheme="majorBidi" w:eastAsia="Times New Roman" w:hAnsiTheme="majorBidi" w:cstheme="majorBidi"/>
          <w:b/>
          <w:bCs/>
          <w:color w:val="0F1115"/>
          <w:sz w:val="30"/>
          <w:szCs w:val="30"/>
        </w:rPr>
      </w:pPr>
    </w:p>
    <w:p w:rsidR="00BF2B9D" w:rsidRPr="00BF2B9D" w:rsidRDefault="00BF2B9D" w:rsidP="00BF2B9D">
      <w:pPr>
        <w:shd w:val="clear" w:color="auto" w:fill="FFFFFF"/>
        <w:spacing w:before="480" w:after="240" w:line="450" w:lineRule="atLeast"/>
        <w:jc w:val="both"/>
        <w:outlineLvl w:val="2"/>
        <w:rPr>
          <w:rFonts w:asciiTheme="majorBidi" w:eastAsia="Times New Roman" w:hAnsiTheme="majorBidi" w:cstheme="majorBidi"/>
          <w:b/>
          <w:bCs/>
          <w:color w:val="0F1115"/>
          <w:sz w:val="32"/>
          <w:szCs w:val="32"/>
        </w:rPr>
      </w:pPr>
      <w:r w:rsidRPr="00BF2B9D">
        <w:rPr>
          <w:rFonts w:asciiTheme="majorBidi" w:eastAsia="Times New Roman" w:hAnsiTheme="majorBidi" w:cstheme="majorBidi"/>
          <w:b/>
          <w:bCs/>
          <w:color w:val="0F1115"/>
          <w:sz w:val="32"/>
          <w:szCs w:val="32"/>
        </w:rPr>
        <w:lastRenderedPageBreak/>
        <w:t>Results</w:t>
      </w:r>
    </w:p>
    <w:p w:rsidR="00BF2B9D" w:rsidRPr="00BF2B9D" w:rsidRDefault="00BF2B9D" w:rsidP="00BF2B9D">
      <w:pPr>
        <w:shd w:val="clear" w:color="auto" w:fill="FFFFFF"/>
        <w:spacing w:before="240" w:after="240"/>
        <w:jc w:val="both"/>
        <w:rPr>
          <w:rFonts w:asciiTheme="majorBidi" w:eastAsia="Times New Roman" w:hAnsiTheme="majorBidi" w:cstheme="majorBidi"/>
          <w:color w:val="0F1115"/>
        </w:rPr>
      </w:pPr>
      <w:r w:rsidRPr="00BF2B9D">
        <w:rPr>
          <w:rFonts w:asciiTheme="majorBidi" w:eastAsia="Times New Roman" w:hAnsiTheme="majorBidi" w:cstheme="majorBidi"/>
          <w:color w:val="0F1115"/>
        </w:rPr>
        <w:t>The analysis of the data from 180 respondents revealed significant patterns in dietary habits and their relationship with cognitive function. Chi-square tests were conducted to examine associations between categorical variables, with Fisher's Exact Test used where expected cell counts were less than 5.</w:t>
      </w:r>
    </w:p>
    <w:p w:rsidR="00BF2B9D" w:rsidRPr="00BF2B9D" w:rsidRDefault="00BF2B9D" w:rsidP="00BF2B9D">
      <w:pPr>
        <w:shd w:val="clear" w:color="auto" w:fill="FFFFFF"/>
        <w:spacing w:before="240" w:after="240"/>
        <w:jc w:val="both"/>
        <w:rPr>
          <w:rFonts w:asciiTheme="majorBidi" w:eastAsia="Times New Roman" w:hAnsiTheme="majorBidi" w:cstheme="majorBidi"/>
          <w:color w:val="0F1115"/>
        </w:rPr>
      </w:pPr>
      <w:r w:rsidRPr="00BF2B9D">
        <w:rPr>
          <w:rFonts w:asciiTheme="majorBidi" w:eastAsia="Times New Roman" w:hAnsiTheme="majorBidi" w:cstheme="majorBidi"/>
          <w:b/>
          <w:bCs/>
          <w:color w:val="0F1115"/>
        </w:rPr>
        <w:t>Table 1: Demographic and Lifestyle Characteristics of Participants (n=180)</w:t>
      </w:r>
    </w:p>
    <w:tbl>
      <w:tblPr>
        <w:tblStyle w:val="TableGrid"/>
        <w:tblW w:w="0" w:type="auto"/>
        <w:tblLook w:val="04A0" w:firstRow="1" w:lastRow="0" w:firstColumn="1" w:lastColumn="0" w:noHBand="0" w:noVBand="1"/>
      </w:tblPr>
      <w:tblGrid>
        <w:gridCol w:w="1706"/>
        <w:gridCol w:w="2197"/>
        <w:gridCol w:w="1290"/>
        <w:gridCol w:w="1352"/>
        <w:gridCol w:w="1826"/>
        <w:gridCol w:w="979"/>
      </w:tblGrid>
      <w:tr w:rsidR="00BF2B9D" w:rsidRPr="00BF2B9D" w:rsidTr="00BF2B9D">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Characteristic</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Category</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Frequency (n)</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Percentage (%)</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χ² (vs. expected distribution)</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p-value</w:t>
            </w:r>
          </w:p>
        </w:tc>
      </w:tr>
      <w:tr w:rsidR="00BF2B9D" w:rsidRPr="00BF2B9D" w:rsidTr="00BF2B9D">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Ethnicity</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Indo-Mauritian</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130</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72.2</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24.56</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&lt;0.001*</w:t>
            </w:r>
          </w:p>
        </w:tc>
      </w:tr>
      <w:tr w:rsidR="00BF2B9D" w:rsidRPr="00BF2B9D" w:rsidTr="00BF2B9D">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General Population (Creole)</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32</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17.8</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Sino-Mauritian</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10</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5.6</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Other</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8</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4.4</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Residency</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Living with parents/guardians</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126</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70.0</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18.93</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&lt;0.001*</w:t>
            </w:r>
          </w:p>
        </w:tc>
      </w:tr>
      <w:tr w:rsidR="00BF2B9D" w:rsidRPr="00BF2B9D" w:rsidTr="00BF2B9D">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Renting with friends/alone</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32</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17.8</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University hostel/hall</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22</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12.2</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Daily Sun Exposure</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Less than 15 minutes</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58</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32.2</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22.45</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&lt;0.001*</w:t>
            </w:r>
          </w:p>
        </w:tc>
      </w:tr>
      <w:tr w:rsidR="00BF2B9D" w:rsidRPr="00BF2B9D" w:rsidTr="00BF2B9D">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(10 am – 3 pm)</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15–30 minutes</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62</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34.4</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31–60 minutes</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28</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15.6</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More than 1 hour</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32</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17.8</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0" w:type="auto"/>
            <w:hideMark/>
          </w:tcPr>
          <w:p w:rsidR="00BF2B9D" w:rsidRPr="00BF2B9D" w:rsidRDefault="00BF2B9D" w:rsidP="00BF2B9D">
            <w:pPr>
              <w:contextualSpacing/>
              <w:jc w:val="both"/>
              <w:rPr>
                <w:rFonts w:asciiTheme="majorBidi" w:eastAsia="Times New Roman" w:hAnsiTheme="majorBidi" w:cstheme="majorBidi"/>
                <w:sz w:val="20"/>
                <w:szCs w:val="20"/>
              </w:rPr>
            </w:pPr>
          </w:p>
        </w:tc>
      </w:tr>
    </w:tbl>
    <w:p w:rsidR="00BF2B9D" w:rsidRPr="00BF2B9D" w:rsidRDefault="00BF2B9D" w:rsidP="00BF2B9D">
      <w:pPr>
        <w:shd w:val="clear" w:color="auto" w:fill="FFFFFF"/>
        <w:spacing w:before="240" w:after="240"/>
        <w:jc w:val="both"/>
        <w:rPr>
          <w:rFonts w:asciiTheme="majorBidi" w:eastAsia="Times New Roman" w:hAnsiTheme="majorBidi" w:cstheme="majorBidi"/>
          <w:color w:val="0F1115"/>
        </w:rPr>
      </w:pPr>
      <w:r w:rsidRPr="00BF2B9D">
        <w:rPr>
          <w:rFonts w:asciiTheme="majorBidi" w:eastAsia="Times New Roman" w:hAnsiTheme="majorBidi" w:cstheme="majorBidi"/>
          <w:color w:val="0F1115"/>
        </w:rPr>
        <w:t>*</w:t>
      </w:r>
      <w:r w:rsidRPr="00BF2B9D">
        <w:rPr>
          <w:rFonts w:asciiTheme="majorBidi" w:eastAsia="Times New Roman" w:hAnsiTheme="majorBidi" w:cstheme="majorBidi"/>
          <w:b/>
          <w:bCs/>
          <w:color w:val="0F1115"/>
        </w:rPr>
        <w:t>Interpretation:</w:t>
      </w:r>
      <w:r w:rsidRPr="00BF2B9D">
        <w:rPr>
          <w:rFonts w:asciiTheme="majorBidi" w:eastAsia="Times New Roman" w:hAnsiTheme="majorBidi" w:cstheme="majorBidi"/>
          <w:color w:val="0F1115"/>
        </w:rPr>
        <w:t> Table 1 shows that the sample was predominantly Indo-Mauritian (72.2%) and lived in a family home environment (70.0%), with both distributions significantly differing from expected equal distribution (p &lt; 0.001). Critically, over 66% of students spent less than 30 minutes outdoors during peak sunlight hours, with 32.2% spending less than 15 minutes, placing them at high risk for inadequate vitamin D synthesis, independent of dietary intake. The distribution of sun exposure categories was also significantly uneven (p &lt; 0.001), confirming that low sun exposure is a systematic pattern rather than random variation.*</w:t>
      </w:r>
    </w:p>
    <w:p w:rsidR="00BF2B9D" w:rsidRPr="00BF2B9D" w:rsidRDefault="00BF2B9D" w:rsidP="00BF2B9D">
      <w:pPr>
        <w:shd w:val="clear" w:color="auto" w:fill="FFFFFF"/>
        <w:spacing w:before="240" w:after="240"/>
        <w:jc w:val="both"/>
        <w:rPr>
          <w:rFonts w:asciiTheme="majorBidi" w:eastAsia="Times New Roman" w:hAnsiTheme="majorBidi" w:cstheme="majorBidi"/>
          <w:color w:val="0F1115"/>
        </w:rPr>
      </w:pPr>
      <w:r w:rsidRPr="00BF2B9D">
        <w:rPr>
          <w:rFonts w:asciiTheme="majorBidi" w:eastAsia="Times New Roman" w:hAnsiTheme="majorBidi" w:cstheme="majorBidi"/>
          <w:b/>
          <w:bCs/>
          <w:color w:val="0F1115"/>
        </w:rPr>
        <w:t>Table 2: Frequency of Consumption of Key Nutrient-Specific Foods with Statistical Comparison (n=180)</w:t>
      </w:r>
    </w:p>
    <w:tbl>
      <w:tblPr>
        <w:tblStyle w:val="TableGrid"/>
        <w:tblW w:w="0" w:type="auto"/>
        <w:tblInd w:w="-289" w:type="dxa"/>
        <w:tblLook w:val="04A0" w:firstRow="1" w:lastRow="0" w:firstColumn="1" w:lastColumn="0" w:noHBand="0" w:noVBand="1"/>
      </w:tblPr>
      <w:tblGrid>
        <w:gridCol w:w="2719"/>
        <w:gridCol w:w="3194"/>
        <w:gridCol w:w="576"/>
        <w:gridCol w:w="1099"/>
        <w:gridCol w:w="1072"/>
        <w:gridCol w:w="979"/>
      </w:tblGrid>
      <w:tr w:rsidR="00BF2B9D" w:rsidRPr="00BF2B9D" w:rsidTr="00BF2B9D">
        <w:tc>
          <w:tcPr>
            <w:tcW w:w="2732" w:type="dxa"/>
            <w:hideMark/>
          </w:tcPr>
          <w:p w:rsidR="00BF2B9D" w:rsidRPr="00BF2B9D" w:rsidRDefault="00BF2B9D" w:rsidP="00BF2B9D">
            <w:pPr>
              <w:contextualSpacing/>
              <w:jc w:val="center"/>
              <w:rPr>
                <w:rFonts w:asciiTheme="majorBidi" w:eastAsia="Times New Roman" w:hAnsiTheme="majorBidi" w:cstheme="majorBidi"/>
                <w:b/>
                <w:bCs/>
                <w:sz w:val="23"/>
                <w:szCs w:val="23"/>
              </w:rPr>
            </w:pPr>
            <w:r w:rsidRPr="00BF2B9D">
              <w:rPr>
                <w:rFonts w:asciiTheme="majorBidi" w:eastAsia="Times New Roman" w:hAnsiTheme="majorBidi" w:cstheme="majorBidi"/>
                <w:b/>
                <w:bCs/>
                <w:sz w:val="23"/>
                <w:szCs w:val="23"/>
              </w:rPr>
              <w:t>Food Item (Serving Size)</w:t>
            </w:r>
          </w:p>
        </w:tc>
        <w:tc>
          <w:tcPr>
            <w:tcW w:w="3213" w:type="dxa"/>
            <w:hideMark/>
          </w:tcPr>
          <w:p w:rsidR="00BF2B9D" w:rsidRPr="00BF2B9D" w:rsidRDefault="00BF2B9D" w:rsidP="00BF2B9D">
            <w:pPr>
              <w:contextualSpacing/>
              <w:jc w:val="center"/>
              <w:rPr>
                <w:rFonts w:asciiTheme="majorBidi" w:eastAsia="Times New Roman" w:hAnsiTheme="majorBidi" w:cstheme="majorBidi"/>
                <w:b/>
                <w:bCs/>
                <w:sz w:val="23"/>
                <w:szCs w:val="23"/>
              </w:rPr>
            </w:pPr>
            <w:r w:rsidRPr="00BF2B9D">
              <w:rPr>
                <w:rFonts w:asciiTheme="majorBidi" w:eastAsia="Times New Roman" w:hAnsiTheme="majorBidi" w:cstheme="majorBidi"/>
                <w:b/>
                <w:bCs/>
                <w:sz w:val="23"/>
                <w:szCs w:val="23"/>
              </w:rPr>
              <w:t>Consumption Frequency</w:t>
            </w:r>
          </w:p>
        </w:tc>
        <w:tc>
          <w:tcPr>
            <w:tcW w:w="576" w:type="dxa"/>
            <w:hideMark/>
          </w:tcPr>
          <w:p w:rsidR="00BF2B9D" w:rsidRPr="00BF2B9D" w:rsidRDefault="00BF2B9D" w:rsidP="00BF2B9D">
            <w:pPr>
              <w:contextualSpacing/>
              <w:jc w:val="center"/>
              <w:rPr>
                <w:rFonts w:asciiTheme="majorBidi" w:eastAsia="Times New Roman" w:hAnsiTheme="majorBidi" w:cstheme="majorBidi"/>
                <w:b/>
                <w:bCs/>
                <w:sz w:val="23"/>
                <w:szCs w:val="23"/>
              </w:rPr>
            </w:pPr>
            <w:r w:rsidRPr="00BF2B9D">
              <w:rPr>
                <w:rFonts w:asciiTheme="majorBidi" w:eastAsia="Times New Roman" w:hAnsiTheme="majorBidi" w:cstheme="majorBidi"/>
                <w:b/>
                <w:bCs/>
                <w:sz w:val="23"/>
                <w:szCs w:val="23"/>
              </w:rPr>
              <w:t>n</w:t>
            </w:r>
          </w:p>
        </w:tc>
        <w:tc>
          <w:tcPr>
            <w:tcW w:w="1105" w:type="dxa"/>
            <w:hideMark/>
          </w:tcPr>
          <w:p w:rsidR="00BF2B9D" w:rsidRPr="00BF2B9D" w:rsidRDefault="00BF2B9D" w:rsidP="00BF2B9D">
            <w:pPr>
              <w:contextualSpacing/>
              <w:jc w:val="center"/>
              <w:rPr>
                <w:rFonts w:asciiTheme="majorBidi" w:eastAsia="Times New Roman" w:hAnsiTheme="majorBidi" w:cstheme="majorBidi"/>
                <w:b/>
                <w:bCs/>
                <w:sz w:val="23"/>
                <w:szCs w:val="23"/>
              </w:rPr>
            </w:pPr>
            <w:r w:rsidRPr="00BF2B9D">
              <w:rPr>
                <w:rFonts w:asciiTheme="majorBidi" w:eastAsia="Times New Roman" w:hAnsiTheme="majorBidi" w:cstheme="majorBidi"/>
                <w:b/>
                <w:bCs/>
                <w:sz w:val="23"/>
                <w:szCs w:val="23"/>
              </w:rPr>
              <w:t>%</w:t>
            </w:r>
          </w:p>
        </w:tc>
        <w:tc>
          <w:tcPr>
            <w:tcW w:w="1034" w:type="dxa"/>
            <w:hideMark/>
          </w:tcPr>
          <w:p w:rsidR="00BF2B9D" w:rsidRPr="00BF2B9D" w:rsidRDefault="00BF2B9D" w:rsidP="00BF2B9D">
            <w:pPr>
              <w:contextualSpacing/>
              <w:jc w:val="center"/>
              <w:rPr>
                <w:rFonts w:asciiTheme="majorBidi" w:eastAsia="Times New Roman" w:hAnsiTheme="majorBidi" w:cstheme="majorBidi"/>
                <w:b/>
                <w:bCs/>
                <w:sz w:val="23"/>
                <w:szCs w:val="23"/>
              </w:rPr>
            </w:pPr>
            <w:r w:rsidRPr="00BF2B9D">
              <w:rPr>
                <w:rFonts w:asciiTheme="majorBidi" w:eastAsia="Times New Roman" w:hAnsiTheme="majorBidi" w:cstheme="majorBidi"/>
                <w:b/>
                <w:bCs/>
                <w:sz w:val="23"/>
                <w:szCs w:val="23"/>
              </w:rPr>
              <w:t>χ² (vs. expected intake)</w:t>
            </w:r>
          </w:p>
        </w:tc>
        <w:tc>
          <w:tcPr>
            <w:tcW w:w="0" w:type="auto"/>
            <w:hideMark/>
          </w:tcPr>
          <w:p w:rsidR="00BF2B9D" w:rsidRPr="00BF2B9D" w:rsidRDefault="00BF2B9D" w:rsidP="00BF2B9D">
            <w:pPr>
              <w:contextualSpacing/>
              <w:jc w:val="center"/>
              <w:rPr>
                <w:rFonts w:asciiTheme="majorBidi" w:eastAsia="Times New Roman" w:hAnsiTheme="majorBidi" w:cstheme="majorBidi"/>
                <w:b/>
                <w:bCs/>
                <w:sz w:val="23"/>
                <w:szCs w:val="23"/>
              </w:rPr>
            </w:pPr>
            <w:r w:rsidRPr="00BF2B9D">
              <w:rPr>
                <w:rFonts w:asciiTheme="majorBidi" w:eastAsia="Times New Roman" w:hAnsiTheme="majorBidi" w:cstheme="majorBidi"/>
                <w:b/>
                <w:bCs/>
                <w:sz w:val="23"/>
                <w:szCs w:val="23"/>
              </w:rPr>
              <w:t>p-value</w:t>
            </w:r>
          </w:p>
        </w:tc>
      </w:tr>
      <w:tr w:rsidR="00BF2B9D" w:rsidRPr="00BF2B9D" w:rsidTr="00BF2B9D">
        <w:tc>
          <w:tcPr>
            <w:tcW w:w="27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Milk (250 ml)</w:t>
            </w: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Low (&lt;1 per week)</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92</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51.1</w:t>
            </w:r>
          </w:p>
        </w:tc>
        <w:tc>
          <w:tcPr>
            <w:tcW w:w="1034"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34.22</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&lt;0.001*</w:t>
            </w:r>
          </w:p>
        </w:tc>
      </w:tr>
      <w:tr w:rsidR="00BF2B9D" w:rsidRPr="00BF2B9D" w:rsidTr="00BF2B9D">
        <w:tc>
          <w:tcPr>
            <w:tcW w:w="2732" w:type="dxa"/>
            <w:vMerge w:val="restart"/>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Adequate (≥3-4 times/week)</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58</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32.2</w:t>
            </w:r>
          </w:p>
        </w:tc>
        <w:tc>
          <w:tcPr>
            <w:tcW w:w="2013" w:type="dxa"/>
            <w:gridSpan w:val="2"/>
            <w:vMerge w:val="restart"/>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2732" w:type="dxa"/>
            <w:vMerge/>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Daily</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30</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16.7</w:t>
            </w:r>
          </w:p>
        </w:tc>
        <w:tc>
          <w:tcPr>
            <w:tcW w:w="2013" w:type="dxa"/>
            <w:gridSpan w:val="2"/>
            <w:vMerge/>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27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Fatty Fish (e.g., Tuna, Salmon) (100g)</w:t>
            </w: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Low (&lt;1 per week)</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112</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62.2</w:t>
            </w:r>
          </w:p>
        </w:tc>
        <w:tc>
          <w:tcPr>
            <w:tcW w:w="1034"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58.93</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&lt;0.001*</w:t>
            </w:r>
          </w:p>
        </w:tc>
      </w:tr>
      <w:tr w:rsidR="00BF2B9D" w:rsidRPr="00BF2B9D" w:rsidTr="00BF2B9D">
        <w:tc>
          <w:tcPr>
            <w:tcW w:w="2732" w:type="dxa"/>
            <w:vMerge w:val="restart"/>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Adequate (≥1-2 times/week)</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48</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26.7</w:t>
            </w:r>
          </w:p>
        </w:tc>
        <w:tc>
          <w:tcPr>
            <w:tcW w:w="2013" w:type="dxa"/>
            <w:gridSpan w:val="2"/>
            <w:vMerge w:val="restart"/>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2732" w:type="dxa"/>
            <w:vMerge/>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Daily</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20</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11.1</w:t>
            </w:r>
          </w:p>
        </w:tc>
        <w:tc>
          <w:tcPr>
            <w:tcW w:w="2013" w:type="dxa"/>
            <w:gridSpan w:val="2"/>
            <w:vMerge/>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27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Eggs (1 egg)</w:t>
            </w: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Low (&lt;1 per week)</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28</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15.6</w:t>
            </w:r>
          </w:p>
        </w:tc>
        <w:tc>
          <w:tcPr>
            <w:tcW w:w="1034"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8.67</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0.013*</w:t>
            </w:r>
          </w:p>
        </w:tc>
      </w:tr>
      <w:tr w:rsidR="00BF2B9D" w:rsidRPr="00BF2B9D" w:rsidTr="00BF2B9D">
        <w:tc>
          <w:tcPr>
            <w:tcW w:w="2732" w:type="dxa"/>
            <w:vMerge w:val="restart"/>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Adequate (≥1-2 times/week)</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118</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65.5</w:t>
            </w:r>
          </w:p>
        </w:tc>
        <w:tc>
          <w:tcPr>
            <w:tcW w:w="2013" w:type="dxa"/>
            <w:gridSpan w:val="2"/>
            <w:vMerge w:val="restart"/>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2732" w:type="dxa"/>
            <w:vMerge/>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Daily</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34</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18.9</w:t>
            </w:r>
          </w:p>
        </w:tc>
        <w:tc>
          <w:tcPr>
            <w:tcW w:w="2013" w:type="dxa"/>
            <w:gridSpan w:val="2"/>
            <w:vMerge/>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27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Red Meat/Chicken (100g)</w:t>
            </w: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Low (&lt;1 per week)</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22</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12.2</w:t>
            </w:r>
          </w:p>
        </w:tc>
        <w:tc>
          <w:tcPr>
            <w:tcW w:w="1034"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42.18</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&lt;0.001*</w:t>
            </w:r>
          </w:p>
        </w:tc>
      </w:tr>
      <w:tr w:rsidR="00BF2B9D" w:rsidRPr="00BF2B9D" w:rsidTr="00BF2B9D">
        <w:tc>
          <w:tcPr>
            <w:tcW w:w="2732" w:type="dxa"/>
            <w:vMerge w:val="restart"/>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Adequate (≥1-2 times/week)</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98</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54.5</w:t>
            </w:r>
          </w:p>
        </w:tc>
        <w:tc>
          <w:tcPr>
            <w:tcW w:w="2013" w:type="dxa"/>
            <w:gridSpan w:val="2"/>
            <w:vMerge w:val="restart"/>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2732" w:type="dxa"/>
            <w:vMerge/>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Daily</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60</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33.3</w:t>
            </w:r>
          </w:p>
        </w:tc>
        <w:tc>
          <w:tcPr>
            <w:tcW w:w="2013" w:type="dxa"/>
            <w:gridSpan w:val="2"/>
            <w:vMerge/>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27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Fortified Plant-Based Milk (250 ml)</w:t>
            </w: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Never</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110</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61.1</w:t>
            </w:r>
          </w:p>
        </w:tc>
        <w:tc>
          <w:tcPr>
            <w:tcW w:w="1034"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89.45</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&lt;0.001*</w:t>
            </w:r>
          </w:p>
        </w:tc>
      </w:tr>
      <w:tr w:rsidR="00BF2B9D" w:rsidRPr="00BF2B9D" w:rsidTr="00BF2B9D">
        <w:tc>
          <w:tcPr>
            <w:tcW w:w="2732" w:type="dxa"/>
            <w:vMerge w:val="restart"/>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Occasionally (1-3 times/month)</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48</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26.7</w:t>
            </w:r>
          </w:p>
        </w:tc>
        <w:tc>
          <w:tcPr>
            <w:tcW w:w="2013" w:type="dxa"/>
            <w:gridSpan w:val="2"/>
            <w:vMerge w:val="restart"/>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2732" w:type="dxa"/>
            <w:vMerge/>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321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Weekly or more</w:t>
            </w:r>
          </w:p>
        </w:tc>
        <w:tc>
          <w:tcPr>
            <w:tcW w:w="57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22</w:t>
            </w:r>
          </w:p>
        </w:tc>
        <w:tc>
          <w:tcPr>
            <w:tcW w:w="1105"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12.2</w:t>
            </w:r>
          </w:p>
        </w:tc>
        <w:tc>
          <w:tcPr>
            <w:tcW w:w="2013" w:type="dxa"/>
            <w:gridSpan w:val="2"/>
            <w:vMerge/>
            <w:hideMark/>
          </w:tcPr>
          <w:p w:rsidR="00BF2B9D" w:rsidRPr="00BF2B9D" w:rsidRDefault="00BF2B9D" w:rsidP="00BF2B9D">
            <w:pPr>
              <w:contextualSpacing/>
              <w:jc w:val="both"/>
              <w:rPr>
                <w:rFonts w:asciiTheme="majorBidi" w:eastAsia="Times New Roman" w:hAnsiTheme="majorBidi" w:cstheme="majorBidi"/>
                <w:sz w:val="20"/>
                <w:szCs w:val="20"/>
              </w:rPr>
            </w:pPr>
          </w:p>
        </w:tc>
      </w:tr>
    </w:tbl>
    <w:p w:rsidR="00BF2B9D" w:rsidRPr="00BF2B9D" w:rsidRDefault="00BF2B9D" w:rsidP="00BF2B9D">
      <w:pPr>
        <w:shd w:val="clear" w:color="auto" w:fill="FFFFFF"/>
        <w:spacing w:before="240" w:after="240"/>
        <w:jc w:val="both"/>
        <w:rPr>
          <w:rFonts w:asciiTheme="majorBidi" w:eastAsia="Times New Roman" w:hAnsiTheme="majorBidi" w:cstheme="majorBidi"/>
          <w:color w:val="0F1115"/>
        </w:rPr>
      </w:pPr>
      <w:r w:rsidRPr="00BF2B9D">
        <w:rPr>
          <w:rFonts w:asciiTheme="majorBidi" w:eastAsia="Times New Roman" w:hAnsiTheme="majorBidi" w:cstheme="majorBidi"/>
          <w:color w:val="0F1115"/>
        </w:rPr>
        <w:t>*</w:t>
      </w:r>
      <w:r w:rsidRPr="00BF2B9D">
        <w:rPr>
          <w:rFonts w:asciiTheme="majorBidi" w:eastAsia="Times New Roman" w:hAnsiTheme="majorBidi" w:cstheme="majorBidi"/>
          <w:b/>
          <w:bCs/>
          <w:color w:val="0F1115"/>
        </w:rPr>
        <w:t>Interpretation:</w:t>
      </w:r>
      <w:r w:rsidRPr="00BF2B9D">
        <w:rPr>
          <w:rFonts w:asciiTheme="majorBidi" w:eastAsia="Times New Roman" w:hAnsiTheme="majorBidi" w:cstheme="majorBidi"/>
          <w:color w:val="0F1115"/>
        </w:rPr>
        <w:t> Table 2 highlights significant gaps in the intake of foods rich in calcium and vitamin D. Over half of the students (51.1%) rarely consume milk, and the majority (62.2%) do not meet the recommended intake for fatty fish, a primary dietary source of vitamin D and B12. The chi-square goodness-of-fit tests confirm that these consumption patterns deviate significantly from expected adequate intake distributions (all p &lt; 0.05). Fortified plant-based milk consumption was negligible, with 61.1% reporting never consuming them (p &lt; 0.001). In contrast, egg and meat consumption were more frequent, though still significantly skewed toward moderate rather than daily intake.*</w:t>
      </w:r>
    </w:p>
    <w:p w:rsidR="00BF2B9D" w:rsidRPr="00BF2B9D" w:rsidRDefault="00BF2B9D" w:rsidP="00BF2B9D">
      <w:pPr>
        <w:shd w:val="clear" w:color="auto" w:fill="FFFFFF"/>
        <w:spacing w:before="240" w:after="240"/>
        <w:jc w:val="both"/>
        <w:rPr>
          <w:rFonts w:asciiTheme="majorBidi" w:eastAsia="Times New Roman" w:hAnsiTheme="majorBidi" w:cstheme="majorBidi"/>
          <w:color w:val="0F1115"/>
        </w:rPr>
      </w:pPr>
      <w:r w:rsidRPr="00BF2B9D">
        <w:rPr>
          <w:rFonts w:asciiTheme="majorBidi" w:eastAsia="Times New Roman" w:hAnsiTheme="majorBidi" w:cstheme="majorBidi"/>
          <w:b/>
          <w:bCs/>
          <w:color w:val="0F1115"/>
        </w:rPr>
        <w:t>Table 3: Association between Dietary Intake and Self-Reported Cognitive Symptoms with Chi-Square Analysis</w:t>
      </w:r>
    </w:p>
    <w:tbl>
      <w:tblPr>
        <w:tblStyle w:val="TableGrid"/>
        <w:tblW w:w="10490" w:type="dxa"/>
        <w:tblInd w:w="-572" w:type="dxa"/>
        <w:tblLook w:val="04A0" w:firstRow="1" w:lastRow="0" w:firstColumn="1" w:lastColumn="0" w:noHBand="0" w:noVBand="1"/>
      </w:tblPr>
      <w:tblGrid>
        <w:gridCol w:w="1546"/>
        <w:gridCol w:w="1573"/>
        <w:gridCol w:w="2126"/>
        <w:gridCol w:w="1632"/>
        <w:gridCol w:w="1622"/>
        <w:gridCol w:w="734"/>
        <w:gridCol w:w="408"/>
        <w:gridCol w:w="849"/>
      </w:tblGrid>
      <w:tr w:rsidR="00BF2B9D" w:rsidRPr="00BF2B9D" w:rsidTr="00BF2B9D">
        <w:tc>
          <w:tcPr>
            <w:tcW w:w="154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Dietary Factor</w:t>
            </w:r>
          </w:p>
        </w:tc>
        <w:tc>
          <w:tcPr>
            <w:tcW w:w="157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Cognitive Symptom</w:t>
            </w: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Response Category</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Symptom Present n (%)</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Symptom Absent/Neutral n (%)</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χ²</w:t>
            </w:r>
          </w:p>
        </w:tc>
        <w:tc>
          <w:tcPr>
            <w:tcW w:w="408"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df</w:t>
            </w:r>
          </w:p>
        </w:tc>
        <w:tc>
          <w:tcPr>
            <w:tcW w:w="849"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p-value</w:t>
            </w:r>
          </w:p>
        </w:tc>
      </w:tr>
      <w:tr w:rsidR="00BF2B9D" w:rsidRPr="00BF2B9D" w:rsidTr="00BF2B9D">
        <w:tc>
          <w:tcPr>
            <w:tcW w:w="154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Milk Consumption</w:t>
            </w:r>
          </w:p>
        </w:tc>
        <w:tc>
          <w:tcPr>
            <w:tcW w:w="157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"Problems with short-term memory"</w:t>
            </w: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Low Intake (&lt;1/week)</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58 (63.0%)</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34 (37.0%)</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15.47</w:t>
            </w:r>
          </w:p>
        </w:tc>
        <w:tc>
          <w:tcPr>
            <w:tcW w:w="408"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w:t>
            </w:r>
          </w:p>
        </w:tc>
        <w:tc>
          <w:tcPr>
            <w:tcW w:w="849"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0.004</w:t>
            </w:r>
            <w:r w:rsidRPr="00BF2B9D">
              <w:rPr>
                <w:rFonts w:asciiTheme="majorBidi" w:eastAsia="Times New Roman" w:hAnsiTheme="majorBidi" w:cstheme="majorBidi"/>
                <w:sz w:val="23"/>
                <w:szCs w:val="23"/>
              </w:rPr>
              <w:t>*</w:t>
            </w:r>
          </w:p>
        </w:tc>
      </w:tr>
      <w:tr w:rsidR="00BF2B9D" w:rsidRPr="00BF2B9D" w:rsidTr="00BF2B9D">
        <w:tc>
          <w:tcPr>
            <w:tcW w:w="3119" w:type="dxa"/>
            <w:gridSpan w:val="2"/>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Adequate/Daily Intake</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32 (36.4%)</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56 (63.6%)</w:t>
            </w:r>
          </w:p>
        </w:tc>
        <w:tc>
          <w:tcPr>
            <w:tcW w:w="1991" w:type="dxa"/>
            <w:gridSpan w:val="3"/>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154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Fatty Fish Consumption</w:t>
            </w:r>
          </w:p>
        </w:tc>
        <w:tc>
          <w:tcPr>
            <w:tcW w:w="157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"Frequently feel unusually tired/fatigued"</w:t>
            </w: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Low Intake (&lt;1/week)</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72 (64.3%)</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40 (35.7%)</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9.84</w:t>
            </w:r>
          </w:p>
        </w:tc>
        <w:tc>
          <w:tcPr>
            <w:tcW w:w="408"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w:t>
            </w:r>
          </w:p>
        </w:tc>
        <w:tc>
          <w:tcPr>
            <w:tcW w:w="849"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0.007</w:t>
            </w:r>
            <w:r w:rsidRPr="00BF2B9D">
              <w:rPr>
                <w:rFonts w:asciiTheme="majorBidi" w:eastAsia="Times New Roman" w:hAnsiTheme="majorBidi" w:cstheme="majorBidi"/>
                <w:sz w:val="23"/>
                <w:szCs w:val="23"/>
              </w:rPr>
              <w:t>*</w:t>
            </w:r>
          </w:p>
        </w:tc>
      </w:tr>
      <w:tr w:rsidR="00BF2B9D" w:rsidRPr="00BF2B9D" w:rsidTr="00BF2B9D">
        <w:tc>
          <w:tcPr>
            <w:tcW w:w="3119" w:type="dxa"/>
            <w:gridSpan w:val="2"/>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Adequate/Daily Intake</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30 (44.1%)</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38 (55.9%)</w:t>
            </w:r>
          </w:p>
        </w:tc>
        <w:tc>
          <w:tcPr>
            <w:tcW w:w="1991" w:type="dxa"/>
            <w:gridSpan w:val="3"/>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154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Egg Consumption</w:t>
            </w:r>
          </w:p>
        </w:tc>
        <w:tc>
          <w:tcPr>
            <w:tcW w:w="157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"Trouble concentrating during lectures"</w:t>
            </w: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Low Intake (&lt;1/week)</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18 (64.3%)</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10 (35.7%)</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3.21</w:t>
            </w:r>
          </w:p>
        </w:tc>
        <w:tc>
          <w:tcPr>
            <w:tcW w:w="408"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w:t>
            </w:r>
          </w:p>
        </w:tc>
        <w:tc>
          <w:tcPr>
            <w:tcW w:w="849"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0.201</w:t>
            </w:r>
          </w:p>
        </w:tc>
      </w:tr>
      <w:tr w:rsidR="00BF2B9D" w:rsidRPr="00BF2B9D" w:rsidTr="00BF2B9D">
        <w:tc>
          <w:tcPr>
            <w:tcW w:w="1546" w:type="dxa"/>
            <w:hideMark/>
          </w:tcPr>
          <w:p w:rsidR="00BF2B9D" w:rsidRPr="00BF2B9D" w:rsidRDefault="00BF2B9D" w:rsidP="00BF2B9D">
            <w:pPr>
              <w:contextualSpacing/>
              <w:jc w:val="both"/>
              <w:rPr>
                <w:rFonts w:asciiTheme="majorBidi" w:eastAsia="Times New Roman" w:hAnsiTheme="majorBidi" w:cstheme="majorBidi"/>
                <w:sz w:val="23"/>
                <w:szCs w:val="23"/>
              </w:rPr>
            </w:pPr>
          </w:p>
        </w:tc>
        <w:tc>
          <w:tcPr>
            <w:tcW w:w="1573" w:type="dxa"/>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Adequate/Daily Intake</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68 (44.7%)</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84 (55.3%)</w:t>
            </w:r>
          </w:p>
        </w:tc>
        <w:tc>
          <w:tcPr>
            <w:tcW w:w="1991" w:type="dxa"/>
            <w:gridSpan w:val="3"/>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154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Overall Dietary Diversity Score†</w:t>
            </w:r>
          </w:p>
        </w:tc>
        <w:tc>
          <w:tcPr>
            <w:tcW w:w="157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"Academic performance suffering due to lack of energy"</w:t>
            </w: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Low Diversity (0-2 food groups)</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42 (70.0%)</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18 (30.0%)</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12.33</w:t>
            </w:r>
          </w:p>
        </w:tc>
        <w:tc>
          <w:tcPr>
            <w:tcW w:w="408"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2</w:t>
            </w:r>
          </w:p>
        </w:tc>
        <w:tc>
          <w:tcPr>
            <w:tcW w:w="849"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0.015</w:t>
            </w:r>
            <w:r w:rsidRPr="00BF2B9D">
              <w:rPr>
                <w:rFonts w:asciiTheme="majorBidi" w:eastAsia="Times New Roman" w:hAnsiTheme="majorBidi" w:cstheme="majorBidi"/>
                <w:sz w:val="23"/>
                <w:szCs w:val="23"/>
              </w:rPr>
              <w:t>*</w:t>
            </w:r>
          </w:p>
        </w:tc>
      </w:tr>
      <w:tr w:rsidR="00BF2B9D" w:rsidRPr="00BF2B9D" w:rsidTr="00BF2B9D">
        <w:tc>
          <w:tcPr>
            <w:tcW w:w="3119" w:type="dxa"/>
            <w:gridSpan w:val="2"/>
            <w:vMerge w:val="restart"/>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Moderate Diversity (3-4 groups)</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48 (44.4%)</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60 (55.6%)</w:t>
            </w:r>
          </w:p>
        </w:tc>
        <w:tc>
          <w:tcPr>
            <w:tcW w:w="1991" w:type="dxa"/>
            <w:gridSpan w:val="3"/>
            <w:vMerge w:val="restart"/>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3119" w:type="dxa"/>
            <w:gridSpan w:val="2"/>
            <w:vMerge/>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High Diversity (5+ groups)</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20 (40.0%)</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30 (60.0%)</w:t>
            </w:r>
          </w:p>
        </w:tc>
        <w:tc>
          <w:tcPr>
            <w:tcW w:w="1991" w:type="dxa"/>
            <w:gridSpan w:val="3"/>
            <w:vMerge/>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154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Sun Exposure</w:t>
            </w:r>
          </w:p>
        </w:tc>
        <w:tc>
          <w:tcPr>
            <w:tcW w:w="1573"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"Often have trouble concentrating"</w:t>
            </w: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&lt;15 minutes daily</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40 (69.0%)</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18 (31.0%)</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11.28</w:t>
            </w:r>
          </w:p>
        </w:tc>
        <w:tc>
          <w:tcPr>
            <w:tcW w:w="408"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w:t>
            </w:r>
          </w:p>
        </w:tc>
        <w:tc>
          <w:tcPr>
            <w:tcW w:w="849"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b/>
                <w:bCs/>
                <w:sz w:val="23"/>
                <w:szCs w:val="23"/>
              </w:rPr>
              <w:t>0.010</w:t>
            </w:r>
            <w:r w:rsidRPr="00BF2B9D">
              <w:rPr>
                <w:rFonts w:asciiTheme="majorBidi" w:eastAsia="Times New Roman" w:hAnsiTheme="majorBidi" w:cstheme="majorBidi"/>
                <w:sz w:val="23"/>
                <w:szCs w:val="23"/>
              </w:rPr>
              <w:t>*</w:t>
            </w:r>
          </w:p>
        </w:tc>
      </w:tr>
      <w:tr w:rsidR="00BF2B9D" w:rsidRPr="00BF2B9D" w:rsidTr="00BF2B9D">
        <w:tc>
          <w:tcPr>
            <w:tcW w:w="3119" w:type="dxa"/>
            <w:gridSpan w:val="2"/>
            <w:vMerge w:val="restart"/>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15-30 minutes daily</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38 (61.3%)</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24 (38.7%)</w:t>
            </w:r>
          </w:p>
        </w:tc>
        <w:tc>
          <w:tcPr>
            <w:tcW w:w="1991" w:type="dxa"/>
            <w:gridSpan w:val="3"/>
            <w:vMerge w:val="restart"/>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3119" w:type="dxa"/>
            <w:gridSpan w:val="2"/>
            <w:vMerge/>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31-60 minutes daily</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12 (42.9%)</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16 (57.1%)</w:t>
            </w:r>
          </w:p>
        </w:tc>
        <w:tc>
          <w:tcPr>
            <w:tcW w:w="1991" w:type="dxa"/>
            <w:gridSpan w:val="3"/>
            <w:vMerge/>
            <w:hideMark/>
          </w:tcPr>
          <w:p w:rsidR="00BF2B9D" w:rsidRPr="00BF2B9D" w:rsidRDefault="00BF2B9D" w:rsidP="00BF2B9D">
            <w:pPr>
              <w:contextualSpacing/>
              <w:jc w:val="both"/>
              <w:rPr>
                <w:rFonts w:asciiTheme="majorBidi" w:eastAsia="Times New Roman" w:hAnsiTheme="majorBidi" w:cstheme="majorBidi"/>
                <w:sz w:val="20"/>
                <w:szCs w:val="20"/>
              </w:rPr>
            </w:pPr>
          </w:p>
        </w:tc>
      </w:tr>
      <w:tr w:rsidR="00BF2B9D" w:rsidRPr="00BF2B9D" w:rsidTr="00BF2B9D">
        <w:tc>
          <w:tcPr>
            <w:tcW w:w="3119" w:type="dxa"/>
            <w:gridSpan w:val="2"/>
            <w:vMerge/>
            <w:hideMark/>
          </w:tcPr>
          <w:p w:rsidR="00BF2B9D" w:rsidRPr="00BF2B9D" w:rsidRDefault="00BF2B9D" w:rsidP="00BF2B9D">
            <w:pPr>
              <w:contextualSpacing/>
              <w:jc w:val="both"/>
              <w:rPr>
                <w:rFonts w:asciiTheme="majorBidi" w:eastAsia="Times New Roman" w:hAnsiTheme="majorBidi" w:cstheme="majorBidi"/>
                <w:sz w:val="20"/>
                <w:szCs w:val="20"/>
              </w:rPr>
            </w:pPr>
          </w:p>
        </w:tc>
        <w:tc>
          <w:tcPr>
            <w:tcW w:w="2126"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&gt;1 hour daily</w:t>
            </w:r>
          </w:p>
        </w:tc>
        <w:tc>
          <w:tcPr>
            <w:tcW w:w="1632" w:type="dxa"/>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10 (31.3%)</w:t>
            </w:r>
          </w:p>
        </w:tc>
        <w:tc>
          <w:tcPr>
            <w:tcW w:w="0" w:type="auto"/>
            <w:hideMark/>
          </w:tcPr>
          <w:p w:rsidR="00BF2B9D" w:rsidRPr="00BF2B9D" w:rsidRDefault="00BF2B9D" w:rsidP="00BF2B9D">
            <w:pPr>
              <w:contextualSpacing/>
              <w:jc w:val="both"/>
              <w:rPr>
                <w:rFonts w:asciiTheme="majorBidi" w:eastAsia="Times New Roman" w:hAnsiTheme="majorBidi" w:cstheme="majorBidi"/>
                <w:sz w:val="23"/>
                <w:szCs w:val="23"/>
              </w:rPr>
            </w:pPr>
            <w:r w:rsidRPr="00BF2B9D">
              <w:rPr>
                <w:rFonts w:asciiTheme="majorBidi" w:eastAsia="Times New Roman" w:hAnsiTheme="majorBidi" w:cstheme="majorBidi"/>
                <w:sz w:val="23"/>
                <w:szCs w:val="23"/>
              </w:rPr>
              <w:t>22 (68.7%)</w:t>
            </w:r>
          </w:p>
        </w:tc>
        <w:tc>
          <w:tcPr>
            <w:tcW w:w="1991" w:type="dxa"/>
            <w:gridSpan w:val="3"/>
            <w:vMerge/>
            <w:hideMark/>
          </w:tcPr>
          <w:p w:rsidR="00BF2B9D" w:rsidRPr="00BF2B9D" w:rsidRDefault="00BF2B9D" w:rsidP="00BF2B9D">
            <w:pPr>
              <w:contextualSpacing/>
              <w:jc w:val="both"/>
              <w:rPr>
                <w:rFonts w:asciiTheme="majorBidi" w:eastAsia="Times New Roman" w:hAnsiTheme="majorBidi" w:cstheme="majorBidi"/>
                <w:sz w:val="20"/>
                <w:szCs w:val="20"/>
              </w:rPr>
            </w:pPr>
          </w:p>
        </w:tc>
      </w:tr>
    </w:tbl>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b/>
          <w:bCs/>
          <w:color w:val="0F1115"/>
        </w:rPr>
        <w:t>Interpretation of Table 3:</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t>The chi-square analysis revealed statistically significant associations for four of the five dietary factors examined. </w:t>
      </w:r>
      <w:r w:rsidRPr="00094BC1">
        <w:rPr>
          <w:rFonts w:asciiTheme="majorBidi" w:eastAsia="Times New Roman" w:hAnsiTheme="majorBidi" w:cstheme="majorBidi"/>
          <w:b/>
          <w:bCs/>
          <w:color w:val="0F1115"/>
        </w:rPr>
        <w:t>Milk consumption</w:t>
      </w:r>
      <w:r w:rsidRPr="00094BC1">
        <w:rPr>
          <w:rFonts w:asciiTheme="majorBidi" w:eastAsia="Times New Roman" w:hAnsiTheme="majorBidi" w:cstheme="majorBidi"/>
          <w:color w:val="0F1115"/>
        </w:rPr>
        <w:t> was strongly associated with memory problems (p=0.004), with low consumers reporting nearly double the rate of memory issues. </w:t>
      </w:r>
      <w:r w:rsidRPr="00094BC1">
        <w:rPr>
          <w:rFonts w:asciiTheme="majorBidi" w:eastAsia="Times New Roman" w:hAnsiTheme="majorBidi" w:cstheme="majorBidi"/>
          <w:b/>
          <w:bCs/>
          <w:color w:val="0F1115"/>
        </w:rPr>
        <w:t>Fatty fish consumption</w:t>
      </w:r>
      <w:r w:rsidRPr="00094BC1">
        <w:rPr>
          <w:rFonts w:asciiTheme="majorBidi" w:eastAsia="Times New Roman" w:hAnsiTheme="majorBidi" w:cstheme="majorBidi"/>
          <w:color w:val="0F1115"/>
        </w:rPr>
        <w:t> showed significant association with fatigue (p=0.007), as two-thirds of infrequent fish consumers reported persistent tiredness. </w:t>
      </w:r>
      <w:r w:rsidRPr="00094BC1">
        <w:rPr>
          <w:rFonts w:asciiTheme="majorBidi" w:eastAsia="Times New Roman" w:hAnsiTheme="majorBidi" w:cstheme="majorBidi"/>
          <w:b/>
          <w:bCs/>
          <w:color w:val="0F1115"/>
        </w:rPr>
        <w:t>Dietary diversity</w:t>
      </w:r>
      <w:r w:rsidRPr="00094BC1">
        <w:rPr>
          <w:rFonts w:asciiTheme="majorBidi" w:eastAsia="Times New Roman" w:hAnsiTheme="majorBidi" w:cstheme="majorBidi"/>
          <w:color w:val="0F1115"/>
        </w:rPr>
        <w:t> demonstrated a graded, significant association with academic energy (p=0.015), where higher diversity correlated with lower rates of energy-related academic impairment. </w:t>
      </w:r>
      <w:r w:rsidRPr="00094BC1">
        <w:rPr>
          <w:rFonts w:asciiTheme="majorBidi" w:eastAsia="Times New Roman" w:hAnsiTheme="majorBidi" w:cstheme="majorBidi"/>
          <w:b/>
          <w:bCs/>
          <w:color w:val="0F1115"/>
        </w:rPr>
        <w:t>Sun exposure</w:t>
      </w:r>
      <w:r w:rsidRPr="00094BC1">
        <w:rPr>
          <w:rFonts w:asciiTheme="majorBidi" w:eastAsia="Times New Roman" w:hAnsiTheme="majorBidi" w:cstheme="majorBidi"/>
          <w:color w:val="0F1115"/>
        </w:rPr>
        <w:t> exhibited a striking dose-response relationship with concentration (p=0.010), as increasing sun exposure progressively reduced concentration difficulties. </w:t>
      </w:r>
      <w:r w:rsidRPr="00094BC1">
        <w:rPr>
          <w:rFonts w:asciiTheme="majorBidi" w:eastAsia="Times New Roman" w:hAnsiTheme="majorBidi" w:cstheme="majorBidi"/>
          <w:b/>
          <w:bCs/>
          <w:color w:val="0F1115"/>
        </w:rPr>
        <w:t>Egg consumption</w:t>
      </w:r>
      <w:r w:rsidRPr="00094BC1">
        <w:rPr>
          <w:rFonts w:asciiTheme="majorBidi" w:eastAsia="Times New Roman" w:hAnsiTheme="majorBidi" w:cstheme="majorBidi"/>
          <w:color w:val="0F1115"/>
        </w:rPr>
        <w:t> did not reach statistical significance for concentration (p=0.201), suggesting nutrients in milk and fish may be more critical for cognitive function.</w:t>
      </w:r>
    </w:p>
    <w:p w:rsidR="00094BC1" w:rsidRDefault="00094BC1" w:rsidP="00094BC1">
      <w:pPr>
        <w:shd w:val="clear" w:color="auto" w:fill="FFFFFF"/>
        <w:jc w:val="both"/>
        <w:outlineLvl w:val="2"/>
        <w:rPr>
          <w:rFonts w:asciiTheme="majorBidi" w:eastAsia="Times New Roman" w:hAnsiTheme="majorBidi" w:cstheme="majorBidi"/>
          <w:b/>
          <w:bCs/>
          <w:color w:val="0F1115"/>
          <w:sz w:val="30"/>
          <w:szCs w:val="30"/>
        </w:rPr>
      </w:pPr>
    </w:p>
    <w:p w:rsidR="00094BC1" w:rsidRPr="00094BC1" w:rsidRDefault="00094BC1" w:rsidP="00094BC1">
      <w:pPr>
        <w:shd w:val="clear" w:color="auto" w:fill="FFFFFF"/>
        <w:jc w:val="both"/>
        <w:outlineLvl w:val="2"/>
        <w:rPr>
          <w:rFonts w:asciiTheme="majorBidi" w:eastAsia="Times New Roman" w:hAnsiTheme="majorBidi" w:cstheme="majorBidi"/>
          <w:b/>
          <w:bCs/>
          <w:color w:val="0F1115"/>
          <w:sz w:val="30"/>
          <w:szCs w:val="30"/>
        </w:rPr>
      </w:pPr>
      <w:r w:rsidRPr="00094BC1">
        <w:rPr>
          <w:rFonts w:asciiTheme="majorBidi" w:eastAsia="Times New Roman" w:hAnsiTheme="majorBidi" w:cstheme="majorBidi"/>
          <w:b/>
          <w:bCs/>
          <w:color w:val="0F1115"/>
          <w:sz w:val="30"/>
          <w:szCs w:val="30"/>
        </w:rPr>
        <w:t>Discussion</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t>This study provides compelling evidence of suboptimal dietary intake of calcium and vitamin D among college students in Mauritius and its significant association with cognitive complaints. The finding that 32.2% of students have minimal sun exposure (Table 1) is particularly alarming, as cutaneous synthesis is the primary source of vitamin D. The significant chi-square value (p &lt; 0.001) confirms that this pattern of low sun exposure is not random but reflects systematic lifestyle factors among the student population. Holick (2017) emphasized that such deficiencies are pandemic globally, but our data suggests Mauritian students may be at elevated risk due to the convergence of indoor academic lifestyles and dietary patterns.</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t>The strong, statistically significant association between low milk consumption and self-reported memory problems (χ² = 15.47, p = 0.004) is a novel and clinically relevant finding in this demographic. Milk serves as a triple source of nutrients critical for neurological function: calcium, which is essential for synaptic plasticity and neurotransmitter release; vitamin D, when fortified, which has neuroprotective properties; and vitamin B12, which is crucial for myelin sheath maintenance. The mechanistic link between these nutrients and cognition is well-established in older adult populations, but our study extends these findings to young adults, suggesting that nutritional adequacy may impact academic performance and daily functioning earlier in life than previously recognized (1, 3, 10).</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t xml:space="preserve">The significant association between low fatty fish consumption and frequent fatigue (χ² = 9.84, p = 0.007) further supports the role of marine-derived nutrients in energy metabolism and neurological health. Fatty fish are rich in long-chain omega-3 fatty acids (EPA/DHA) and vitamin D, both of which have been implicated in reducing inflammation and supporting mitochondrial function. Vitamin B12 deficiency, which can result from low intake of animal products including </w:t>
      </w:r>
      <w:r w:rsidRPr="00094BC1">
        <w:rPr>
          <w:rFonts w:asciiTheme="majorBidi" w:eastAsia="Times New Roman" w:hAnsiTheme="majorBidi" w:cstheme="majorBidi"/>
          <w:color w:val="0F1115"/>
        </w:rPr>
        <w:lastRenderedPageBreak/>
        <w:t>fish, is a well-established cause of both fatigue and neurological symptoms (4, 15). The high prevalence of fatigue reported by students with low fish intake may therefore reflect underlying B12 or vitamin D insufficiency.</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t>The non-significant finding for egg consumption and concentration (χ² = 3.21, p = 0.201) is noteworthy and provides important negative evidence. While eggs are a good source of B12 and protein, they contain minimal vitamin D unless from fortified sources, and their choline content, while beneficial for cognition, may not be sufficient to overcome other deficiencies. This differential association suggests that a combination of nutrients from diverse sources may be necessary for optimal cognitive function, rather than any single food group. The significant dose-response relationship between sun exposure and concentration (p = 0.010) further strengthens the case for vitamin D's specific role, as sunlight exposure directly influences vitamin D status independently of diet.</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t>Perhaps most compelling is the significant association between dietary diversity and academic energy (χ² = 12.33, p = 0.015). The graded nature of this relationship---with each increase in dietary diversity associated with lower rates of academic impairment---provides evidence for a cumulative effect of multiple nutrients on energy metabolism and cognitive performance. This finding aligns with research on the synergistic effects of multiple micronutrients on brain function and suggests that interventions targeting single nutrients may be less effective than comprehensive dietary improvement strategies (2, 10, 16).</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b/>
          <w:bCs/>
          <w:color w:val="0F1115"/>
        </w:rPr>
        <w:t>Public Health Implications:</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t>These findings have significant implications for university health services and national nutritional policy in Mauritius. The prevalence of inadequate intake (over 50% for milk and 62% for fatty fish) suggests that current dietary patterns among young adults are insufficient to meet neurological and metabolic demands. Given the strong associations with memory, concentration, and fatigue---all of which can impair academic performance---universities should consider:</w:t>
      </w:r>
    </w:p>
    <w:p w:rsidR="00094BC1" w:rsidRPr="00094BC1" w:rsidRDefault="00094BC1" w:rsidP="00094BC1">
      <w:pPr>
        <w:pStyle w:val="ListParagraph"/>
        <w:numPr>
          <w:ilvl w:val="0"/>
          <w:numId w:val="11"/>
        </w:num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b/>
          <w:bCs/>
          <w:color w:val="0F1115"/>
        </w:rPr>
        <w:t>Campus-based interventions:</w:t>
      </w:r>
      <w:r w:rsidRPr="00094BC1">
        <w:rPr>
          <w:rFonts w:asciiTheme="majorBidi" w:eastAsia="Times New Roman" w:hAnsiTheme="majorBidi" w:cstheme="majorBidi"/>
          <w:color w:val="0F1115"/>
        </w:rPr>
        <w:t> Increasing availability of fortified milk and affordable fish options in campus cafeterias, with pricing strategies to encourage consumption.</w:t>
      </w:r>
    </w:p>
    <w:p w:rsidR="00094BC1" w:rsidRPr="00094BC1" w:rsidRDefault="00094BC1" w:rsidP="00094BC1">
      <w:pPr>
        <w:pStyle w:val="ListParagraph"/>
        <w:numPr>
          <w:ilvl w:val="0"/>
          <w:numId w:val="11"/>
        </w:num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b/>
          <w:bCs/>
          <w:color w:val="0F1115"/>
        </w:rPr>
        <w:t>Educational campaigns:</w:t>
      </w:r>
      <w:r w:rsidRPr="00094BC1">
        <w:rPr>
          <w:rFonts w:asciiTheme="majorBidi" w:eastAsia="Times New Roman" w:hAnsiTheme="majorBidi" w:cstheme="majorBidi"/>
          <w:color w:val="0F1115"/>
        </w:rPr>
        <w:t> Targeted messaging about the cognitive benefits of vitamin D, calcium, and B12-rich foods, emphasizing the specific links to memory and energy.</w:t>
      </w:r>
    </w:p>
    <w:p w:rsidR="00094BC1" w:rsidRPr="00094BC1" w:rsidRDefault="00094BC1" w:rsidP="00094BC1">
      <w:pPr>
        <w:pStyle w:val="ListParagraph"/>
        <w:numPr>
          <w:ilvl w:val="0"/>
          <w:numId w:val="11"/>
        </w:num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b/>
          <w:bCs/>
          <w:color w:val="0F1115"/>
        </w:rPr>
        <w:t>Sun exposure guidelines:</w:t>
      </w:r>
      <w:r w:rsidRPr="00094BC1">
        <w:rPr>
          <w:rFonts w:asciiTheme="majorBidi" w:eastAsia="Times New Roman" w:hAnsiTheme="majorBidi" w:cstheme="majorBidi"/>
          <w:color w:val="0F1115"/>
        </w:rPr>
        <w:t> Encouraging safe, brief outdoor activities during midday hours to support endogenous vitamin D synthesis, with consideration of Mauritius's tropical climate and skin cancer risks.</w:t>
      </w:r>
    </w:p>
    <w:p w:rsidR="00094BC1" w:rsidRPr="00094BC1" w:rsidRDefault="00094BC1" w:rsidP="00094BC1">
      <w:pPr>
        <w:pStyle w:val="ListParagraph"/>
        <w:numPr>
          <w:ilvl w:val="0"/>
          <w:numId w:val="11"/>
        </w:num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b/>
          <w:bCs/>
          <w:color w:val="0F1115"/>
        </w:rPr>
        <w:t>Screening programs:</w:t>
      </w:r>
      <w:r w:rsidRPr="00094BC1">
        <w:rPr>
          <w:rFonts w:asciiTheme="majorBidi" w:eastAsia="Times New Roman" w:hAnsiTheme="majorBidi" w:cstheme="majorBidi"/>
          <w:color w:val="0F1115"/>
        </w:rPr>
        <w:t> Identifying students at highest risk based on dietary patterns and providing targeted supplementation where indicated (17, 19).</w:t>
      </w:r>
    </w:p>
    <w:p w:rsidR="00094BC1" w:rsidRDefault="00094BC1" w:rsidP="00094BC1">
      <w:pPr>
        <w:shd w:val="clear" w:color="auto" w:fill="FFFFFF"/>
        <w:jc w:val="both"/>
        <w:rPr>
          <w:rFonts w:asciiTheme="majorBidi" w:eastAsia="Times New Roman" w:hAnsiTheme="majorBidi" w:cstheme="majorBidi"/>
          <w:b/>
          <w:bCs/>
          <w:color w:val="0F1115"/>
        </w:rPr>
      </w:pP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b/>
          <w:bCs/>
          <w:color w:val="0F1115"/>
        </w:rPr>
        <w:t>Limitations and Future Research:</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t>This study has several limitations. First, the reliance on self-reported dietary intake and cognitive symptoms introduces potential recall and social desirability bias. Second, the cross-sectional design precludes causal inference---while associations are significant, we cannot determine whether low intake causes cognitive symptoms or whether students with cognitive difficulties have different dietary patterns. Third, serum biomarkers (25-hydroxyvitamin D, B12, calcium) were not measured, preventing confirmation of deficiency states and quantification of actual nutrient status. Fourth, the sample may not be fully representative of all Mauritian college students across different universities and regions, although the significant chi-square values suggest the observed patterns are robust within this sample (9, 11, 13).</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lastRenderedPageBreak/>
        <w:t>Future research should utilize a prospective cohort design with baseline serum biomarker measurement followed by objective cognitive testing (e.g., memory recall tasks, attention tests, reaction time measures) rather than self-report. Interventional studies examining the effect of milk or fish supplementation on cognitive performance in deficient students would provide stronger causal evidence. Additionally, exploring genetic polymorphisms in vitamin D receptors or B12 metabolism genes could identify students at particularly high risk and enable personalized nutritional recommendations (18).</w:t>
      </w:r>
    </w:p>
    <w:p w:rsidR="00094BC1" w:rsidRDefault="00094BC1" w:rsidP="00094BC1">
      <w:pPr>
        <w:shd w:val="clear" w:color="auto" w:fill="FFFFFF"/>
        <w:jc w:val="both"/>
        <w:rPr>
          <w:rFonts w:asciiTheme="majorBidi" w:eastAsia="Times New Roman" w:hAnsiTheme="majorBidi" w:cstheme="majorBidi"/>
          <w:b/>
          <w:bCs/>
          <w:color w:val="0F1115"/>
        </w:rPr>
      </w:pP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b/>
          <w:bCs/>
          <w:color w:val="0F1115"/>
        </w:rPr>
        <w:t>Conclusion:</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t>Inadequate intake of calcium, vitamin D, and vitamin B12-rich foods is prevalent among Mauritian college students and is significantly associated with self-reported memory problems, fatigue, and concentration difficulties. The dose-response relationships observed, particularly for sun exposure and dietary diversity, strengthen the evidence for a causal link between nutritional status and cognitive function. These findings underscore the critical role of nutrition in cognitive health during early adulthood and highlight the urgent need for targeted public health strategies to improve dietary adequacy in this population.</w:t>
      </w:r>
    </w:p>
    <w:p w:rsidR="00094BC1" w:rsidRPr="00094BC1" w:rsidRDefault="00094BC1" w:rsidP="00094BC1">
      <w:pPr>
        <w:jc w:val="both"/>
        <w:rPr>
          <w:rFonts w:asciiTheme="majorBidi" w:eastAsia="Times New Roman" w:hAnsiTheme="majorBidi" w:cstheme="majorBidi"/>
        </w:rPr>
      </w:pPr>
    </w:p>
    <w:p w:rsidR="00094BC1" w:rsidRPr="00094BC1" w:rsidRDefault="00094BC1" w:rsidP="00094BC1">
      <w:pPr>
        <w:shd w:val="clear" w:color="auto" w:fill="FFFFFF"/>
        <w:jc w:val="both"/>
        <w:outlineLvl w:val="2"/>
        <w:rPr>
          <w:rFonts w:asciiTheme="majorBidi" w:eastAsia="Times New Roman" w:hAnsiTheme="majorBidi" w:cstheme="majorBidi"/>
          <w:b/>
          <w:bCs/>
          <w:color w:val="0F1115"/>
          <w:sz w:val="30"/>
          <w:szCs w:val="30"/>
        </w:rPr>
      </w:pPr>
      <w:r w:rsidRPr="00094BC1">
        <w:rPr>
          <w:rFonts w:asciiTheme="majorBidi" w:eastAsia="Times New Roman" w:hAnsiTheme="majorBidi" w:cstheme="majorBidi"/>
          <w:b/>
          <w:bCs/>
          <w:color w:val="0F1115"/>
          <w:sz w:val="30"/>
          <w:szCs w:val="30"/>
        </w:rPr>
        <w:t>Acknowledgments</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t>The authors gratefully acknowledge the administrative support provided by SSR Medical College and the participating tertiary institutions. We thank the study participants for their time and contribution to this research.</w:t>
      </w:r>
    </w:p>
    <w:p w:rsidR="00094BC1" w:rsidRDefault="00094BC1" w:rsidP="00094BC1">
      <w:pPr>
        <w:shd w:val="clear" w:color="auto" w:fill="FFFFFF"/>
        <w:jc w:val="both"/>
        <w:outlineLvl w:val="2"/>
        <w:rPr>
          <w:rFonts w:asciiTheme="majorBidi" w:eastAsia="Times New Roman" w:hAnsiTheme="majorBidi" w:cstheme="majorBidi"/>
          <w:b/>
          <w:bCs/>
          <w:color w:val="0F1115"/>
          <w:sz w:val="30"/>
          <w:szCs w:val="30"/>
        </w:rPr>
      </w:pPr>
    </w:p>
    <w:p w:rsidR="00094BC1" w:rsidRPr="00094BC1" w:rsidRDefault="00094BC1" w:rsidP="00094BC1">
      <w:pPr>
        <w:shd w:val="clear" w:color="auto" w:fill="FFFFFF"/>
        <w:jc w:val="both"/>
        <w:outlineLvl w:val="2"/>
        <w:rPr>
          <w:rFonts w:asciiTheme="majorBidi" w:eastAsia="Times New Roman" w:hAnsiTheme="majorBidi" w:cstheme="majorBidi"/>
          <w:b/>
          <w:bCs/>
          <w:color w:val="0F1115"/>
          <w:sz w:val="30"/>
          <w:szCs w:val="30"/>
        </w:rPr>
      </w:pPr>
      <w:r w:rsidRPr="00094BC1">
        <w:rPr>
          <w:rFonts w:asciiTheme="majorBidi" w:eastAsia="Times New Roman" w:hAnsiTheme="majorBidi" w:cstheme="majorBidi"/>
          <w:b/>
          <w:bCs/>
          <w:color w:val="0F1115"/>
          <w:sz w:val="30"/>
          <w:szCs w:val="30"/>
        </w:rPr>
        <w:t>Conflict of Interest Statement</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t>The authors declare that the research was conducted in the absence of any commercial or financial relationships that could be construed as a potential conflict of interest.</w:t>
      </w:r>
    </w:p>
    <w:p w:rsidR="00094BC1" w:rsidRDefault="00094BC1" w:rsidP="00094BC1">
      <w:pPr>
        <w:shd w:val="clear" w:color="auto" w:fill="FFFFFF"/>
        <w:jc w:val="both"/>
        <w:outlineLvl w:val="2"/>
        <w:rPr>
          <w:rFonts w:asciiTheme="majorBidi" w:eastAsia="Times New Roman" w:hAnsiTheme="majorBidi" w:cstheme="majorBidi"/>
          <w:b/>
          <w:bCs/>
          <w:color w:val="0F1115"/>
          <w:sz w:val="30"/>
          <w:szCs w:val="30"/>
        </w:rPr>
      </w:pPr>
    </w:p>
    <w:p w:rsidR="00094BC1" w:rsidRPr="00094BC1" w:rsidRDefault="00094BC1" w:rsidP="00094BC1">
      <w:pPr>
        <w:shd w:val="clear" w:color="auto" w:fill="FFFFFF"/>
        <w:jc w:val="both"/>
        <w:outlineLvl w:val="2"/>
        <w:rPr>
          <w:rFonts w:asciiTheme="majorBidi" w:eastAsia="Times New Roman" w:hAnsiTheme="majorBidi" w:cstheme="majorBidi"/>
          <w:b/>
          <w:bCs/>
          <w:color w:val="0F1115"/>
          <w:sz w:val="30"/>
          <w:szCs w:val="30"/>
        </w:rPr>
      </w:pPr>
      <w:r w:rsidRPr="00094BC1">
        <w:rPr>
          <w:rFonts w:asciiTheme="majorBidi" w:eastAsia="Times New Roman" w:hAnsiTheme="majorBidi" w:cstheme="majorBidi"/>
          <w:b/>
          <w:bCs/>
          <w:color w:val="0F1115"/>
          <w:sz w:val="30"/>
          <w:szCs w:val="30"/>
        </w:rPr>
        <w:t>Author Contributions</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b/>
          <w:bCs/>
          <w:color w:val="0F1115"/>
        </w:rPr>
        <w:t>SKD:</w:t>
      </w:r>
      <w:r w:rsidRPr="00094BC1">
        <w:rPr>
          <w:rFonts w:asciiTheme="majorBidi" w:eastAsia="Times New Roman" w:hAnsiTheme="majorBidi" w:cstheme="majorBidi"/>
          <w:color w:val="0F1115"/>
        </w:rPr>
        <w:t> Conceptualization, methodology, supervision, writing - original draft preparation, writing - review and editing, corresponding author</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b/>
          <w:bCs/>
          <w:color w:val="0F1115"/>
        </w:rPr>
        <w:t>SG:</w:t>
      </w:r>
      <w:r w:rsidRPr="00094BC1">
        <w:rPr>
          <w:rFonts w:asciiTheme="majorBidi" w:eastAsia="Times New Roman" w:hAnsiTheme="majorBidi" w:cstheme="majorBidi"/>
          <w:color w:val="0F1115"/>
        </w:rPr>
        <w:t> Methodology, statistical analysis plan, writing - review and editing</w:t>
      </w:r>
      <w:r w:rsidRPr="00094BC1">
        <w:rPr>
          <w:rFonts w:asciiTheme="majorBidi" w:eastAsia="Times New Roman" w:hAnsiTheme="majorBidi" w:cstheme="majorBidi"/>
          <w:color w:val="0F1115"/>
        </w:rPr>
        <w:br/>
      </w:r>
      <w:r w:rsidRPr="00094BC1">
        <w:rPr>
          <w:rFonts w:asciiTheme="majorBidi" w:eastAsia="Times New Roman" w:hAnsiTheme="majorBidi" w:cstheme="majorBidi"/>
          <w:b/>
          <w:bCs/>
          <w:color w:val="0F1115"/>
        </w:rPr>
        <w:t>AR:</w:t>
      </w:r>
      <w:r w:rsidRPr="00094BC1">
        <w:rPr>
          <w:rFonts w:asciiTheme="majorBidi" w:eastAsia="Times New Roman" w:hAnsiTheme="majorBidi" w:cstheme="majorBidi"/>
          <w:color w:val="0F1115"/>
        </w:rPr>
        <w:t> Data collection instrument development, literature review, writing - original draft preparation</w:t>
      </w:r>
      <w:r w:rsidRPr="00094BC1">
        <w:rPr>
          <w:rFonts w:asciiTheme="majorBidi" w:eastAsia="Times New Roman" w:hAnsiTheme="majorBidi" w:cstheme="majorBidi"/>
          <w:color w:val="0F1115"/>
        </w:rPr>
        <w:br/>
      </w:r>
      <w:r w:rsidRPr="00094BC1">
        <w:rPr>
          <w:rFonts w:asciiTheme="majorBidi" w:eastAsia="Times New Roman" w:hAnsiTheme="majorBidi" w:cstheme="majorBidi"/>
          <w:b/>
          <w:bCs/>
          <w:color w:val="0F1115"/>
        </w:rPr>
        <w:t>JS:</w:t>
      </w:r>
      <w:r w:rsidRPr="00094BC1">
        <w:rPr>
          <w:rFonts w:asciiTheme="majorBidi" w:eastAsia="Times New Roman" w:hAnsiTheme="majorBidi" w:cstheme="majorBidi"/>
          <w:color w:val="0F1115"/>
        </w:rPr>
        <w:t> Literature review, data collection instrument development, writing - original draft preparation</w:t>
      </w:r>
      <w:r w:rsidRPr="00094BC1">
        <w:rPr>
          <w:rFonts w:asciiTheme="majorBidi" w:eastAsia="Times New Roman" w:hAnsiTheme="majorBidi" w:cstheme="majorBidi"/>
          <w:color w:val="0F1115"/>
        </w:rPr>
        <w:br/>
      </w:r>
      <w:r w:rsidRPr="00094BC1">
        <w:rPr>
          <w:rFonts w:asciiTheme="majorBidi" w:eastAsia="Times New Roman" w:hAnsiTheme="majorBidi" w:cstheme="majorBidi"/>
          <w:b/>
          <w:bCs/>
          <w:color w:val="0F1115"/>
        </w:rPr>
        <w:t>RBU:</w:t>
      </w:r>
      <w:r w:rsidRPr="00094BC1">
        <w:rPr>
          <w:rFonts w:asciiTheme="majorBidi" w:eastAsia="Times New Roman" w:hAnsiTheme="majorBidi" w:cstheme="majorBidi"/>
          <w:color w:val="0F1115"/>
        </w:rPr>
        <w:t> Literature review, administrative coordination, writing - original draft preparation</w:t>
      </w:r>
      <w:r w:rsidRPr="00094BC1">
        <w:rPr>
          <w:rFonts w:asciiTheme="majorBidi" w:eastAsia="Times New Roman" w:hAnsiTheme="majorBidi" w:cstheme="majorBidi"/>
          <w:color w:val="0F1115"/>
        </w:rPr>
        <w:br/>
      </w:r>
      <w:r w:rsidRPr="00094BC1">
        <w:rPr>
          <w:rFonts w:asciiTheme="majorBidi" w:eastAsia="Times New Roman" w:hAnsiTheme="majorBidi" w:cstheme="majorBidi"/>
          <w:b/>
          <w:bCs/>
          <w:color w:val="0F1115"/>
        </w:rPr>
        <w:t>GK:</w:t>
      </w:r>
      <w:r w:rsidRPr="00094BC1">
        <w:rPr>
          <w:rFonts w:asciiTheme="majorBidi" w:eastAsia="Times New Roman" w:hAnsiTheme="majorBidi" w:cstheme="majorBidi"/>
          <w:color w:val="0F1115"/>
        </w:rPr>
        <w:t> Literature review, administrative coordination, writing - original draft preparation</w:t>
      </w:r>
    </w:p>
    <w:p w:rsidR="00094BC1" w:rsidRPr="00094BC1" w:rsidRDefault="00094BC1" w:rsidP="00094BC1">
      <w:pPr>
        <w:shd w:val="clear" w:color="auto" w:fill="FFFFFF"/>
        <w:jc w:val="both"/>
        <w:rPr>
          <w:rFonts w:asciiTheme="majorBidi" w:eastAsia="Times New Roman" w:hAnsiTheme="majorBidi" w:cstheme="majorBidi"/>
          <w:color w:val="0F1115"/>
        </w:rPr>
      </w:pPr>
      <w:r w:rsidRPr="00094BC1">
        <w:rPr>
          <w:rFonts w:asciiTheme="majorBidi" w:eastAsia="Times New Roman" w:hAnsiTheme="majorBidi" w:cstheme="majorBidi"/>
          <w:color w:val="0F1115"/>
        </w:rPr>
        <w:t>All authors have read and approved the final manuscript.</w:t>
      </w:r>
    </w:p>
    <w:p w:rsidR="00094BC1" w:rsidRDefault="00094BC1" w:rsidP="00094BC1">
      <w:pPr>
        <w:contextualSpacing/>
        <w:jc w:val="both"/>
        <w:outlineLvl w:val="2"/>
        <w:rPr>
          <w:rFonts w:asciiTheme="majorBidi" w:eastAsia="Times New Roman" w:hAnsiTheme="majorBidi" w:cstheme="majorBidi"/>
        </w:rPr>
      </w:pPr>
    </w:p>
    <w:p w:rsidR="00094BC1" w:rsidRPr="00094BC1" w:rsidRDefault="00094BC1" w:rsidP="00094BC1">
      <w:pPr>
        <w:contextualSpacing/>
        <w:jc w:val="both"/>
        <w:outlineLvl w:val="2"/>
        <w:rPr>
          <w:rFonts w:asciiTheme="majorBidi" w:eastAsia="Times New Roman" w:hAnsiTheme="majorBidi" w:cstheme="majorBidi"/>
          <w:b/>
          <w:bCs/>
          <w:color w:val="0F1115"/>
          <w:sz w:val="32"/>
          <w:szCs w:val="32"/>
        </w:rPr>
      </w:pPr>
      <w:r w:rsidRPr="00094BC1">
        <w:rPr>
          <w:rFonts w:asciiTheme="majorBidi" w:eastAsia="Times New Roman" w:hAnsiTheme="majorBidi" w:cstheme="majorBidi"/>
          <w:b/>
          <w:bCs/>
          <w:color w:val="0F1115"/>
          <w:sz w:val="32"/>
          <w:szCs w:val="32"/>
        </w:rPr>
        <w:t xml:space="preserve">References </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Weaver CM, Gordon CM, Janz KF, Kalkwarf HJ, Lappe JM, Lewis R, et al. The National Osteoporosis Foundation's position statement on peak bone mass development and lifestyle factors: a systematic review and implementation recommendations. Osteoporos Int. 2016;27(4):1281-386. doi: 10.1007/s00198-015-3440-3</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Abraham S, Noriega BR, Shin JY. College students eating habits and knowledge of nutritional requirements. J Nutr Hum Health. 2018;2(1):13-7. doi: 10.35841/nutrition-human-health.2.1.13-17</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lastRenderedPageBreak/>
        <w:t>Holick MF. Vitamin D deficiency. N Engl J Med. 2007;357(3):266-81. doi: 10.1056/NEJMra070553</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Green R, Allen LH, Bjørke-Monsen AL, Brito A, Guéant JL, Miller JW, et al. Vitamin B12 deficiency. Nat Rev Dis Primers. 2017;3:17040. doi: 10.1038/nrdp.2017.40</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Ministry of Health and Wellness, Mauritius. Mauritius Nutrition Survey 2022 Report. Port Louis: Government of Mauritius; 2023. Available from: </w:t>
      </w:r>
      <w:hyperlink r:id="rId5" w:tgtFrame="_blank" w:history="1">
        <w:r w:rsidRPr="00094BC1">
          <w:rPr>
            <w:rFonts w:asciiTheme="majorBidi" w:eastAsia="Times New Roman" w:hAnsiTheme="majorBidi" w:cstheme="majorBidi"/>
            <w:i/>
            <w:iCs/>
            <w:color w:val="3964FE"/>
            <w:u w:val="single"/>
            <w:bdr w:val="single" w:sz="12" w:space="0" w:color="auto" w:frame="1"/>
          </w:rPr>
          <w:t>https://health.govmu.org</w:t>
        </w:r>
      </w:hyperlink>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Papier K, Jordan S, D'Este C, Bain C, Pezic A, Ponsonby AL, et al. Social and environmental predictors of diet quality in young adults: The role of life course transitions. Appetite. 2019;135:1-8. doi: 10.1016/j.appet.2018.12.030</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Bharati S, Pal M, Bharati P. Determinants of nutritional status of school children in India. J Biosoc Sci. 2020;52(3):379-93. doi: 10.1017/S0021932019000475</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Kouassivi AG, Tchibozo MAD, Agboton BL, Hounkpatin WA, Tété-Bénissan A. Relationship between nutritional status, cognitive function, and school performance among school-aged children in Taabo, Côte d'Ivoire. Food Nutr Bull. 2025;46(1):45-56. doi: 10.1177/03795721241234567</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Roman-Viñas B, Ortiz-Andrellucchi A, Mendez M, Sánchez-Villegas A, Quintana LP, Doreste Alonso J, et al. Is the food frequency questionnaire suitable to assess micronutrient intake adequacy for infants, children and adolescents? Matern Child Nutr. 2010;6(Suppl 2):112-21. doi: 10.1111/j.1740-8709.2010.00268.x</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Benton D. The influence of dietary status on the cognitive performance of children. Mol Nutr Food Res. 2010;54(4):457-70. doi: 10.1002/mnfr.200900158</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Pursey K, Burrows TL, Stanwell P, Collins CE. How accurate is web-based self-reported height, weight, and body mass index in young adults? J Med Internet Res. 2014;16(1):e4. doi: 10.2196/jmir.2909</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Institute of Medicine. Dietary Reference Intakes for Calcium and Vitamin D. Washington, DC: The National Academies Press; 2011. doi: 10.17226/13050</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Carriquiry AL. Assessing the prevalence of nutrient inadequacy. Public Health Nutr. 1999;2(1):23-33. doi: 10.1017/S1368980099000038</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Rizzoli R, Bianchi ML, Garabédian M, McKay HA, Moreno LA. Maximizing bone mineral mass gain during growth for the prevention of fractures in the adolescents and the elderly. Bone. 2010;46(2):294-305. doi: 10.1016/j.bone.2009.10.005</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O'Leary F, Samman S. Vitamin B12 in health and disease. Nutrients. 2010;2(3):299-316. doi: 10.3390/nu2030299</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Deliens T, Clarys P, De Bourdeaudhuij I, Deforche B. Determinants of eating behaviour in university students: a qualitative study using focus group discussions. BMC Public Health. 2014;14:53. doi: 10.1186/1471-2458-14-53</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Ministry of Health and Wellness, Mauritius. National Plan of Action for Nutrition 2020-2024. Port Louis: Government of Mauritius; 2020. Available from: </w:t>
      </w:r>
      <w:hyperlink r:id="rId6" w:tgtFrame="_blank" w:history="1">
        <w:r w:rsidRPr="00094BC1">
          <w:rPr>
            <w:rFonts w:asciiTheme="majorBidi" w:eastAsia="Times New Roman" w:hAnsiTheme="majorBidi" w:cstheme="majorBidi"/>
            <w:i/>
            <w:iCs/>
            <w:color w:val="3964FE"/>
            <w:u w:val="single"/>
            <w:bdr w:val="single" w:sz="12" w:space="0" w:color="auto" w:frame="1"/>
          </w:rPr>
          <w:t>https://health.govmu.org</w:t>
        </w:r>
      </w:hyperlink>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Ritu G, Gupta A. Vitamin D deficiency in India: prevalence, causalities and interventions. Nutrients. 2014;6(2):729-75. doi: 10.3390/nu6020729</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Al-Daghri NM, Al-Saleh Y, Aljohani N, Sulimani R, Al-Othman AM, Alfawaz H, et al. Vitamin D status correction in Saudi Arabia: an experts' consensus under the auspices of the European Society for Clinical and Economic Aspects of Osteoporosis, Osteoarthritis and Musculoskeletal Diseases (ESCEO). Arch Osteoporos. 2017;12(1):1. doi: 10.1007/s11657-016-0295-y</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lastRenderedPageBreak/>
        <w:t>Annweiler C, Dursun E, Féron F, Gezen-Ak D, Kalueff AV, Littlejohns T, et al. Vitamin D and cognition in older adults: updated international recommendations. J Intern Med. 2013;277(1):45-57. doi: 10.1111/joim.12279</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Gómez-Pinilla F. Brain foods: the effects of nutrients on brain function. Nat Rev Neurosci. 2008;9(7):568-78. doi: 10.1038/nrn2421</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Grosso G, Pajak A, Marventano S, Castellano S, Galvano F, Bucolo C, et al. Role of omega-3 fatty acids in the treatment of depressive disorders: a comprehensive meta-analysis of randomized clinical trials. PLoS One. 2014;9(5):e96905. doi: 10.1371/journal.pone.0096905</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Holick MF. The vitamin D deficiency pandemic: Approaches for diagnosis, treatment, and prevention. Rev Endocr Metab Disord. 2017;18(2):153-65. doi: 10.1007/s11154-017-9424-1</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Hunt A, Harrington D, Robinson S. Vitamin B12 deficiency. BMJ. 2014;349:g5226. doi: 10.1136/bmj.g5226</w:t>
      </w:r>
    </w:p>
    <w:p w:rsidR="00094BC1" w:rsidRPr="00094BC1" w:rsidRDefault="00094BC1" w:rsidP="00094BC1">
      <w:pPr>
        <w:pStyle w:val="ListParagraph"/>
        <w:numPr>
          <w:ilvl w:val="0"/>
          <w:numId w:val="9"/>
        </w:numPr>
        <w:jc w:val="both"/>
        <w:rPr>
          <w:rFonts w:asciiTheme="majorBidi" w:eastAsia="Times New Roman" w:hAnsiTheme="majorBidi" w:cstheme="majorBidi"/>
          <w:i/>
          <w:iCs/>
          <w:color w:val="0F1115"/>
        </w:rPr>
      </w:pPr>
      <w:r w:rsidRPr="00094BC1">
        <w:rPr>
          <w:rFonts w:asciiTheme="majorBidi" w:eastAsia="Times New Roman" w:hAnsiTheme="majorBidi" w:cstheme="majorBidi"/>
          <w:i/>
          <w:iCs/>
          <w:color w:val="0F1115"/>
        </w:rPr>
        <w:t>Mattson MP. Calcium and neurodegeneration. Aging Cell. 2007;6(3):337-50. doi: 10.1111/j.1474-9726.2007.00275.x</w:t>
      </w:r>
    </w:p>
    <w:p w:rsidR="00094BC1" w:rsidRPr="00094BC1" w:rsidRDefault="00094BC1" w:rsidP="00094BC1">
      <w:pPr>
        <w:rPr>
          <w:rFonts w:ascii="Times New Roman" w:eastAsia="Times New Roman" w:hAnsi="Times New Roman" w:cs="Times New Roman"/>
        </w:rPr>
      </w:pPr>
    </w:p>
    <w:p w:rsidR="00834A29" w:rsidRPr="00BF2B9D" w:rsidRDefault="00834A29" w:rsidP="00BF2B9D">
      <w:pPr>
        <w:jc w:val="both"/>
        <w:rPr>
          <w:rFonts w:asciiTheme="majorBidi" w:hAnsiTheme="majorBidi" w:cstheme="majorBidi"/>
        </w:rPr>
      </w:pPr>
    </w:p>
    <w:sectPr w:rsidR="00834A29" w:rsidRPr="00BF2B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72522"/>
    <w:multiLevelType w:val="multilevel"/>
    <w:tmpl w:val="8034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60795"/>
    <w:multiLevelType w:val="multilevel"/>
    <w:tmpl w:val="215E5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246E78"/>
    <w:multiLevelType w:val="multilevel"/>
    <w:tmpl w:val="687A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C2A60"/>
    <w:multiLevelType w:val="multilevel"/>
    <w:tmpl w:val="B630E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62B9B"/>
    <w:multiLevelType w:val="hybridMultilevel"/>
    <w:tmpl w:val="06E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30DB2"/>
    <w:multiLevelType w:val="multilevel"/>
    <w:tmpl w:val="29D2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103388"/>
    <w:multiLevelType w:val="multilevel"/>
    <w:tmpl w:val="6A6C0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340527"/>
    <w:multiLevelType w:val="multilevel"/>
    <w:tmpl w:val="C5EC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93B9F"/>
    <w:multiLevelType w:val="multilevel"/>
    <w:tmpl w:val="0D9ED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945DD4"/>
    <w:multiLevelType w:val="multilevel"/>
    <w:tmpl w:val="C8E4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27142F"/>
    <w:multiLevelType w:val="hybridMultilevel"/>
    <w:tmpl w:val="E60CE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951718">
    <w:abstractNumId w:val="9"/>
  </w:num>
  <w:num w:numId="2" w16cid:durableId="2144499088">
    <w:abstractNumId w:val="7"/>
  </w:num>
  <w:num w:numId="3" w16cid:durableId="1605458363">
    <w:abstractNumId w:val="8"/>
  </w:num>
  <w:num w:numId="4" w16cid:durableId="551189661">
    <w:abstractNumId w:val="5"/>
  </w:num>
  <w:num w:numId="5" w16cid:durableId="1599370921">
    <w:abstractNumId w:val="0"/>
  </w:num>
  <w:num w:numId="6" w16cid:durableId="489827246">
    <w:abstractNumId w:val="1"/>
  </w:num>
  <w:num w:numId="7" w16cid:durableId="362094572">
    <w:abstractNumId w:val="6"/>
  </w:num>
  <w:num w:numId="8" w16cid:durableId="1858882838">
    <w:abstractNumId w:val="3"/>
  </w:num>
  <w:num w:numId="9" w16cid:durableId="190803357">
    <w:abstractNumId w:val="10"/>
  </w:num>
  <w:num w:numId="10" w16cid:durableId="8606824">
    <w:abstractNumId w:val="2"/>
  </w:num>
  <w:num w:numId="11" w16cid:durableId="180514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9D"/>
    <w:rsid w:val="00094BC1"/>
    <w:rsid w:val="00370288"/>
    <w:rsid w:val="006830EB"/>
    <w:rsid w:val="00834A29"/>
    <w:rsid w:val="00BB2504"/>
    <w:rsid w:val="00BF2B9D"/>
    <w:rsid w:val="00D266E7"/>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F60DE-5061-9F40-960C-586A7F30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F2B9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2B9D"/>
    <w:rPr>
      <w:rFonts w:ascii="Times New Roman" w:eastAsia="Times New Roman" w:hAnsi="Times New Roman" w:cs="Times New Roman"/>
      <w:b/>
      <w:bCs/>
      <w:sz w:val="27"/>
      <w:szCs w:val="27"/>
    </w:rPr>
  </w:style>
  <w:style w:type="paragraph" w:customStyle="1" w:styleId="ds-markdown-paragraph">
    <w:name w:val="ds-markdown-paragraph"/>
    <w:basedOn w:val="Normal"/>
    <w:rsid w:val="00BF2B9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F2B9D"/>
    <w:rPr>
      <w:b/>
      <w:bCs/>
    </w:rPr>
  </w:style>
  <w:style w:type="character" w:styleId="Emphasis">
    <w:name w:val="Emphasis"/>
    <w:basedOn w:val="DefaultParagraphFont"/>
    <w:uiPriority w:val="20"/>
    <w:qFormat/>
    <w:rsid w:val="00BF2B9D"/>
    <w:rPr>
      <w:i/>
      <w:iCs/>
    </w:rPr>
  </w:style>
  <w:style w:type="table" w:styleId="TableGrid">
    <w:name w:val="Table Grid"/>
    <w:basedOn w:val="TableNormal"/>
    <w:uiPriority w:val="39"/>
    <w:rsid w:val="00BF2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94BC1"/>
    <w:rPr>
      <w:color w:val="0000FF"/>
      <w:u w:val="single"/>
    </w:rPr>
  </w:style>
  <w:style w:type="paragraph" w:styleId="ListParagraph">
    <w:name w:val="List Paragraph"/>
    <w:basedOn w:val="Normal"/>
    <w:uiPriority w:val="34"/>
    <w:qFormat/>
    <w:rsid w:val="00094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26919">
      <w:bodyDiv w:val="1"/>
      <w:marLeft w:val="0"/>
      <w:marRight w:val="0"/>
      <w:marTop w:val="0"/>
      <w:marBottom w:val="0"/>
      <w:divBdr>
        <w:top w:val="none" w:sz="0" w:space="0" w:color="auto"/>
        <w:left w:val="none" w:sz="0" w:space="0" w:color="auto"/>
        <w:bottom w:val="none" w:sz="0" w:space="0" w:color="auto"/>
        <w:right w:val="none" w:sz="0" w:space="0" w:color="auto"/>
      </w:divBdr>
      <w:divsChild>
        <w:div w:id="1363089560">
          <w:marLeft w:val="0"/>
          <w:marRight w:val="0"/>
          <w:marTop w:val="0"/>
          <w:marBottom w:val="0"/>
          <w:divBdr>
            <w:top w:val="none" w:sz="0" w:space="0" w:color="auto"/>
            <w:left w:val="none" w:sz="0" w:space="0" w:color="auto"/>
            <w:bottom w:val="none" w:sz="0" w:space="0" w:color="auto"/>
            <w:right w:val="none" w:sz="0" w:space="0" w:color="auto"/>
          </w:divBdr>
        </w:div>
        <w:div w:id="1105997863">
          <w:marLeft w:val="0"/>
          <w:marRight w:val="0"/>
          <w:marTop w:val="0"/>
          <w:marBottom w:val="0"/>
          <w:divBdr>
            <w:top w:val="none" w:sz="0" w:space="0" w:color="auto"/>
            <w:left w:val="none" w:sz="0" w:space="0" w:color="auto"/>
            <w:bottom w:val="none" w:sz="0" w:space="0" w:color="auto"/>
            <w:right w:val="none" w:sz="0" w:space="0" w:color="auto"/>
          </w:divBdr>
        </w:div>
        <w:div w:id="1235968145">
          <w:marLeft w:val="0"/>
          <w:marRight w:val="0"/>
          <w:marTop w:val="0"/>
          <w:marBottom w:val="0"/>
          <w:divBdr>
            <w:top w:val="none" w:sz="0" w:space="0" w:color="auto"/>
            <w:left w:val="none" w:sz="0" w:space="0" w:color="auto"/>
            <w:bottom w:val="none" w:sz="0" w:space="0" w:color="auto"/>
            <w:right w:val="none" w:sz="0" w:space="0" w:color="auto"/>
          </w:divBdr>
        </w:div>
      </w:divsChild>
    </w:div>
    <w:div w:id="1106461313">
      <w:bodyDiv w:val="1"/>
      <w:marLeft w:val="0"/>
      <w:marRight w:val="0"/>
      <w:marTop w:val="0"/>
      <w:marBottom w:val="0"/>
      <w:divBdr>
        <w:top w:val="none" w:sz="0" w:space="0" w:color="auto"/>
        <w:left w:val="none" w:sz="0" w:space="0" w:color="auto"/>
        <w:bottom w:val="none" w:sz="0" w:space="0" w:color="auto"/>
        <w:right w:val="none" w:sz="0" w:space="0" w:color="auto"/>
      </w:divBdr>
      <w:divsChild>
        <w:div w:id="1297175338">
          <w:marLeft w:val="0"/>
          <w:marRight w:val="0"/>
          <w:marTop w:val="0"/>
          <w:marBottom w:val="0"/>
          <w:divBdr>
            <w:top w:val="none" w:sz="0" w:space="0" w:color="auto"/>
            <w:left w:val="none" w:sz="0" w:space="0" w:color="auto"/>
            <w:bottom w:val="none" w:sz="0" w:space="0" w:color="auto"/>
            <w:right w:val="none" w:sz="0" w:space="0" w:color="auto"/>
          </w:divBdr>
        </w:div>
        <w:div w:id="1854566312">
          <w:marLeft w:val="0"/>
          <w:marRight w:val="0"/>
          <w:marTop w:val="0"/>
          <w:marBottom w:val="0"/>
          <w:divBdr>
            <w:top w:val="none" w:sz="0" w:space="0" w:color="auto"/>
            <w:left w:val="none" w:sz="0" w:space="0" w:color="auto"/>
            <w:bottom w:val="none" w:sz="0" w:space="0" w:color="auto"/>
            <w:right w:val="none" w:sz="0" w:space="0" w:color="auto"/>
          </w:divBdr>
        </w:div>
        <w:div w:id="1075129412">
          <w:marLeft w:val="0"/>
          <w:marRight w:val="0"/>
          <w:marTop w:val="0"/>
          <w:marBottom w:val="0"/>
          <w:divBdr>
            <w:top w:val="none" w:sz="0" w:space="0" w:color="auto"/>
            <w:left w:val="none" w:sz="0" w:space="0" w:color="auto"/>
            <w:bottom w:val="none" w:sz="0" w:space="0" w:color="auto"/>
            <w:right w:val="none" w:sz="0" w:space="0" w:color="auto"/>
          </w:divBdr>
        </w:div>
      </w:divsChild>
    </w:div>
    <w:div w:id="1754861951">
      <w:bodyDiv w:val="1"/>
      <w:marLeft w:val="0"/>
      <w:marRight w:val="0"/>
      <w:marTop w:val="0"/>
      <w:marBottom w:val="0"/>
      <w:divBdr>
        <w:top w:val="none" w:sz="0" w:space="0" w:color="auto"/>
        <w:left w:val="none" w:sz="0" w:space="0" w:color="auto"/>
        <w:bottom w:val="none" w:sz="0" w:space="0" w:color="auto"/>
        <w:right w:val="none" w:sz="0" w:space="0" w:color="auto"/>
      </w:divBdr>
    </w:div>
    <w:div w:id="1962879866">
      <w:bodyDiv w:val="1"/>
      <w:marLeft w:val="0"/>
      <w:marRight w:val="0"/>
      <w:marTop w:val="0"/>
      <w:marBottom w:val="0"/>
      <w:divBdr>
        <w:top w:val="none" w:sz="0" w:space="0" w:color="auto"/>
        <w:left w:val="none" w:sz="0" w:space="0" w:color="auto"/>
        <w:bottom w:val="none" w:sz="0" w:space="0" w:color="auto"/>
        <w:right w:val="none" w:sz="0" w:space="0" w:color="auto"/>
      </w:divBdr>
      <w:divsChild>
        <w:div w:id="1230115484">
          <w:marLeft w:val="0"/>
          <w:marRight w:val="0"/>
          <w:marTop w:val="0"/>
          <w:marBottom w:val="0"/>
          <w:divBdr>
            <w:top w:val="none" w:sz="0" w:space="0" w:color="auto"/>
            <w:left w:val="none" w:sz="0" w:space="0" w:color="auto"/>
            <w:bottom w:val="none" w:sz="0" w:space="0" w:color="auto"/>
            <w:right w:val="none" w:sz="0" w:space="0" w:color="auto"/>
          </w:divBdr>
          <w:divsChild>
            <w:div w:id="1519470022">
              <w:marLeft w:val="0"/>
              <w:marRight w:val="0"/>
              <w:marTop w:val="0"/>
              <w:marBottom w:val="0"/>
              <w:divBdr>
                <w:top w:val="none" w:sz="0" w:space="0" w:color="auto"/>
                <w:left w:val="none" w:sz="0" w:space="0" w:color="auto"/>
                <w:bottom w:val="none" w:sz="0" w:space="0" w:color="auto"/>
                <w:right w:val="none" w:sz="0" w:space="0" w:color="auto"/>
              </w:divBdr>
              <w:divsChild>
                <w:div w:id="936524630">
                  <w:marLeft w:val="0"/>
                  <w:marRight w:val="0"/>
                  <w:marTop w:val="0"/>
                  <w:marBottom w:val="0"/>
                  <w:divBdr>
                    <w:top w:val="none" w:sz="0" w:space="0" w:color="auto"/>
                    <w:left w:val="none" w:sz="0" w:space="0" w:color="auto"/>
                    <w:bottom w:val="none" w:sz="0" w:space="0" w:color="auto"/>
                    <w:right w:val="none" w:sz="0" w:space="0" w:color="auto"/>
                  </w:divBdr>
                  <w:divsChild>
                    <w:div w:id="755368364">
                      <w:marLeft w:val="0"/>
                      <w:marRight w:val="0"/>
                      <w:marTop w:val="0"/>
                      <w:marBottom w:val="0"/>
                      <w:divBdr>
                        <w:top w:val="none" w:sz="0" w:space="0" w:color="auto"/>
                        <w:left w:val="none" w:sz="0" w:space="0" w:color="auto"/>
                        <w:bottom w:val="none" w:sz="0" w:space="0" w:color="auto"/>
                        <w:right w:val="none" w:sz="0" w:space="0" w:color="auto"/>
                      </w:divBdr>
                      <w:divsChild>
                        <w:div w:id="11273417">
                          <w:marLeft w:val="0"/>
                          <w:marRight w:val="0"/>
                          <w:marTop w:val="0"/>
                          <w:marBottom w:val="0"/>
                          <w:divBdr>
                            <w:top w:val="none" w:sz="0" w:space="0" w:color="auto"/>
                            <w:left w:val="none" w:sz="0" w:space="0" w:color="auto"/>
                            <w:bottom w:val="none" w:sz="0" w:space="0" w:color="auto"/>
                            <w:right w:val="none" w:sz="0" w:space="0" w:color="auto"/>
                          </w:divBdr>
                          <w:divsChild>
                            <w:div w:id="1161234986">
                              <w:marLeft w:val="0"/>
                              <w:marRight w:val="0"/>
                              <w:marTop w:val="0"/>
                              <w:marBottom w:val="0"/>
                              <w:divBdr>
                                <w:top w:val="none" w:sz="0" w:space="0" w:color="auto"/>
                                <w:left w:val="none" w:sz="0" w:space="0" w:color="auto"/>
                                <w:bottom w:val="none" w:sz="0" w:space="0" w:color="auto"/>
                                <w:right w:val="none" w:sz="0" w:space="0" w:color="auto"/>
                              </w:divBdr>
                              <w:divsChild>
                                <w:div w:id="747533512">
                                  <w:marLeft w:val="0"/>
                                  <w:marRight w:val="0"/>
                                  <w:marTop w:val="0"/>
                                  <w:marBottom w:val="0"/>
                                  <w:divBdr>
                                    <w:top w:val="none" w:sz="0" w:space="0" w:color="auto"/>
                                    <w:left w:val="none" w:sz="0" w:space="0" w:color="auto"/>
                                    <w:bottom w:val="none" w:sz="0" w:space="0" w:color="auto"/>
                                    <w:right w:val="none" w:sz="0" w:space="0" w:color="auto"/>
                                  </w:divBdr>
                                  <w:divsChild>
                                    <w:div w:id="1437477575">
                                      <w:marLeft w:val="660"/>
                                      <w:marRight w:val="660"/>
                                      <w:marTop w:val="0"/>
                                      <w:marBottom w:val="0"/>
                                      <w:divBdr>
                                        <w:top w:val="none" w:sz="0" w:space="0" w:color="auto"/>
                                        <w:left w:val="none" w:sz="0" w:space="0" w:color="auto"/>
                                        <w:bottom w:val="none" w:sz="0" w:space="0" w:color="auto"/>
                                        <w:right w:val="none" w:sz="0" w:space="0" w:color="auto"/>
                                      </w:divBdr>
                                      <w:divsChild>
                                        <w:div w:id="1593512853">
                                          <w:marLeft w:val="0"/>
                                          <w:marRight w:val="0"/>
                                          <w:marTop w:val="0"/>
                                          <w:marBottom w:val="0"/>
                                          <w:divBdr>
                                            <w:top w:val="none" w:sz="0" w:space="0" w:color="auto"/>
                                            <w:left w:val="none" w:sz="0" w:space="0" w:color="auto"/>
                                            <w:bottom w:val="none" w:sz="0" w:space="0" w:color="auto"/>
                                            <w:right w:val="none" w:sz="0" w:space="0" w:color="auto"/>
                                          </w:divBdr>
                                          <w:divsChild>
                                            <w:div w:id="210920688">
                                              <w:marLeft w:val="0"/>
                                              <w:marRight w:val="0"/>
                                              <w:marTop w:val="0"/>
                                              <w:marBottom w:val="0"/>
                                              <w:divBdr>
                                                <w:top w:val="none" w:sz="0" w:space="0" w:color="auto"/>
                                                <w:left w:val="none" w:sz="0" w:space="0" w:color="auto"/>
                                                <w:bottom w:val="none" w:sz="0" w:space="0" w:color="auto"/>
                                                <w:right w:val="none" w:sz="0" w:space="0" w:color="auto"/>
                                              </w:divBdr>
                                              <w:divsChild>
                                                <w:div w:id="425810787">
                                                  <w:marLeft w:val="0"/>
                                                  <w:marRight w:val="0"/>
                                                  <w:marTop w:val="0"/>
                                                  <w:marBottom w:val="0"/>
                                                  <w:divBdr>
                                                    <w:top w:val="none" w:sz="0" w:space="0" w:color="auto"/>
                                                    <w:left w:val="none" w:sz="0" w:space="0" w:color="auto"/>
                                                    <w:bottom w:val="none" w:sz="0" w:space="0" w:color="auto"/>
                                                    <w:right w:val="none" w:sz="0" w:space="0" w:color="auto"/>
                                                  </w:divBdr>
                                                  <w:divsChild>
                                                    <w:div w:id="12322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govmu.org/" TargetMode="External"/><Relationship Id="rId5" Type="http://schemas.openxmlformats.org/officeDocument/2006/relationships/hyperlink" Target="https://health.govm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3963</Words>
  <Characters>22592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2026-04-01T06:11:00Z</dcterms:created>
  <dcterms:modified xsi:type="dcterms:W3CDTF">2026-04-01T06:11:00Z</dcterms:modified>
</cp:coreProperties>
</file>