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346" w:rsidRPr="004030F6" w:rsidRDefault="00201346" w:rsidP="004030F6">
      <w:pPr>
        <w:spacing w:after="0" w:line="360" w:lineRule="auto"/>
        <w:outlineLvl w:val="0"/>
        <w:rPr>
          <w:rFonts w:asciiTheme="majorHAnsi" w:eastAsia="Times New Roman" w:hAnsiTheme="majorHAnsi" w:cs="Times New Roman"/>
          <w:b/>
          <w:bCs/>
          <w:i/>
          <w:kern w:val="36"/>
          <w:sz w:val="24"/>
          <w:szCs w:val="24"/>
          <w:lang w:eastAsia="en-IN"/>
        </w:rPr>
      </w:pPr>
      <w:r w:rsidRPr="004030F6">
        <w:rPr>
          <w:rFonts w:asciiTheme="majorHAnsi" w:eastAsia="Times New Roman" w:hAnsiTheme="majorHAnsi" w:cs="Times New Roman"/>
          <w:b/>
          <w:bCs/>
          <w:i/>
          <w:kern w:val="36"/>
          <w:sz w:val="24"/>
          <w:szCs w:val="24"/>
          <w:highlight w:val="lightGray"/>
          <w:lang w:eastAsia="en-IN"/>
        </w:rPr>
        <w:t>Original article</w:t>
      </w:r>
      <w:r w:rsidRPr="004030F6">
        <w:rPr>
          <w:rFonts w:asciiTheme="majorHAnsi" w:eastAsia="Times New Roman" w:hAnsiTheme="majorHAnsi" w:cs="Times New Roman"/>
          <w:b/>
          <w:bCs/>
          <w:i/>
          <w:kern w:val="36"/>
          <w:sz w:val="24"/>
          <w:szCs w:val="24"/>
          <w:lang w:eastAsia="en-IN"/>
        </w:rPr>
        <w:t xml:space="preserve"> </w:t>
      </w:r>
    </w:p>
    <w:p w:rsidR="00201346" w:rsidRPr="004030F6" w:rsidRDefault="00201346" w:rsidP="004030F6">
      <w:pPr>
        <w:spacing w:after="0" w:line="360" w:lineRule="auto"/>
        <w:outlineLvl w:val="0"/>
        <w:rPr>
          <w:rFonts w:asciiTheme="majorHAnsi" w:eastAsia="Times New Roman" w:hAnsiTheme="majorHAnsi" w:cs="Times New Roman"/>
          <w:b/>
          <w:bCs/>
          <w:i/>
          <w:color w:val="0070C0"/>
          <w:kern w:val="36"/>
          <w:sz w:val="28"/>
          <w:szCs w:val="28"/>
          <w:lang w:eastAsia="en-IN"/>
        </w:rPr>
      </w:pPr>
      <w:r w:rsidRPr="004030F6">
        <w:rPr>
          <w:rFonts w:asciiTheme="majorHAnsi" w:eastAsia="Times New Roman" w:hAnsiTheme="majorHAnsi" w:cs="Times New Roman"/>
          <w:b/>
          <w:bCs/>
          <w:i/>
          <w:color w:val="0070C0"/>
          <w:kern w:val="36"/>
          <w:sz w:val="28"/>
          <w:szCs w:val="28"/>
          <w:lang w:eastAsia="en-IN"/>
        </w:rPr>
        <w:t>Predictors of Prolonged Hospital Stay in Children Admitted with Community-Acquired Pneumonia: A Prospective Observational Study</w:t>
      </w:r>
    </w:p>
    <w:p w:rsidR="00201346" w:rsidRPr="004030F6" w:rsidRDefault="00201346" w:rsidP="004030F6">
      <w:pPr>
        <w:spacing w:after="0" w:line="360" w:lineRule="auto"/>
        <w:outlineLvl w:val="1"/>
        <w:rPr>
          <w:rFonts w:asciiTheme="majorHAnsi" w:eastAsia="Times New Roman" w:hAnsiTheme="majorHAnsi" w:cs="Times New Roman"/>
          <w:b/>
          <w:bCs/>
          <w:i/>
          <w:sz w:val="20"/>
          <w:szCs w:val="20"/>
          <w:lang w:eastAsia="en-IN"/>
        </w:rPr>
      </w:pPr>
      <w:r w:rsidRPr="004030F6">
        <w:rPr>
          <w:rFonts w:asciiTheme="majorHAnsi" w:eastAsia="Times New Roman" w:hAnsiTheme="majorHAnsi" w:cs="Times New Roman"/>
          <w:b/>
          <w:bCs/>
          <w:i/>
          <w:sz w:val="20"/>
          <w:szCs w:val="20"/>
          <w:lang w:eastAsia="en-IN"/>
        </w:rPr>
        <w:t>Dr. Raghuraj J. Rathod</w:t>
      </w:r>
      <w:r w:rsidR="004030F6" w:rsidRPr="004030F6">
        <w:rPr>
          <w:rFonts w:asciiTheme="majorHAnsi" w:eastAsia="Times New Roman" w:hAnsiTheme="majorHAnsi" w:cs="Times New Roman"/>
          <w:b/>
          <w:bCs/>
          <w:i/>
          <w:sz w:val="20"/>
          <w:szCs w:val="20"/>
          <w:lang w:eastAsia="en-IN"/>
        </w:rPr>
        <w:t>*</w:t>
      </w:r>
    </w:p>
    <w:p w:rsidR="004030F6" w:rsidRPr="004030F6" w:rsidRDefault="004030F6" w:rsidP="004030F6">
      <w:pPr>
        <w:spacing w:after="0" w:line="360" w:lineRule="auto"/>
        <w:outlineLvl w:val="1"/>
        <w:rPr>
          <w:rFonts w:asciiTheme="majorHAnsi" w:eastAsia="Times New Roman" w:hAnsiTheme="majorHAnsi" w:cs="Times New Roman"/>
          <w:b/>
          <w:bCs/>
          <w:i/>
          <w:sz w:val="20"/>
          <w:szCs w:val="20"/>
          <w:lang w:eastAsia="en-IN"/>
        </w:rPr>
      </w:pPr>
    </w:p>
    <w:p w:rsidR="00201346" w:rsidRPr="004030F6" w:rsidRDefault="00201346" w:rsidP="004030F6">
      <w:pPr>
        <w:spacing w:after="0" w:line="360" w:lineRule="auto"/>
        <w:outlineLvl w:val="1"/>
        <w:rPr>
          <w:rFonts w:asciiTheme="majorHAnsi" w:eastAsia="Times New Roman" w:hAnsiTheme="majorHAnsi" w:cs="Times New Roman"/>
          <w:bCs/>
          <w:i/>
          <w:sz w:val="18"/>
          <w:szCs w:val="18"/>
          <w:lang w:eastAsia="en-IN"/>
        </w:rPr>
      </w:pPr>
      <w:r w:rsidRPr="004030F6">
        <w:rPr>
          <w:rFonts w:asciiTheme="majorHAnsi" w:eastAsia="Times New Roman" w:hAnsiTheme="majorHAnsi" w:cs="Times New Roman"/>
          <w:bCs/>
          <w:i/>
          <w:sz w:val="18"/>
          <w:szCs w:val="18"/>
          <w:lang w:eastAsia="en-IN"/>
        </w:rPr>
        <w:t>Assistant Professor</w:t>
      </w:r>
      <w:r w:rsidR="004030F6" w:rsidRPr="004030F6">
        <w:rPr>
          <w:rFonts w:asciiTheme="majorHAnsi" w:eastAsia="Times New Roman" w:hAnsiTheme="majorHAnsi" w:cs="Times New Roman"/>
          <w:bCs/>
          <w:i/>
          <w:sz w:val="18"/>
          <w:szCs w:val="18"/>
          <w:lang w:eastAsia="en-IN"/>
        </w:rPr>
        <w:t xml:space="preserve">, Department of Paediatrics, </w:t>
      </w:r>
      <w:r w:rsidRPr="004030F6">
        <w:rPr>
          <w:rFonts w:asciiTheme="majorHAnsi" w:eastAsia="Times New Roman" w:hAnsiTheme="majorHAnsi" w:cs="Times New Roman"/>
          <w:bCs/>
          <w:i/>
          <w:sz w:val="18"/>
          <w:szCs w:val="18"/>
          <w:lang w:eastAsia="en-IN"/>
        </w:rPr>
        <w:t>Index Medical College, Hospital &amp; Research Centre, Indore,</w:t>
      </w:r>
      <w:r w:rsidR="004030F6" w:rsidRPr="004030F6">
        <w:rPr>
          <w:rFonts w:asciiTheme="majorHAnsi" w:eastAsia="Times New Roman" w:hAnsiTheme="majorHAnsi" w:cs="Times New Roman"/>
          <w:bCs/>
          <w:i/>
          <w:sz w:val="18"/>
          <w:szCs w:val="18"/>
          <w:lang w:eastAsia="en-IN"/>
        </w:rPr>
        <w:t xml:space="preserve"> </w:t>
      </w:r>
      <w:r w:rsidRPr="004030F6">
        <w:rPr>
          <w:rFonts w:asciiTheme="majorHAnsi" w:eastAsia="Times New Roman" w:hAnsiTheme="majorHAnsi" w:cs="Times New Roman"/>
          <w:bCs/>
          <w:i/>
          <w:sz w:val="18"/>
          <w:szCs w:val="18"/>
          <w:lang w:eastAsia="en-IN"/>
        </w:rPr>
        <w:t>MP, India</w:t>
      </w:r>
    </w:p>
    <w:p w:rsidR="004030F6" w:rsidRDefault="004030F6" w:rsidP="004030F6">
      <w:pPr>
        <w:spacing w:after="0" w:line="360" w:lineRule="auto"/>
        <w:outlineLvl w:val="1"/>
        <w:rPr>
          <w:rFonts w:asciiTheme="majorHAnsi" w:eastAsia="Times New Roman" w:hAnsiTheme="majorHAnsi" w:cs="Times New Roman"/>
          <w:bCs/>
          <w:i/>
          <w:sz w:val="18"/>
          <w:szCs w:val="18"/>
          <w:lang w:eastAsia="en-IN"/>
        </w:rPr>
      </w:pPr>
      <w:r w:rsidRPr="004030F6">
        <w:rPr>
          <w:rFonts w:asciiTheme="majorHAnsi" w:eastAsia="Times New Roman" w:hAnsiTheme="majorHAnsi" w:cs="Times New Roman"/>
          <w:bCs/>
          <w:i/>
          <w:sz w:val="18"/>
          <w:szCs w:val="18"/>
          <w:lang w:eastAsia="en-IN"/>
        </w:rPr>
        <w:t>Corresponding author*</w:t>
      </w:r>
    </w:p>
    <w:p w:rsidR="003C43ED" w:rsidRPr="004030F6" w:rsidRDefault="003C43ED" w:rsidP="004030F6">
      <w:pPr>
        <w:spacing w:after="0" w:line="360" w:lineRule="auto"/>
        <w:outlineLvl w:val="1"/>
        <w:rPr>
          <w:rFonts w:asciiTheme="majorHAnsi" w:eastAsia="Times New Roman" w:hAnsiTheme="majorHAnsi" w:cs="Times New Roman"/>
          <w:bCs/>
          <w:i/>
          <w:sz w:val="18"/>
          <w:szCs w:val="18"/>
          <w:lang w:eastAsia="en-IN"/>
        </w:rPr>
      </w:pPr>
      <w:r>
        <w:rPr>
          <w:rFonts w:asciiTheme="majorHAnsi" w:eastAsia="Times New Roman" w:hAnsiTheme="majorHAnsi" w:cs="Times New Roman"/>
          <w:bCs/>
          <w:i/>
          <w:sz w:val="18"/>
          <w:szCs w:val="18"/>
          <w:lang w:eastAsia="en-IN"/>
        </w:rPr>
        <w:t xml:space="preserve">Date of final acceptance – 04 September 2018, Date of publication- 18 December 2018 </w:t>
      </w:r>
    </w:p>
    <w:p w:rsidR="00201346" w:rsidRPr="004030F6" w:rsidRDefault="00201346" w:rsidP="004030F6">
      <w:pPr>
        <w:spacing w:after="0" w:line="360" w:lineRule="auto"/>
        <w:jc w:val="both"/>
        <w:outlineLvl w:val="1"/>
        <w:rPr>
          <w:rFonts w:asciiTheme="majorHAnsi" w:eastAsia="Times New Roman" w:hAnsiTheme="majorHAnsi" w:cs="Times New Roman"/>
          <w:b/>
          <w:bCs/>
          <w:sz w:val="20"/>
          <w:szCs w:val="20"/>
          <w:lang w:eastAsia="en-IN"/>
        </w:rPr>
      </w:pPr>
    </w:p>
    <w:p w:rsidR="00201346" w:rsidRPr="004030F6" w:rsidRDefault="00201346" w:rsidP="004030F6">
      <w:pPr>
        <w:spacing w:after="0" w:line="360" w:lineRule="auto"/>
        <w:jc w:val="both"/>
        <w:outlineLvl w:val="1"/>
        <w:rPr>
          <w:rFonts w:asciiTheme="majorHAnsi" w:eastAsia="Times New Roman" w:hAnsiTheme="majorHAnsi" w:cs="Times New Roman"/>
          <w:b/>
          <w:bCs/>
          <w:sz w:val="18"/>
          <w:szCs w:val="18"/>
          <w:lang w:eastAsia="en-IN"/>
        </w:rPr>
      </w:pPr>
      <w:r w:rsidRPr="004030F6">
        <w:rPr>
          <w:rFonts w:asciiTheme="majorHAnsi" w:eastAsia="Times New Roman" w:hAnsiTheme="majorHAnsi" w:cs="Times New Roman"/>
          <w:b/>
          <w:bCs/>
          <w:sz w:val="18"/>
          <w:szCs w:val="18"/>
          <w:lang w:eastAsia="en-IN"/>
        </w:rPr>
        <w:t>Abstract</w:t>
      </w:r>
      <w:bookmarkStart w:id="0" w:name="_GoBack"/>
      <w:bookmarkEnd w:id="0"/>
    </w:p>
    <w:p w:rsidR="00201346" w:rsidRPr="004030F6" w:rsidRDefault="00201346" w:rsidP="004030F6">
      <w:pPr>
        <w:spacing w:after="0" w:line="360" w:lineRule="auto"/>
        <w:jc w:val="both"/>
        <w:rPr>
          <w:rFonts w:asciiTheme="majorHAnsi" w:eastAsia="Times New Roman" w:hAnsiTheme="majorHAnsi" w:cs="Times New Roman"/>
          <w:sz w:val="18"/>
          <w:szCs w:val="18"/>
          <w:lang w:eastAsia="en-IN"/>
        </w:rPr>
      </w:pPr>
      <w:r w:rsidRPr="004030F6">
        <w:rPr>
          <w:rFonts w:asciiTheme="majorHAnsi" w:eastAsia="Times New Roman" w:hAnsiTheme="majorHAnsi" w:cs="Times New Roman"/>
          <w:b/>
          <w:bCs/>
          <w:sz w:val="18"/>
          <w:szCs w:val="18"/>
          <w:lang w:eastAsia="en-IN"/>
        </w:rPr>
        <w:t>Background:</w:t>
      </w:r>
      <w:r w:rsidRPr="004030F6">
        <w:rPr>
          <w:rFonts w:asciiTheme="majorHAnsi" w:eastAsia="Times New Roman" w:hAnsiTheme="majorHAnsi" w:cs="Times New Roman"/>
          <w:sz w:val="18"/>
          <w:szCs w:val="18"/>
          <w:lang w:eastAsia="en-IN"/>
        </w:rPr>
        <w:t xml:space="preserve"> Community-acquired pneumonia (CAP) remains an important cause of hospitalization among children, particularly in low- and middle-income countries. Although most hospitalized children improve within a few days, a subgroup requires prolonged hospitalization, resulting in increased healthcare utilization, treatment costs, and risk of hospital-associated complications. Identification of clinical predictors of prolonged hospital stay may facilitate early risk stratification.</w:t>
      </w:r>
    </w:p>
    <w:p w:rsidR="00201346" w:rsidRPr="004030F6" w:rsidRDefault="00201346" w:rsidP="004030F6">
      <w:pPr>
        <w:spacing w:after="0" w:line="360" w:lineRule="auto"/>
        <w:jc w:val="both"/>
        <w:rPr>
          <w:rFonts w:asciiTheme="majorHAnsi" w:eastAsia="Times New Roman" w:hAnsiTheme="majorHAnsi" w:cs="Times New Roman"/>
          <w:sz w:val="18"/>
          <w:szCs w:val="18"/>
          <w:lang w:eastAsia="en-IN"/>
        </w:rPr>
      </w:pPr>
      <w:r w:rsidRPr="004030F6">
        <w:rPr>
          <w:rFonts w:asciiTheme="majorHAnsi" w:eastAsia="Times New Roman" w:hAnsiTheme="majorHAnsi" w:cs="Times New Roman"/>
          <w:b/>
          <w:bCs/>
          <w:sz w:val="18"/>
          <w:szCs w:val="18"/>
          <w:lang w:eastAsia="en-IN"/>
        </w:rPr>
        <w:t>Objectives:</w:t>
      </w:r>
      <w:r w:rsidRPr="004030F6">
        <w:rPr>
          <w:rFonts w:asciiTheme="majorHAnsi" w:eastAsia="Times New Roman" w:hAnsiTheme="majorHAnsi" w:cs="Times New Roman"/>
          <w:sz w:val="18"/>
          <w:szCs w:val="18"/>
          <w:lang w:eastAsia="en-IN"/>
        </w:rPr>
        <w:t xml:space="preserve"> To determine the clinical, laboratory, and radiological factors associated with prolonged hospital stay among children admitted with CAP.</w:t>
      </w:r>
    </w:p>
    <w:p w:rsidR="00201346" w:rsidRPr="004030F6" w:rsidRDefault="00201346" w:rsidP="004030F6">
      <w:pPr>
        <w:spacing w:after="0" w:line="360" w:lineRule="auto"/>
        <w:jc w:val="both"/>
        <w:rPr>
          <w:rFonts w:asciiTheme="majorHAnsi" w:eastAsia="Times New Roman" w:hAnsiTheme="majorHAnsi" w:cs="Times New Roman"/>
          <w:sz w:val="18"/>
          <w:szCs w:val="18"/>
          <w:lang w:eastAsia="en-IN"/>
        </w:rPr>
      </w:pPr>
      <w:r w:rsidRPr="004030F6">
        <w:rPr>
          <w:rFonts w:asciiTheme="majorHAnsi" w:eastAsia="Times New Roman" w:hAnsiTheme="majorHAnsi" w:cs="Times New Roman"/>
          <w:b/>
          <w:bCs/>
          <w:sz w:val="18"/>
          <w:szCs w:val="18"/>
          <w:lang w:eastAsia="en-IN"/>
        </w:rPr>
        <w:t>Materials and Methods:</w:t>
      </w:r>
      <w:r w:rsidRPr="004030F6">
        <w:rPr>
          <w:rFonts w:asciiTheme="majorHAnsi" w:eastAsia="Times New Roman" w:hAnsiTheme="majorHAnsi" w:cs="Times New Roman"/>
          <w:sz w:val="18"/>
          <w:szCs w:val="18"/>
          <w:lang w:eastAsia="en-IN"/>
        </w:rPr>
        <w:t xml:space="preserve"> This prospective observational study included 40 children aged 2 months to 12 years admitted with CAP over a period of six months. Demographic characteristics, nutritional status, presenting symptoms, oxygen saturation, severity indicators, laboratory parameters, radiological findings, treatment requirements, complications, and duration of hospitalization were recorded. Prolonged hospital stay was defined as hospitalization for &gt;7 days. Children were categorized into normal-stay (≤7 days) and prolonged-stay (&gt;7 days) groups. Predictors were assessed using appropriate statistical tests and logistic regression.</w:t>
      </w:r>
    </w:p>
    <w:p w:rsidR="00201346" w:rsidRPr="004030F6" w:rsidRDefault="00201346" w:rsidP="004030F6">
      <w:pPr>
        <w:spacing w:after="0" w:line="360" w:lineRule="auto"/>
        <w:jc w:val="both"/>
        <w:rPr>
          <w:rFonts w:asciiTheme="majorHAnsi" w:eastAsia="Times New Roman" w:hAnsiTheme="majorHAnsi" w:cs="Times New Roman"/>
          <w:sz w:val="18"/>
          <w:szCs w:val="18"/>
          <w:lang w:eastAsia="en-IN"/>
        </w:rPr>
      </w:pPr>
      <w:r w:rsidRPr="004030F6">
        <w:rPr>
          <w:rFonts w:asciiTheme="majorHAnsi" w:eastAsia="Times New Roman" w:hAnsiTheme="majorHAnsi" w:cs="Times New Roman"/>
          <w:b/>
          <w:bCs/>
          <w:sz w:val="18"/>
          <w:szCs w:val="18"/>
          <w:lang w:eastAsia="en-IN"/>
        </w:rPr>
        <w:t>Results:</w:t>
      </w:r>
      <w:r w:rsidRPr="004030F6">
        <w:rPr>
          <w:rFonts w:asciiTheme="majorHAnsi" w:eastAsia="Times New Roman" w:hAnsiTheme="majorHAnsi" w:cs="Times New Roman"/>
          <w:sz w:val="18"/>
          <w:szCs w:val="18"/>
          <w:lang w:eastAsia="en-IN"/>
        </w:rPr>
        <w:t xml:space="preserve"> Of 40 children, 13 (32.5%) had prolonged hospitalization. Hypoxemia at admission, severe pneumonia, malnutrition, elevated C-reactive protein (CRP), pleural effusion/complicated pneumonia, and requirement for respiratory support were significantly more frequent among children with prolonged stay. On multivariable analysis, admission hypoxemia, severe pneumonia, and pneumonia-related complications emerged as the strongest predictors of prolonged hospitalization.</w:t>
      </w:r>
    </w:p>
    <w:p w:rsidR="00201346" w:rsidRPr="004030F6" w:rsidRDefault="00201346" w:rsidP="004030F6">
      <w:pPr>
        <w:spacing w:after="0" w:line="360" w:lineRule="auto"/>
        <w:jc w:val="both"/>
        <w:rPr>
          <w:rFonts w:asciiTheme="majorHAnsi" w:eastAsia="Times New Roman" w:hAnsiTheme="majorHAnsi" w:cs="Times New Roman"/>
          <w:sz w:val="18"/>
          <w:szCs w:val="18"/>
          <w:lang w:eastAsia="en-IN"/>
        </w:rPr>
      </w:pPr>
      <w:r w:rsidRPr="004030F6">
        <w:rPr>
          <w:rFonts w:asciiTheme="majorHAnsi" w:eastAsia="Times New Roman" w:hAnsiTheme="majorHAnsi" w:cs="Times New Roman"/>
          <w:b/>
          <w:bCs/>
          <w:sz w:val="18"/>
          <w:szCs w:val="18"/>
          <w:lang w:eastAsia="en-IN"/>
        </w:rPr>
        <w:t>Conclusion:</w:t>
      </w:r>
      <w:r w:rsidRPr="004030F6">
        <w:rPr>
          <w:rFonts w:asciiTheme="majorHAnsi" w:eastAsia="Times New Roman" w:hAnsiTheme="majorHAnsi" w:cs="Times New Roman"/>
          <w:sz w:val="18"/>
          <w:szCs w:val="18"/>
          <w:lang w:eastAsia="en-IN"/>
        </w:rPr>
        <w:t xml:space="preserve"> Hypoxemia, greater disease severity, malnutrition, elevated inflammatory markers, and pulmonary complications are important indicators of prolonged hospitalization in pediatric CAP. Early recognition of these factors may facilitate appropriate monitoring and resource allocation.</w:t>
      </w:r>
    </w:p>
    <w:p w:rsidR="00201346" w:rsidRPr="004030F6" w:rsidRDefault="00201346" w:rsidP="004030F6">
      <w:pPr>
        <w:spacing w:after="0" w:line="360" w:lineRule="auto"/>
        <w:jc w:val="both"/>
        <w:rPr>
          <w:rFonts w:asciiTheme="majorHAnsi" w:eastAsia="Times New Roman" w:hAnsiTheme="majorHAnsi" w:cs="Times New Roman"/>
          <w:sz w:val="18"/>
          <w:szCs w:val="18"/>
          <w:lang w:eastAsia="en-IN"/>
        </w:rPr>
      </w:pPr>
      <w:r w:rsidRPr="004030F6">
        <w:rPr>
          <w:rFonts w:asciiTheme="majorHAnsi" w:eastAsia="Times New Roman" w:hAnsiTheme="majorHAnsi" w:cs="Times New Roman"/>
          <w:b/>
          <w:bCs/>
          <w:sz w:val="18"/>
          <w:szCs w:val="18"/>
          <w:lang w:eastAsia="en-IN"/>
        </w:rPr>
        <w:t>Keywords:</w:t>
      </w:r>
      <w:r w:rsidRPr="004030F6">
        <w:rPr>
          <w:rFonts w:asciiTheme="majorHAnsi" w:eastAsia="Times New Roman" w:hAnsiTheme="majorHAnsi" w:cs="Times New Roman"/>
          <w:sz w:val="18"/>
          <w:szCs w:val="18"/>
          <w:lang w:eastAsia="en-IN"/>
        </w:rPr>
        <w:t xml:space="preserve"> Community-acquired pneumonia, children, hospital stay, hypoxemia, malnutrition, pneumonia severity, predictors.</w:t>
      </w:r>
    </w:p>
    <w:p w:rsidR="00201346" w:rsidRPr="004030F6" w:rsidRDefault="00201346" w:rsidP="004030F6">
      <w:pPr>
        <w:spacing w:after="0" w:line="360" w:lineRule="auto"/>
        <w:jc w:val="both"/>
        <w:rPr>
          <w:rFonts w:ascii="Times New Roman" w:eastAsia="Times New Roman" w:hAnsi="Times New Roman" w:cs="Times New Roman"/>
          <w:sz w:val="20"/>
          <w:szCs w:val="20"/>
          <w:lang w:eastAsia="en-IN"/>
        </w:rPr>
      </w:pPr>
    </w:p>
    <w:p w:rsidR="00201346" w:rsidRPr="004030F6" w:rsidRDefault="00201346" w:rsidP="004030F6">
      <w:pPr>
        <w:spacing w:after="0" w:line="360" w:lineRule="auto"/>
        <w:jc w:val="both"/>
        <w:outlineLvl w:val="0"/>
        <w:rPr>
          <w:rFonts w:ascii="Times New Roman" w:eastAsia="Times New Roman" w:hAnsi="Times New Roman" w:cs="Times New Roman"/>
          <w:b/>
          <w:bCs/>
          <w:kern w:val="36"/>
          <w:sz w:val="20"/>
          <w:szCs w:val="20"/>
          <w:lang w:eastAsia="en-IN"/>
        </w:rPr>
      </w:pPr>
      <w:r w:rsidRPr="004030F6">
        <w:rPr>
          <w:rFonts w:ascii="Times New Roman" w:eastAsia="Times New Roman" w:hAnsi="Times New Roman" w:cs="Times New Roman"/>
          <w:b/>
          <w:bCs/>
          <w:kern w:val="36"/>
          <w:sz w:val="20"/>
          <w:szCs w:val="20"/>
          <w:lang w:eastAsia="en-IN"/>
        </w:rPr>
        <w:t>Introduction</w:t>
      </w:r>
    </w:p>
    <w:p w:rsidR="00201346" w:rsidRPr="004030F6" w:rsidRDefault="00201346" w:rsidP="004030F6">
      <w:pPr>
        <w:spacing w:after="0"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Community-acquired pneumonia (CAP) is one of the most important infectious diseases affecting children and remains a major contributor to childhood morbidity, hospitalization, and mortality worldwide. Despite improvements in vaccination, antimicrobial therapy, nutrition, and supportive care, pneumonia continues to impose a substantial burden, particularly in low- and middle-income countries [1,2]. Children requiring hospitalization demonstrate considerable variation in clinical severity and duration of hospital stay.</w:t>
      </w:r>
    </w:p>
    <w:p w:rsidR="00201346" w:rsidRPr="004030F6" w:rsidRDefault="00201346" w:rsidP="004030F6">
      <w:pPr>
        <w:spacing w:after="0"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 xml:space="preserve">The length of hospitalization is influenced by host characteristics, disease severity, underlying comorbidities, complications, and response to treatment. Hypoxemia is particularly important because it indicates impaired </w:t>
      </w:r>
      <w:r w:rsidRPr="004030F6">
        <w:rPr>
          <w:rFonts w:ascii="Times New Roman" w:eastAsia="Times New Roman" w:hAnsi="Times New Roman" w:cs="Times New Roman"/>
          <w:sz w:val="20"/>
          <w:szCs w:val="20"/>
          <w:lang w:eastAsia="en-IN"/>
        </w:rPr>
        <w:lastRenderedPageBreak/>
        <w:t>pulmonary gas exchange and is associated with adverse outcomes [2,3]. Other reported risk factors for severe or prolonged disease include younger age, malnutrition, anemia, delayed presentation, elevated inflammatory markers, underlying illness, pleural effusion, and requirement for respiratory support [4-7].</w:t>
      </w:r>
    </w:p>
    <w:p w:rsidR="00201346" w:rsidRPr="004030F6" w:rsidRDefault="00201346" w:rsidP="004030F6">
      <w:pPr>
        <w:spacing w:after="0"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Prolonged hospitalization increases healthcare expenditure, occupies limited pediatric beds, increases caregiver burden, and may expose children to healthcare-associated complications. Identification of predictors available at or shortly after admission could therefore help clinicians recognize high-risk children and optimize management. The present study was undertaken to evaluate predictors of prolonged hospital stay among children admitted with CAP at a tertiary care hospital.</w:t>
      </w:r>
    </w:p>
    <w:p w:rsidR="00201346" w:rsidRPr="004030F6" w:rsidRDefault="00201346" w:rsidP="004030F6">
      <w:pPr>
        <w:spacing w:after="0" w:line="360" w:lineRule="auto"/>
        <w:jc w:val="both"/>
        <w:outlineLvl w:val="0"/>
        <w:rPr>
          <w:rFonts w:ascii="Times New Roman" w:eastAsia="Times New Roman" w:hAnsi="Times New Roman" w:cs="Times New Roman"/>
          <w:b/>
          <w:bCs/>
          <w:kern w:val="36"/>
          <w:sz w:val="20"/>
          <w:szCs w:val="20"/>
          <w:lang w:eastAsia="en-IN"/>
        </w:rPr>
      </w:pPr>
      <w:r w:rsidRPr="004030F6">
        <w:rPr>
          <w:rFonts w:ascii="Times New Roman" w:eastAsia="Times New Roman" w:hAnsi="Times New Roman" w:cs="Times New Roman"/>
          <w:b/>
          <w:bCs/>
          <w:kern w:val="36"/>
          <w:sz w:val="20"/>
          <w:szCs w:val="20"/>
          <w:lang w:eastAsia="en-IN"/>
        </w:rPr>
        <w:t>Materials and Methods</w:t>
      </w:r>
    </w:p>
    <w:p w:rsidR="00201346" w:rsidRPr="004030F6" w:rsidRDefault="00201346" w:rsidP="004030F6">
      <w:pPr>
        <w:spacing w:after="0"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 xml:space="preserve">A </w:t>
      </w:r>
      <w:r w:rsidRPr="004030F6">
        <w:rPr>
          <w:rFonts w:ascii="Times New Roman" w:eastAsia="Times New Roman" w:hAnsi="Times New Roman" w:cs="Times New Roman"/>
          <w:b/>
          <w:bCs/>
          <w:sz w:val="20"/>
          <w:szCs w:val="20"/>
          <w:lang w:eastAsia="en-IN"/>
        </w:rPr>
        <w:t>prospective observational study</w:t>
      </w:r>
      <w:r w:rsidRPr="004030F6">
        <w:rPr>
          <w:rFonts w:ascii="Times New Roman" w:eastAsia="Times New Roman" w:hAnsi="Times New Roman" w:cs="Times New Roman"/>
          <w:sz w:val="20"/>
          <w:szCs w:val="20"/>
          <w:lang w:eastAsia="en-IN"/>
        </w:rPr>
        <w:t xml:space="preserve"> was conducted in the Department of Pediatrics of a tertiary care teaching hospital over a period of </w:t>
      </w:r>
      <w:r w:rsidRPr="004030F6">
        <w:rPr>
          <w:rFonts w:ascii="Times New Roman" w:eastAsia="Times New Roman" w:hAnsi="Times New Roman" w:cs="Times New Roman"/>
          <w:b/>
          <w:bCs/>
          <w:sz w:val="20"/>
          <w:szCs w:val="20"/>
          <w:lang w:eastAsia="en-IN"/>
        </w:rPr>
        <w:t>six months</w:t>
      </w:r>
      <w:r w:rsidRPr="004030F6">
        <w:rPr>
          <w:rFonts w:ascii="Times New Roman" w:eastAsia="Times New Roman" w:hAnsi="Times New Roman" w:cs="Times New Roman"/>
          <w:sz w:val="20"/>
          <w:szCs w:val="20"/>
          <w:lang w:eastAsia="en-IN"/>
        </w:rPr>
        <w:t>. Children admitted with a clinical diagnosis of community-acquired pneumonia during the study period were screened for eligibility.</w:t>
      </w:r>
    </w:p>
    <w:p w:rsidR="00201346" w:rsidRPr="004030F6" w:rsidRDefault="00201346" w:rsidP="004030F6">
      <w:pPr>
        <w:spacing w:after="0"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 xml:space="preserve">A total of </w:t>
      </w:r>
      <w:r w:rsidRPr="004030F6">
        <w:rPr>
          <w:rFonts w:ascii="Times New Roman" w:eastAsia="Times New Roman" w:hAnsi="Times New Roman" w:cs="Times New Roman"/>
          <w:b/>
          <w:bCs/>
          <w:sz w:val="20"/>
          <w:szCs w:val="20"/>
          <w:lang w:eastAsia="en-IN"/>
        </w:rPr>
        <w:t>40 consecutive children</w:t>
      </w:r>
      <w:r w:rsidRPr="004030F6">
        <w:rPr>
          <w:rFonts w:ascii="Times New Roman" w:eastAsia="Times New Roman" w:hAnsi="Times New Roman" w:cs="Times New Roman"/>
          <w:sz w:val="20"/>
          <w:szCs w:val="20"/>
          <w:lang w:eastAsia="en-IN"/>
        </w:rPr>
        <w:t xml:space="preserve"> satisfying the inclusion and exclusion criteria were enrolled. The study population consisted of children aged </w:t>
      </w:r>
      <w:r w:rsidRPr="004030F6">
        <w:rPr>
          <w:rFonts w:ascii="Times New Roman" w:eastAsia="Times New Roman" w:hAnsi="Times New Roman" w:cs="Times New Roman"/>
          <w:b/>
          <w:bCs/>
          <w:sz w:val="20"/>
          <w:szCs w:val="20"/>
          <w:lang w:eastAsia="en-IN"/>
        </w:rPr>
        <w:t>2 months to 12 years</w:t>
      </w:r>
      <w:r w:rsidRPr="004030F6">
        <w:rPr>
          <w:rFonts w:ascii="Times New Roman" w:eastAsia="Times New Roman" w:hAnsi="Times New Roman" w:cs="Times New Roman"/>
          <w:sz w:val="20"/>
          <w:szCs w:val="20"/>
          <w:lang w:eastAsia="en-IN"/>
        </w:rPr>
        <w:t xml:space="preserve"> admitted with CAP.</w:t>
      </w:r>
    </w:p>
    <w:p w:rsidR="00201346" w:rsidRPr="004030F6" w:rsidRDefault="00201346" w:rsidP="004030F6">
      <w:pPr>
        <w:spacing w:after="0" w:line="360" w:lineRule="auto"/>
        <w:jc w:val="both"/>
        <w:outlineLvl w:val="1"/>
        <w:rPr>
          <w:rFonts w:ascii="Times New Roman" w:eastAsia="Times New Roman" w:hAnsi="Times New Roman" w:cs="Times New Roman"/>
          <w:b/>
          <w:bCs/>
          <w:sz w:val="20"/>
          <w:szCs w:val="20"/>
          <w:lang w:eastAsia="en-IN"/>
        </w:rPr>
      </w:pPr>
      <w:r w:rsidRPr="004030F6">
        <w:rPr>
          <w:rFonts w:ascii="Times New Roman" w:eastAsia="Times New Roman" w:hAnsi="Times New Roman" w:cs="Times New Roman"/>
          <w:b/>
          <w:bCs/>
          <w:sz w:val="20"/>
          <w:szCs w:val="20"/>
          <w:lang w:eastAsia="en-IN"/>
        </w:rPr>
        <w:t>Inclusion Criteria</w:t>
      </w:r>
    </w:p>
    <w:p w:rsidR="00201346" w:rsidRPr="004030F6" w:rsidRDefault="00201346" w:rsidP="004030F6">
      <w:pPr>
        <w:spacing w:after="0"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Children aged 2 months to 12 years with community-acquired pneumonia requiring hospital admission were included. CAP was diagnosed on the basis of acute respiratory symptoms such as cough and/or difficulty in breathing accompanied by clinical evidence of lower respiratory tract involvement, with radiological confirmation where clinically indicated.</w:t>
      </w:r>
    </w:p>
    <w:p w:rsidR="00201346" w:rsidRPr="004030F6" w:rsidRDefault="00201346" w:rsidP="004030F6">
      <w:pPr>
        <w:spacing w:after="0" w:line="360" w:lineRule="auto"/>
        <w:jc w:val="both"/>
        <w:outlineLvl w:val="1"/>
        <w:rPr>
          <w:rFonts w:ascii="Times New Roman" w:eastAsia="Times New Roman" w:hAnsi="Times New Roman" w:cs="Times New Roman"/>
          <w:b/>
          <w:bCs/>
          <w:sz w:val="20"/>
          <w:szCs w:val="20"/>
          <w:lang w:eastAsia="en-IN"/>
        </w:rPr>
      </w:pPr>
      <w:r w:rsidRPr="004030F6">
        <w:rPr>
          <w:rFonts w:ascii="Times New Roman" w:eastAsia="Times New Roman" w:hAnsi="Times New Roman" w:cs="Times New Roman"/>
          <w:b/>
          <w:bCs/>
          <w:sz w:val="20"/>
          <w:szCs w:val="20"/>
          <w:lang w:eastAsia="en-IN"/>
        </w:rPr>
        <w:t>Exclusion Criteria</w:t>
      </w:r>
    </w:p>
    <w:p w:rsidR="00201346" w:rsidRPr="004030F6" w:rsidRDefault="00201346" w:rsidP="004030F6">
      <w:pPr>
        <w:spacing w:after="0"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Children developing pneumonia ≥48 hours after hospital admission, children with known hospital-acquired or ventilator-associated pneumonia, those recently hospitalized with ongoing nosocomial infection, children whose parents or guardians declined consent, and patients with incomplete clinical information were excluded.</w:t>
      </w:r>
    </w:p>
    <w:p w:rsidR="00201346" w:rsidRPr="004030F6" w:rsidRDefault="00201346" w:rsidP="004030F6">
      <w:pPr>
        <w:spacing w:after="0"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After obtaining informed consent from the parent or legal guardian, demographic and clinical information was recorded using a predefined case-record form. Variables included age, sex, duration of symptoms before admission, fever, cough, difficulty in breathing, feeding difficulty, respiratory rate, chest retractions, oxygen saturation (SpO₂), nutritional status, and presence of associated medical conditions.</w:t>
      </w:r>
    </w:p>
    <w:p w:rsidR="00201346" w:rsidRPr="004030F6" w:rsidRDefault="00201346" w:rsidP="004030F6">
      <w:pPr>
        <w:spacing w:after="0"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 xml:space="preserve">Pulse oximetry was performed at admission before oxygen supplementation whenever clinically feasible. Hypoxemia was defined as </w:t>
      </w:r>
      <w:r w:rsidRPr="004030F6">
        <w:rPr>
          <w:rFonts w:ascii="Times New Roman" w:eastAsia="Times New Roman" w:hAnsi="Times New Roman" w:cs="Times New Roman"/>
          <w:b/>
          <w:bCs/>
          <w:sz w:val="20"/>
          <w:szCs w:val="20"/>
          <w:lang w:eastAsia="en-IN"/>
        </w:rPr>
        <w:t>SpO₂ &lt;92% in room air</w:t>
      </w:r>
      <w:r w:rsidRPr="004030F6">
        <w:rPr>
          <w:rFonts w:ascii="Times New Roman" w:eastAsia="Times New Roman" w:hAnsi="Times New Roman" w:cs="Times New Roman"/>
          <w:sz w:val="20"/>
          <w:szCs w:val="20"/>
          <w:lang w:eastAsia="en-IN"/>
        </w:rPr>
        <w:t xml:space="preserve"> for the purpose of the study. Disease severity was classified using clinical findings, including respiratory distress, hypoxemia, danger signs, and requirement for respiratory or hemodynamic support.</w:t>
      </w:r>
    </w:p>
    <w:p w:rsidR="00201346" w:rsidRPr="004030F6" w:rsidRDefault="00201346" w:rsidP="004030F6">
      <w:pPr>
        <w:spacing w:after="0"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Laboratory investigations were performed according to clinical indications and included complete blood count and C-reactive protein. Chest radiography was evaluated for consolidation, bilateral/multifocal involvement, pleural effusion, or other complications.</w:t>
      </w:r>
    </w:p>
    <w:p w:rsidR="00201346" w:rsidRPr="004030F6" w:rsidRDefault="00201346" w:rsidP="004030F6">
      <w:pPr>
        <w:spacing w:after="0"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Treatment-related variables included intravenous antibiotic requirement, supplemental oxygen, non-invasive or invasive respiratory support, intravenous fluids, change/escalation of antibiotic therapy, and development of complications.</w:t>
      </w:r>
    </w:p>
    <w:p w:rsidR="00201346" w:rsidRPr="004030F6" w:rsidRDefault="00201346" w:rsidP="004030F6">
      <w:pPr>
        <w:spacing w:after="0"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Data were entered into Microsoft Excel and analyzed using appropriate statistical software. Continuous variables were expressed as mean ± standard deviation or median with interquartile range, depending upon distribution. Categorical variables were presented as frequencies and percentages.</w:t>
      </w:r>
    </w:p>
    <w:p w:rsidR="004030F6" w:rsidRDefault="004030F6" w:rsidP="004030F6">
      <w:pPr>
        <w:spacing w:after="0" w:line="360" w:lineRule="auto"/>
        <w:jc w:val="both"/>
        <w:outlineLvl w:val="0"/>
        <w:rPr>
          <w:rFonts w:ascii="Times New Roman" w:eastAsia="Times New Roman" w:hAnsi="Times New Roman" w:cs="Times New Roman"/>
          <w:b/>
          <w:bCs/>
          <w:kern w:val="36"/>
          <w:sz w:val="20"/>
          <w:szCs w:val="20"/>
          <w:lang w:eastAsia="en-IN"/>
        </w:rPr>
      </w:pPr>
    </w:p>
    <w:p w:rsidR="00201346" w:rsidRPr="004030F6" w:rsidRDefault="00201346" w:rsidP="004030F6">
      <w:pPr>
        <w:spacing w:after="0" w:line="360" w:lineRule="auto"/>
        <w:jc w:val="both"/>
        <w:outlineLvl w:val="0"/>
        <w:rPr>
          <w:rFonts w:ascii="Times New Roman" w:eastAsia="Times New Roman" w:hAnsi="Times New Roman" w:cs="Times New Roman"/>
          <w:b/>
          <w:bCs/>
          <w:kern w:val="36"/>
          <w:sz w:val="20"/>
          <w:szCs w:val="20"/>
          <w:lang w:eastAsia="en-IN"/>
        </w:rPr>
      </w:pPr>
      <w:r w:rsidRPr="004030F6">
        <w:rPr>
          <w:rFonts w:ascii="Times New Roman" w:eastAsia="Times New Roman" w:hAnsi="Times New Roman" w:cs="Times New Roman"/>
          <w:b/>
          <w:bCs/>
          <w:kern w:val="36"/>
          <w:sz w:val="20"/>
          <w:szCs w:val="20"/>
          <w:lang w:eastAsia="en-IN"/>
        </w:rPr>
        <w:t>Results</w:t>
      </w:r>
    </w:p>
    <w:p w:rsidR="00201346" w:rsidRPr="004030F6" w:rsidRDefault="00201346" w:rsidP="004030F6">
      <w:pPr>
        <w:spacing w:after="0"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 xml:space="preserve">A total of </w:t>
      </w:r>
      <w:r w:rsidRPr="004030F6">
        <w:rPr>
          <w:rFonts w:ascii="Times New Roman" w:eastAsia="Times New Roman" w:hAnsi="Times New Roman" w:cs="Times New Roman"/>
          <w:b/>
          <w:bCs/>
          <w:sz w:val="20"/>
          <w:szCs w:val="20"/>
          <w:lang w:eastAsia="en-IN"/>
        </w:rPr>
        <w:t>40 children</w:t>
      </w:r>
      <w:r w:rsidRPr="004030F6">
        <w:rPr>
          <w:rFonts w:ascii="Times New Roman" w:eastAsia="Times New Roman" w:hAnsi="Times New Roman" w:cs="Times New Roman"/>
          <w:sz w:val="20"/>
          <w:szCs w:val="20"/>
          <w:lang w:eastAsia="en-IN"/>
        </w:rPr>
        <w:t xml:space="preserve"> with CAP were enrolled. The mean age was </w:t>
      </w:r>
      <w:r w:rsidRPr="004030F6">
        <w:rPr>
          <w:rFonts w:ascii="Times New Roman" w:eastAsia="Times New Roman" w:hAnsi="Times New Roman" w:cs="Times New Roman"/>
          <w:b/>
          <w:bCs/>
          <w:sz w:val="20"/>
          <w:szCs w:val="20"/>
          <w:lang w:eastAsia="en-IN"/>
        </w:rPr>
        <w:t>3.6 ± 2.8 years</w:t>
      </w:r>
      <w:r w:rsidRPr="004030F6">
        <w:rPr>
          <w:rFonts w:ascii="Times New Roman" w:eastAsia="Times New Roman" w:hAnsi="Times New Roman" w:cs="Times New Roman"/>
          <w:sz w:val="20"/>
          <w:szCs w:val="20"/>
          <w:lang w:eastAsia="en-IN"/>
        </w:rPr>
        <w:t xml:space="preserve">, and 23 (57.5%) were boys. The mean duration of hospitalization was </w:t>
      </w:r>
      <w:r w:rsidRPr="004030F6">
        <w:rPr>
          <w:rFonts w:ascii="Times New Roman" w:eastAsia="Times New Roman" w:hAnsi="Times New Roman" w:cs="Times New Roman"/>
          <w:b/>
          <w:bCs/>
          <w:sz w:val="20"/>
          <w:szCs w:val="20"/>
          <w:lang w:eastAsia="en-IN"/>
        </w:rPr>
        <w:t>6.5 ± 3.1 days</w:t>
      </w:r>
      <w:r w:rsidRPr="004030F6">
        <w:rPr>
          <w:rFonts w:ascii="Times New Roman" w:eastAsia="Times New Roman" w:hAnsi="Times New Roman" w:cs="Times New Roman"/>
          <w:sz w:val="20"/>
          <w:szCs w:val="20"/>
          <w:lang w:eastAsia="en-IN"/>
        </w:rPr>
        <w:t xml:space="preserve">. Twenty-seven children (67.5%) were discharged within seven days, whereas </w:t>
      </w:r>
      <w:r w:rsidRPr="004030F6">
        <w:rPr>
          <w:rFonts w:ascii="Times New Roman" w:eastAsia="Times New Roman" w:hAnsi="Times New Roman" w:cs="Times New Roman"/>
          <w:b/>
          <w:bCs/>
          <w:sz w:val="20"/>
          <w:szCs w:val="20"/>
          <w:lang w:eastAsia="en-IN"/>
        </w:rPr>
        <w:t>13 children (32.5%) had prolonged hospitalization (&gt;7 days).</w:t>
      </w:r>
    </w:p>
    <w:p w:rsidR="004030F6" w:rsidRDefault="004030F6" w:rsidP="004030F6">
      <w:pPr>
        <w:spacing w:after="0" w:line="360" w:lineRule="auto"/>
        <w:jc w:val="both"/>
        <w:outlineLvl w:val="1"/>
        <w:rPr>
          <w:rFonts w:ascii="Times New Roman" w:eastAsia="Times New Roman" w:hAnsi="Times New Roman" w:cs="Times New Roman"/>
          <w:b/>
          <w:bCs/>
          <w:sz w:val="20"/>
          <w:szCs w:val="20"/>
          <w:lang w:eastAsia="en-IN"/>
        </w:rPr>
      </w:pPr>
    </w:p>
    <w:p w:rsidR="00201346" w:rsidRPr="004030F6" w:rsidRDefault="00201346" w:rsidP="004030F6">
      <w:pPr>
        <w:spacing w:after="0" w:line="360" w:lineRule="auto"/>
        <w:jc w:val="both"/>
        <w:outlineLvl w:val="1"/>
        <w:rPr>
          <w:rFonts w:ascii="Times New Roman" w:eastAsia="Times New Roman" w:hAnsi="Times New Roman" w:cs="Times New Roman"/>
          <w:b/>
          <w:bCs/>
          <w:sz w:val="20"/>
          <w:szCs w:val="20"/>
          <w:lang w:eastAsia="en-IN"/>
        </w:rPr>
      </w:pPr>
      <w:r w:rsidRPr="004030F6">
        <w:rPr>
          <w:rFonts w:ascii="Times New Roman" w:eastAsia="Times New Roman" w:hAnsi="Times New Roman" w:cs="Times New Roman"/>
          <w:b/>
          <w:bCs/>
          <w:sz w:val="20"/>
          <w:szCs w:val="20"/>
          <w:lang w:eastAsia="en-IN"/>
        </w:rPr>
        <w:t>Table 1. Baseline Characteristics of the Study Population</w:t>
      </w:r>
    </w:p>
    <w:tbl>
      <w:tblPr>
        <w:tblStyle w:val="TableGrid"/>
        <w:tblW w:w="0" w:type="auto"/>
        <w:tblLook w:val="04A0" w:firstRow="1" w:lastRow="0" w:firstColumn="1" w:lastColumn="0" w:noHBand="0" w:noVBand="1"/>
      </w:tblPr>
      <w:tblGrid>
        <w:gridCol w:w="2745"/>
        <w:gridCol w:w="1177"/>
        <w:gridCol w:w="2219"/>
        <w:gridCol w:w="2222"/>
        <w:gridCol w:w="879"/>
      </w:tblGrid>
      <w:tr w:rsidR="00201346" w:rsidRPr="004030F6" w:rsidTr="00201346">
        <w:tc>
          <w:tcPr>
            <w:tcW w:w="0" w:type="auto"/>
            <w:hideMark/>
          </w:tcPr>
          <w:p w:rsidR="00201346" w:rsidRPr="004030F6" w:rsidRDefault="00201346" w:rsidP="004030F6">
            <w:pPr>
              <w:spacing w:line="360" w:lineRule="auto"/>
              <w:jc w:val="both"/>
              <w:rPr>
                <w:rFonts w:ascii="Times New Roman" w:eastAsia="Times New Roman" w:hAnsi="Times New Roman" w:cs="Times New Roman"/>
                <w:b/>
                <w:bCs/>
                <w:sz w:val="20"/>
                <w:szCs w:val="20"/>
                <w:lang w:eastAsia="en-IN"/>
              </w:rPr>
            </w:pPr>
            <w:r w:rsidRPr="004030F6">
              <w:rPr>
                <w:rFonts w:ascii="Times New Roman" w:eastAsia="Times New Roman" w:hAnsi="Times New Roman" w:cs="Times New Roman"/>
                <w:b/>
                <w:bCs/>
                <w:sz w:val="20"/>
                <w:szCs w:val="20"/>
                <w:lang w:eastAsia="en-IN"/>
              </w:rPr>
              <w:t>Characteristic</w:t>
            </w:r>
          </w:p>
        </w:tc>
        <w:tc>
          <w:tcPr>
            <w:tcW w:w="0" w:type="auto"/>
            <w:hideMark/>
          </w:tcPr>
          <w:p w:rsidR="00201346" w:rsidRPr="004030F6" w:rsidRDefault="00201346" w:rsidP="004030F6">
            <w:pPr>
              <w:spacing w:line="360" w:lineRule="auto"/>
              <w:jc w:val="center"/>
              <w:rPr>
                <w:rFonts w:ascii="Times New Roman" w:eastAsia="Times New Roman" w:hAnsi="Times New Roman" w:cs="Times New Roman"/>
                <w:b/>
                <w:bCs/>
                <w:sz w:val="20"/>
                <w:szCs w:val="20"/>
                <w:lang w:eastAsia="en-IN"/>
              </w:rPr>
            </w:pPr>
            <w:r w:rsidRPr="004030F6">
              <w:rPr>
                <w:rFonts w:ascii="Times New Roman" w:eastAsia="Times New Roman" w:hAnsi="Times New Roman" w:cs="Times New Roman"/>
                <w:b/>
                <w:bCs/>
                <w:sz w:val="20"/>
                <w:szCs w:val="20"/>
                <w:lang w:eastAsia="en-IN"/>
              </w:rPr>
              <w:t>Total (n=40)</w:t>
            </w:r>
          </w:p>
        </w:tc>
        <w:tc>
          <w:tcPr>
            <w:tcW w:w="0" w:type="auto"/>
            <w:hideMark/>
          </w:tcPr>
          <w:p w:rsidR="00201346" w:rsidRPr="004030F6" w:rsidRDefault="00201346" w:rsidP="004030F6">
            <w:pPr>
              <w:spacing w:line="360" w:lineRule="auto"/>
              <w:jc w:val="center"/>
              <w:rPr>
                <w:rFonts w:ascii="Times New Roman" w:eastAsia="Times New Roman" w:hAnsi="Times New Roman" w:cs="Times New Roman"/>
                <w:b/>
                <w:bCs/>
                <w:sz w:val="20"/>
                <w:szCs w:val="20"/>
                <w:lang w:eastAsia="en-IN"/>
              </w:rPr>
            </w:pPr>
            <w:r w:rsidRPr="004030F6">
              <w:rPr>
                <w:rFonts w:ascii="Times New Roman" w:eastAsia="Times New Roman" w:hAnsi="Times New Roman" w:cs="Times New Roman"/>
                <w:b/>
                <w:bCs/>
                <w:sz w:val="20"/>
                <w:szCs w:val="20"/>
                <w:lang w:eastAsia="en-IN"/>
              </w:rPr>
              <w:t>Hospital stay ≤7 days (n=27)</w:t>
            </w:r>
          </w:p>
        </w:tc>
        <w:tc>
          <w:tcPr>
            <w:tcW w:w="0" w:type="auto"/>
            <w:hideMark/>
          </w:tcPr>
          <w:p w:rsidR="00201346" w:rsidRPr="004030F6" w:rsidRDefault="00201346" w:rsidP="004030F6">
            <w:pPr>
              <w:spacing w:line="360" w:lineRule="auto"/>
              <w:jc w:val="center"/>
              <w:rPr>
                <w:rFonts w:ascii="Times New Roman" w:eastAsia="Times New Roman" w:hAnsi="Times New Roman" w:cs="Times New Roman"/>
                <w:b/>
                <w:bCs/>
                <w:sz w:val="20"/>
                <w:szCs w:val="20"/>
                <w:lang w:eastAsia="en-IN"/>
              </w:rPr>
            </w:pPr>
            <w:r w:rsidRPr="004030F6">
              <w:rPr>
                <w:rFonts w:ascii="Times New Roman" w:eastAsia="Times New Roman" w:hAnsi="Times New Roman" w:cs="Times New Roman"/>
                <w:b/>
                <w:bCs/>
                <w:sz w:val="20"/>
                <w:szCs w:val="20"/>
                <w:lang w:eastAsia="en-IN"/>
              </w:rPr>
              <w:t>Hospital stay &gt;7 days (n=13)</w:t>
            </w:r>
          </w:p>
        </w:tc>
        <w:tc>
          <w:tcPr>
            <w:tcW w:w="0" w:type="auto"/>
            <w:hideMark/>
          </w:tcPr>
          <w:p w:rsidR="00201346" w:rsidRPr="004030F6" w:rsidRDefault="00201346" w:rsidP="004030F6">
            <w:pPr>
              <w:spacing w:line="360" w:lineRule="auto"/>
              <w:jc w:val="center"/>
              <w:rPr>
                <w:rFonts w:ascii="Times New Roman" w:eastAsia="Times New Roman" w:hAnsi="Times New Roman" w:cs="Times New Roman"/>
                <w:b/>
                <w:bCs/>
                <w:sz w:val="20"/>
                <w:szCs w:val="20"/>
                <w:lang w:eastAsia="en-IN"/>
              </w:rPr>
            </w:pPr>
            <w:r w:rsidRPr="004030F6">
              <w:rPr>
                <w:rFonts w:ascii="Times New Roman" w:eastAsia="Times New Roman" w:hAnsi="Times New Roman" w:cs="Times New Roman"/>
                <w:b/>
                <w:bCs/>
                <w:sz w:val="20"/>
                <w:szCs w:val="20"/>
                <w:lang w:eastAsia="en-IN"/>
              </w:rPr>
              <w:t>p-value</w:t>
            </w:r>
          </w:p>
        </w:tc>
      </w:tr>
      <w:tr w:rsidR="00201346" w:rsidRPr="004030F6" w:rsidTr="00201346">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Mean age, years</w:t>
            </w:r>
          </w:p>
        </w:tc>
        <w:tc>
          <w:tcPr>
            <w:tcW w:w="0" w:type="auto"/>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3.6 ± 2.8</w:t>
            </w:r>
          </w:p>
        </w:tc>
        <w:tc>
          <w:tcPr>
            <w:tcW w:w="0" w:type="auto"/>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3.9 ± 2.9</w:t>
            </w:r>
          </w:p>
        </w:tc>
        <w:tc>
          <w:tcPr>
            <w:tcW w:w="0" w:type="auto"/>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3.0 ± 2.5</w:t>
            </w:r>
          </w:p>
        </w:tc>
        <w:tc>
          <w:tcPr>
            <w:tcW w:w="0" w:type="auto"/>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0.34</w:t>
            </w:r>
          </w:p>
        </w:tc>
      </w:tr>
      <w:tr w:rsidR="00201346" w:rsidRPr="004030F6" w:rsidTr="00201346">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Age &lt;1 year</w:t>
            </w:r>
          </w:p>
        </w:tc>
        <w:tc>
          <w:tcPr>
            <w:tcW w:w="0" w:type="auto"/>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9 (22.5%)</w:t>
            </w:r>
          </w:p>
        </w:tc>
        <w:tc>
          <w:tcPr>
            <w:tcW w:w="0" w:type="auto"/>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4 (14.8%)</w:t>
            </w:r>
          </w:p>
        </w:tc>
        <w:tc>
          <w:tcPr>
            <w:tcW w:w="0" w:type="auto"/>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5 (38.5%)</w:t>
            </w:r>
          </w:p>
        </w:tc>
        <w:tc>
          <w:tcPr>
            <w:tcW w:w="0" w:type="auto"/>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0.12</w:t>
            </w:r>
          </w:p>
        </w:tc>
      </w:tr>
      <w:tr w:rsidR="00201346" w:rsidRPr="004030F6" w:rsidTr="00201346">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Male sex</w:t>
            </w:r>
          </w:p>
        </w:tc>
        <w:tc>
          <w:tcPr>
            <w:tcW w:w="0" w:type="auto"/>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23 (57.5%)</w:t>
            </w:r>
          </w:p>
        </w:tc>
        <w:tc>
          <w:tcPr>
            <w:tcW w:w="0" w:type="auto"/>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16 (59.3%)</w:t>
            </w:r>
          </w:p>
        </w:tc>
        <w:tc>
          <w:tcPr>
            <w:tcW w:w="0" w:type="auto"/>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7 (53.8%)</w:t>
            </w:r>
          </w:p>
        </w:tc>
        <w:tc>
          <w:tcPr>
            <w:tcW w:w="0" w:type="auto"/>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0.74</w:t>
            </w:r>
          </w:p>
        </w:tc>
      </w:tr>
      <w:tr w:rsidR="00201346" w:rsidRPr="004030F6" w:rsidTr="00201346">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Symptoms &gt;5 days before admission</w:t>
            </w:r>
          </w:p>
        </w:tc>
        <w:tc>
          <w:tcPr>
            <w:tcW w:w="0" w:type="auto"/>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15 (37.5%)</w:t>
            </w:r>
          </w:p>
        </w:tc>
        <w:tc>
          <w:tcPr>
            <w:tcW w:w="0" w:type="auto"/>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7 (25.9%)</w:t>
            </w:r>
          </w:p>
        </w:tc>
        <w:tc>
          <w:tcPr>
            <w:tcW w:w="0" w:type="auto"/>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8 (61.5%)</w:t>
            </w:r>
          </w:p>
        </w:tc>
        <w:tc>
          <w:tcPr>
            <w:tcW w:w="0" w:type="auto"/>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0.03*</w:t>
            </w:r>
          </w:p>
        </w:tc>
      </w:tr>
      <w:tr w:rsidR="00201346" w:rsidRPr="004030F6" w:rsidTr="00201346">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Malnutrition</w:t>
            </w:r>
          </w:p>
        </w:tc>
        <w:tc>
          <w:tcPr>
            <w:tcW w:w="0" w:type="auto"/>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14 (35.0%)</w:t>
            </w:r>
          </w:p>
        </w:tc>
        <w:tc>
          <w:tcPr>
            <w:tcW w:w="0" w:type="auto"/>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6 (22.2%)</w:t>
            </w:r>
          </w:p>
        </w:tc>
        <w:tc>
          <w:tcPr>
            <w:tcW w:w="0" w:type="auto"/>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8 (61.5%)</w:t>
            </w:r>
          </w:p>
        </w:tc>
        <w:tc>
          <w:tcPr>
            <w:tcW w:w="0" w:type="auto"/>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0.015*</w:t>
            </w:r>
          </w:p>
        </w:tc>
      </w:tr>
      <w:tr w:rsidR="00201346" w:rsidRPr="004030F6" w:rsidTr="00201346">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Associated comorbidity</w:t>
            </w:r>
          </w:p>
        </w:tc>
        <w:tc>
          <w:tcPr>
            <w:tcW w:w="0" w:type="auto"/>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8 (20.0%)</w:t>
            </w:r>
          </w:p>
        </w:tc>
        <w:tc>
          <w:tcPr>
            <w:tcW w:w="0" w:type="auto"/>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3 (11.1%)</w:t>
            </w:r>
          </w:p>
        </w:tc>
        <w:tc>
          <w:tcPr>
            <w:tcW w:w="0" w:type="auto"/>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5 (38.5%)</w:t>
            </w:r>
          </w:p>
        </w:tc>
        <w:tc>
          <w:tcPr>
            <w:tcW w:w="0" w:type="auto"/>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0.047*</w:t>
            </w:r>
          </w:p>
        </w:tc>
      </w:tr>
      <w:tr w:rsidR="00201346" w:rsidRPr="004030F6" w:rsidTr="00201346">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Mean hospital stay, days</w:t>
            </w:r>
          </w:p>
        </w:tc>
        <w:tc>
          <w:tcPr>
            <w:tcW w:w="0" w:type="auto"/>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6.5 ± 3.1</w:t>
            </w:r>
          </w:p>
        </w:tc>
        <w:tc>
          <w:tcPr>
            <w:tcW w:w="0" w:type="auto"/>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4.8 ± 1.3</w:t>
            </w:r>
          </w:p>
        </w:tc>
        <w:tc>
          <w:tcPr>
            <w:tcW w:w="0" w:type="auto"/>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10.1 ± 2.4</w:t>
            </w:r>
          </w:p>
        </w:tc>
        <w:tc>
          <w:tcPr>
            <w:tcW w:w="0" w:type="auto"/>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&lt;0.001*</w:t>
            </w:r>
          </w:p>
        </w:tc>
      </w:tr>
    </w:tbl>
    <w:p w:rsidR="00201346" w:rsidRPr="004030F6" w:rsidRDefault="00201346" w:rsidP="004030F6">
      <w:pPr>
        <w:spacing w:after="0"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*Statistically significant.</w:t>
      </w:r>
    </w:p>
    <w:p w:rsidR="00201346" w:rsidRPr="004030F6" w:rsidRDefault="00201346" w:rsidP="004030F6">
      <w:pPr>
        <w:spacing w:after="0"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Children with prolonged hospitalization more frequently had delayed presentation, malnutrition, and associated comorbidity. Age and sex were not significantly associated with prolonged stay.</w:t>
      </w:r>
    </w:p>
    <w:p w:rsidR="004030F6" w:rsidRDefault="004030F6" w:rsidP="004030F6">
      <w:pPr>
        <w:spacing w:after="0" w:line="360" w:lineRule="auto"/>
        <w:jc w:val="both"/>
        <w:outlineLvl w:val="1"/>
        <w:rPr>
          <w:rFonts w:ascii="Times New Roman" w:eastAsia="Times New Roman" w:hAnsi="Times New Roman" w:cs="Times New Roman"/>
          <w:b/>
          <w:bCs/>
          <w:sz w:val="20"/>
          <w:szCs w:val="20"/>
          <w:lang w:eastAsia="en-IN"/>
        </w:rPr>
      </w:pPr>
    </w:p>
    <w:p w:rsidR="00201346" w:rsidRPr="004030F6" w:rsidRDefault="00201346" w:rsidP="004030F6">
      <w:pPr>
        <w:spacing w:after="0" w:line="360" w:lineRule="auto"/>
        <w:jc w:val="both"/>
        <w:outlineLvl w:val="1"/>
        <w:rPr>
          <w:rFonts w:ascii="Times New Roman" w:eastAsia="Times New Roman" w:hAnsi="Times New Roman" w:cs="Times New Roman"/>
          <w:b/>
          <w:bCs/>
          <w:sz w:val="20"/>
          <w:szCs w:val="20"/>
          <w:lang w:eastAsia="en-IN"/>
        </w:rPr>
      </w:pPr>
      <w:r w:rsidRPr="004030F6">
        <w:rPr>
          <w:rFonts w:ascii="Times New Roman" w:eastAsia="Times New Roman" w:hAnsi="Times New Roman" w:cs="Times New Roman"/>
          <w:b/>
          <w:bCs/>
          <w:sz w:val="20"/>
          <w:szCs w:val="20"/>
          <w:lang w:eastAsia="en-IN"/>
        </w:rPr>
        <w:t>Table 2. Clinical, Laboratory and Radiological Factors Associated with Prolonged Hospital Stay</w:t>
      </w:r>
    </w:p>
    <w:tbl>
      <w:tblPr>
        <w:tblStyle w:val="TableGrid"/>
        <w:tblW w:w="8882" w:type="dxa"/>
        <w:tblLook w:val="04A0" w:firstRow="1" w:lastRow="0" w:firstColumn="1" w:lastColumn="0" w:noHBand="0" w:noVBand="1"/>
      </w:tblPr>
      <w:tblGrid>
        <w:gridCol w:w="3359"/>
        <w:gridCol w:w="2239"/>
        <w:gridCol w:w="1710"/>
        <w:gridCol w:w="1574"/>
      </w:tblGrid>
      <w:tr w:rsidR="00201346" w:rsidRPr="004030F6" w:rsidTr="004030F6">
        <w:trPr>
          <w:trHeight w:val="364"/>
        </w:trPr>
        <w:tc>
          <w:tcPr>
            <w:tcW w:w="0" w:type="auto"/>
            <w:hideMark/>
          </w:tcPr>
          <w:p w:rsidR="00201346" w:rsidRPr="004030F6" w:rsidRDefault="00201346" w:rsidP="004030F6">
            <w:pPr>
              <w:spacing w:line="360" w:lineRule="auto"/>
              <w:jc w:val="both"/>
              <w:rPr>
                <w:rFonts w:ascii="Times New Roman" w:eastAsia="Times New Roman" w:hAnsi="Times New Roman" w:cs="Times New Roman"/>
                <w:b/>
                <w:bCs/>
                <w:sz w:val="20"/>
                <w:szCs w:val="20"/>
                <w:lang w:eastAsia="en-IN"/>
              </w:rPr>
            </w:pPr>
            <w:r w:rsidRPr="004030F6">
              <w:rPr>
                <w:rFonts w:ascii="Times New Roman" w:eastAsia="Times New Roman" w:hAnsi="Times New Roman" w:cs="Times New Roman"/>
                <w:b/>
                <w:bCs/>
                <w:sz w:val="20"/>
                <w:szCs w:val="20"/>
                <w:lang w:eastAsia="en-IN"/>
              </w:rPr>
              <w:t>Parameter</w:t>
            </w:r>
          </w:p>
        </w:tc>
        <w:tc>
          <w:tcPr>
            <w:tcW w:w="2239" w:type="dxa"/>
            <w:hideMark/>
          </w:tcPr>
          <w:p w:rsidR="004030F6" w:rsidRDefault="00201346" w:rsidP="004030F6">
            <w:pPr>
              <w:spacing w:line="360" w:lineRule="auto"/>
              <w:jc w:val="center"/>
              <w:rPr>
                <w:rFonts w:ascii="Times New Roman" w:eastAsia="Times New Roman" w:hAnsi="Times New Roman" w:cs="Times New Roman"/>
                <w:b/>
                <w:bCs/>
                <w:sz w:val="20"/>
                <w:szCs w:val="20"/>
                <w:lang w:eastAsia="en-IN"/>
              </w:rPr>
            </w:pPr>
            <w:r w:rsidRPr="004030F6">
              <w:rPr>
                <w:rFonts w:ascii="Times New Roman" w:eastAsia="Times New Roman" w:hAnsi="Times New Roman" w:cs="Times New Roman"/>
                <w:b/>
                <w:bCs/>
                <w:sz w:val="20"/>
                <w:szCs w:val="20"/>
                <w:lang w:eastAsia="en-IN"/>
              </w:rPr>
              <w:t xml:space="preserve">Stay ≤7 days </w:t>
            </w:r>
          </w:p>
          <w:p w:rsidR="00201346" w:rsidRPr="004030F6" w:rsidRDefault="00201346" w:rsidP="004030F6">
            <w:pPr>
              <w:spacing w:line="360" w:lineRule="auto"/>
              <w:jc w:val="center"/>
              <w:rPr>
                <w:rFonts w:ascii="Times New Roman" w:eastAsia="Times New Roman" w:hAnsi="Times New Roman" w:cs="Times New Roman"/>
                <w:b/>
                <w:bCs/>
                <w:sz w:val="20"/>
                <w:szCs w:val="20"/>
                <w:lang w:eastAsia="en-IN"/>
              </w:rPr>
            </w:pPr>
            <w:r w:rsidRPr="004030F6">
              <w:rPr>
                <w:rFonts w:ascii="Times New Roman" w:eastAsia="Times New Roman" w:hAnsi="Times New Roman" w:cs="Times New Roman"/>
                <w:b/>
                <w:bCs/>
                <w:sz w:val="20"/>
                <w:szCs w:val="20"/>
                <w:lang w:eastAsia="en-IN"/>
              </w:rPr>
              <w:t>(n=27)</w:t>
            </w:r>
          </w:p>
        </w:tc>
        <w:tc>
          <w:tcPr>
            <w:tcW w:w="1710" w:type="dxa"/>
            <w:hideMark/>
          </w:tcPr>
          <w:p w:rsidR="00201346" w:rsidRPr="004030F6" w:rsidRDefault="00201346" w:rsidP="004030F6">
            <w:pPr>
              <w:spacing w:line="360" w:lineRule="auto"/>
              <w:jc w:val="center"/>
              <w:rPr>
                <w:rFonts w:ascii="Times New Roman" w:eastAsia="Times New Roman" w:hAnsi="Times New Roman" w:cs="Times New Roman"/>
                <w:b/>
                <w:bCs/>
                <w:sz w:val="20"/>
                <w:szCs w:val="20"/>
                <w:lang w:eastAsia="en-IN"/>
              </w:rPr>
            </w:pPr>
            <w:r w:rsidRPr="004030F6">
              <w:rPr>
                <w:rFonts w:ascii="Times New Roman" w:eastAsia="Times New Roman" w:hAnsi="Times New Roman" w:cs="Times New Roman"/>
                <w:b/>
                <w:bCs/>
                <w:sz w:val="20"/>
                <w:szCs w:val="20"/>
                <w:lang w:eastAsia="en-IN"/>
              </w:rPr>
              <w:t>Stay &gt;7 days (n=13)</w:t>
            </w:r>
          </w:p>
        </w:tc>
        <w:tc>
          <w:tcPr>
            <w:tcW w:w="1574" w:type="dxa"/>
            <w:hideMark/>
          </w:tcPr>
          <w:p w:rsidR="00201346" w:rsidRPr="004030F6" w:rsidRDefault="00201346" w:rsidP="004030F6">
            <w:pPr>
              <w:spacing w:line="360" w:lineRule="auto"/>
              <w:jc w:val="center"/>
              <w:rPr>
                <w:rFonts w:ascii="Times New Roman" w:eastAsia="Times New Roman" w:hAnsi="Times New Roman" w:cs="Times New Roman"/>
                <w:b/>
                <w:bCs/>
                <w:sz w:val="20"/>
                <w:szCs w:val="20"/>
                <w:lang w:eastAsia="en-IN"/>
              </w:rPr>
            </w:pPr>
            <w:r w:rsidRPr="004030F6">
              <w:rPr>
                <w:rFonts w:ascii="Times New Roman" w:eastAsia="Times New Roman" w:hAnsi="Times New Roman" w:cs="Times New Roman"/>
                <w:b/>
                <w:bCs/>
                <w:sz w:val="20"/>
                <w:szCs w:val="20"/>
                <w:lang w:eastAsia="en-IN"/>
              </w:rPr>
              <w:t>p-value</w:t>
            </w:r>
          </w:p>
        </w:tc>
      </w:tr>
      <w:tr w:rsidR="00201346" w:rsidRPr="004030F6" w:rsidTr="004030F6">
        <w:trPr>
          <w:trHeight w:val="375"/>
        </w:trPr>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Severe pneumonia</w:t>
            </w:r>
          </w:p>
        </w:tc>
        <w:tc>
          <w:tcPr>
            <w:tcW w:w="2239" w:type="dxa"/>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6 (22.2%)</w:t>
            </w:r>
          </w:p>
        </w:tc>
        <w:tc>
          <w:tcPr>
            <w:tcW w:w="1710" w:type="dxa"/>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10 (76.9%)</w:t>
            </w:r>
          </w:p>
        </w:tc>
        <w:tc>
          <w:tcPr>
            <w:tcW w:w="1574" w:type="dxa"/>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0.001*</w:t>
            </w:r>
          </w:p>
        </w:tc>
      </w:tr>
      <w:tr w:rsidR="00201346" w:rsidRPr="004030F6" w:rsidTr="004030F6">
        <w:trPr>
          <w:trHeight w:val="364"/>
        </w:trPr>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SpO₂ &lt;92% at admission</w:t>
            </w:r>
          </w:p>
        </w:tc>
        <w:tc>
          <w:tcPr>
            <w:tcW w:w="2239" w:type="dxa"/>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5 (18.5%)</w:t>
            </w:r>
          </w:p>
        </w:tc>
        <w:tc>
          <w:tcPr>
            <w:tcW w:w="1710" w:type="dxa"/>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9 (69.2%)</w:t>
            </w:r>
          </w:p>
        </w:tc>
        <w:tc>
          <w:tcPr>
            <w:tcW w:w="1574" w:type="dxa"/>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0.002*</w:t>
            </w:r>
          </w:p>
        </w:tc>
      </w:tr>
      <w:tr w:rsidR="00201346" w:rsidRPr="004030F6" w:rsidTr="004030F6">
        <w:trPr>
          <w:trHeight w:val="375"/>
        </w:trPr>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Marked chest retractions</w:t>
            </w:r>
          </w:p>
        </w:tc>
        <w:tc>
          <w:tcPr>
            <w:tcW w:w="2239" w:type="dxa"/>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7 (25.9%)</w:t>
            </w:r>
          </w:p>
        </w:tc>
        <w:tc>
          <w:tcPr>
            <w:tcW w:w="1710" w:type="dxa"/>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9 (69.2%)</w:t>
            </w:r>
          </w:p>
        </w:tc>
        <w:tc>
          <w:tcPr>
            <w:tcW w:w="1574" w:type="dxa"/>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0.009*</w:t>
            </w:r>
          </w:p>
        </w:tc>
      </w:tr>
      <w:tr w:rsidR="00201346" w:rsidRPr="004030F6" w:rsidTr="004030F6">
        <w:trPr>
          <w:trHeight w:val="364"/>
        </w:trPr>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Feeding difficulty</w:t>
            </w:r>
          </w:p>
        </w:tc>
        <w:tc>
          <w:tcPr>
            <w:tcW w:w="2239" w:type="dxa"/>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6 (22.2%)</w:t>
            </w:r>
          </w:p>
        </w:tc>
        <w:tc>
          <w:tcPr>
            <w:tcW w:w="1710" w:type="dxa"/>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8 (61.5%)</w:t>
            </w:r>
          </w:p>
        </w:tc>
        <w:tc>
          <w:tcPr>
            <w:tcW w:w="1574" w:type="dxa"/>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0.015*</w:t>
            </w:r>
          </w:p>
        </w:tc>
      </w:tr>
      <w:tr w:rsidR="00201346" w:rsidRPr="004030F6" w:rsidTr="004030F6">
        <w:trPr>
          <w:trHeight w:val="375"/>
        </w:trPr>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Hemoglobin &lt;10 g/dL</w:t>
            </w:r>
          </w:p>
        </w:tc>
        <w:tc>
          <w:tcPr>
            <w:tcW w:w="2239" w:type="dxa"/>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7 (25.9%)</w:t>
            </w:r>
          </w:p>
        </w:tc>
        <w:tc>
          <w:tcPr>
            <w:tcW w:w="1710" w:type="dxa"/>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7 (53.8%)</w:t>
            </w:r>
          </w:p>
        </w:tc>
        <w:tc>
          <w:tcPr>
            <w:tcW w:w="1574" w:type="dxa"/>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0.08</w:t>
            </w:r>
          </w:p>
        </w:tc>
      </w:tr>
      <w:tr w:rsidR="00201346" w:rsidRPr="004030F6" w:rsidTr="004030F6">
        <w:trPr>
          <w:trHeight w:val="364"/>
        </w:trPr>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Leukocytosis</w:t>
            </w:r>
          </w:p>
        </w:tc>
        <w:tc>
          <w:tcPr>
            <w:tcW w:w="2239" w:type="dxa"/>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10 (37.0%)</w:t>
            </w:r>
          </w:p>
        </w:tc>
        <w:tc>
          <w:tcPr>
            <w:tcW w:w="1710" w:type="dxa"/>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8 (61.5%)</w:t>
            </w:r>
          </w:p>
        </w:tc>
        <w:tc>
          <w:tcPr>
            <w:tcW w:w="1574" w:type="dxa"/>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0.15</w:t>
            </w:r>
          </w:p>
        </w:tc>
      </w:tr>
      <w:tr w:rsidR="00201346" w:rsidRPr="004030F6" w:rsidTr="004030F6">
        <w:trPr>
          <w:trHeight w:val="375"/>
        </w:trPr>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CRP &gt;40 mg/L</w:t>
            </w:r>
          </w:p>
        </w:tc>
        <w:tc>
          <w:tcPr>
            <w:tcW w:w="2239" w:type="dxa"/>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7 (25.9%)</w:t>
            </w:r>
          </w:p>
        </w:tc>
        <w:tc>
          <w:tcPr>
            <w:tcW w:w="1710" w:type="dxa"/>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9 (69.2%)</w:t>
            </w:r>
          </w:p>
        </w:tc>
        <w:tc>
          <w:tcPr>
            <w:tcW w:w="1574" w:type="dxa"/>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0.009*</w:t>
            </w:r>
          </w:p>
        </w:tc>
      </w:tr>
      <w:tr w:rsidR="00201346" w:rsidRPr="004030F6" w:rsidTr="004030F6">
        <w:trPr>
          <w:trHeight w:val="364"/>
        </w:trPr>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Multilobar/bilateral involvement</w:t>
            </w:r>
          </w:p>
        </w:tc>
        <w:tc>
          <w:tcPr>
            <w:tcW w:w="2239" w:type="dxa"/>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5 (18.5%)</w:t>
            </w:r>
          </w:p>
        </w:tc>
        <w:tc>
          <w:tcPr>
            <w:tcW w:w="1710" w:type="dxa"/>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7 (53.8%)</w:t>
            </w:r>
          </w:p>
        </w:tc>
        <w:tc>
          <w:tcPr>
            <w:tcW w:w="1574" w:type="dxa"/>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0.023*</w:t>
            </w:r>
          </w:p>
        </w:tc>
      </w:tr>
      <w:tr w:rsidR="00201346" w:rsidRPr="004030F6" w:rsidTr="004030F6">
        <w:trPr>
          <w:trHeight w:val="375"/>
        </w:trPr>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Pleural effusion/complication</w:t>
            </w:r>
          </w:p>
        </w:tc>
        <w:tc>
          <w:tcPr>
            <w:tcW w:w="2239" w:type="dxa"/>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1 (3.7%)</w:t>
            </w:r>
          </w:p>
        </w:tc>
        <w:tc>
          <w:tcPr>
            <w:tcW w:w="1710" w:type="dxa"/>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5 (38.5%)</w:t>
            </w:r>
          </w:p>
        </w:tc>
        <w:tc>
          <w:tcPr>
            <w:tcW w:w="1574" w:type="dxa"/>
            <w:hideMark/>
          </w:tcPr>
          <w:p w:rsidR="00201346" w:rsidRPr="004030F6" w:rsidRDefault="00201346" w:rsidP="004030F6">
            <w:pPr>
              <w:spacing w:line="360" w:lineRule="auto"/>
              <w:jc w:val="center"/>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0.007*</w:t>
            </w:r>
          </w:p>
        </w:tc>
      </w:tr>
    </w:tbl>
    <w:p w:rsidR="00201346" w:rsidRPr="004030F6" w:rsidRDefault="00201346" w:rsidP="004030F6">
      <w:pPr>
        <w:spacing w:after="0"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*Statistically significant.</w:t>
      </w:r>
    </w:p>
    <w:p w:rsidR="00201346" w:rsidRPr="004030F6" w:rsidRDefault="00201346" w:rsidP="004030F6">
      <w:pPr>
        <w:spacing w:after="0"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Hypoxemia was present in 14 (35%) children overall and was substantially more frequent in the prolonged-stay group. Severe pneumonia, marked retractions, feeding difficulty, elevated CRP, multilobar disease, and pleural complications were also significantly associated with hospitalization exceeding seven days.</w:t>
      </w:r>
    </w:p>
    <w:p w:rsidR="004030F6" w:rsidRDefault="004030F6" w:rsidP="004030F6">
      <w:pPr>
        <w:spacing w:after="0" w:line="360" w:lineRule="auto"/>
        <w:jc w:val="both"/>
        <w:outlineLvl w:val="1"/>
        <w:rPr>
          <w:rFonts w:ascii="Times New Roman" w:eastAsia="Times New Roman" w:hAnsi="Times New Roman" w:cs="Times New Roman"/>
          <w:b/>
          <w:bCs/>
          <w:sz w:val="20"/>
          <w:szCs w:val="20"/>
          <w:lang w:eastAsia="en-IN"/>
        </w:rPr>
      </w:pPr>
    </w:p>
    <w:p w:rsidR="004030F6" w:rsidRDefault="004030F6" w:rsidP="004030F6">
      <w:pPr>
        <w:spacing w:after="0" w:line="360" w:lineRule="auto"/>
        <w:jc w:val="both"/>
        <w:outlineLvl w:val="1"/>
        <w:rPr>
          <w:rFonts w:ascii="Times New Roman" w:eastAsia="Times New Roman" w:hAnsi="Times New Roman" w:cs="Times New Roman"/>
          <w:b/>
          <w:bCs/>
          <w:sz w:val="20"/>
          <w:szCs w:val="20"/>
          <w:lang w:eastAsia="en-IN"/>
        </w:rPr>
      </w:pPr>
    </w:p>
    <w:p w:rsidR="004030F6" w:rsidRDefault="004030F6" w:rsidP="004030F6">
      <w:pPr>
        <w:spacing w:after="0" w:line="360" w:lineRule="auto"/>
        <w:jc w:val="both"/>
        <w:outlineLvl w:val="1"/>
        <w:rPr>
          <w:rFonts w:ascii="Times New Roman" w:eastAsia="Times New Roman" w:hAnsi="Times New Roman" w:cs="Times New Roman"/>
          <w:b/>
          <w:bCs/>
          <w:sz w:val="20"/>
          <w:szCs w:val="20"/>
          <w:lang w:eastAsia="en-IN"/>
        </w:rPr>
      </w:pPr>
    </w:p>
    <w:p w:rsidR="004030F6" w:rsidRDefault="004030F6" w:rsidP="004030F6">
      <w:pPr>
        <w:spacing w:after="0" w:line="360" w:lineRule="auto"/>
        <w:jc w:val="both"/>
        <w:outlineLvl w:val="1"/>
        <w:rPr>
          <w:rFonts w:ascii="Times New Roman" w:eastAsia="Times New Roman" w:hAnsi="Times New Roman" w:cs="Times New Roman"/>
          <w:b/>
          <w:bCs/>
          <w:sz w:val="20"/>
          <w:szCs w:val="20"/>
          <w:lang w:eastAsia="en-IN"/>
        </w:rPr>
      </w:pPr>
    </w:p>
    <w:p w:rsidR="004030F6" w:rsidRDefault="004030F6" w:rsidP="004030F6">
      <w:pPr>
        <w:spacing w:after="0" w:line="360" w:lineRule="auto"/>
        <w:jc w:val="both"/>
        <w:outlineLvl w:val="1"/>
        <w:rPr>
          <w:rFonts w:ascii="Times New Roman" w:eastAsia="Times New Roman" w:hAnsi="Times New Roman" w:cs="Times New Roman"/>
          <w:b/>
          <w:bCs/>
          <w:sz w:val="20"/>
          <w:szCs w:val="20"/>
          <w:lang w:eastAsia="en-IN"/>
        </w:rPr>
      </w:pPr>
    </w:p>
    <w:p w:rsidR="00201346" w:rsidRPr="004030F6" w:rsidRDefault="00201346" w:rsidP="004030F6">
      <w:pPr>
        <w:spacing w:after="0" w:line="360" w:lineRule="auto"/>
        <w:jc w:val="both"/>
        <w:outlineLvl w:val="1"/>
        <w:rPr>
          <w:rFonts w:ascii="Times New Roman" w:eastAsia="Times New Roman" w:hAnsi="Times New Roman" w:cs="Times New Roman"/>
          <w:b/>
          <w:bCs/>
          <w:sz w:val="20"/>
          <w:szCs w:val="20"/>
          <w:lang w:eastAsia="en-IN"/>
        </w:rPr>
      </w:pPr>
      <w:r w:rsidRPr="004030F6">
        <w:rPr>
          <w:rFonts w:ascii="Times New Roman" w:eastAsia="Times New Roman" w:hAnsi="Times New Roman" w:cs="Times New Roman"/>
          <w:b/>
          <w:bCs/>
          <w:sz w:val="20"/>
          <w:szCs w:val="20"/>
          <w:lang w:eastAsia="en-IN"/>
        </w:rPr>
        <w:t>Table 3. Treatment Factors and Predictors of Prolonged Hospitalization</w:t>
      </w:r>
    </w:p>
    <w:tbl>
      <w:tblPr>
        <w:tblStyle w:val="TableGrid"/>
        <w:tblW w:w="0" w:type="auto"/>
        <w:tblLook w:val="04A0" w:firstRow="1" w:lastRow="0" w:firstColumn="1" w:lastColumn="0" w:noHBand="0" w:noVBand="1"/>
      </w:tblPr>
      <w:tblGrid>
        <w:gridCol w:w="3301"/>
        <w:gridCol w:w="1642"/>
        <w:gridCol w:w="1645"/>
        <w:gridCol w:w="1825"/>
        <w:gridCol w:w="829"/>
      </w:tblGrid>
      <w:tr w:rsidR="00201346" w:rsidRPr="004030F6" w:rsidTr="00201346">
        <w:tc>
          <w:tcPr>
            <w:tcW w:w="0" w:type="auto"/>
            <w:hideMark/>
          </w:tcPr>
          <w:p w:rsidR="00201346" w:rsidRPr="004030F6" w:rsidRDefault="00201346" w:rsidP="004030F6">
            <w:pPr>
              <w:spacing w:line="360" w:lineRule="auto"/>
              <w:jc w:val="both"/>
              <w:rPr>
                <w:rFonts w:ascii="Times New Roman" w:eastAsia="Times New Roman" w:hAnsi="Times New Roman" w:cs="Times New Roman"/>
                <w:b/>
                <w:bCs/>
                <w:sz w:val="20"/>
                <w:szCs w:val="20"/>
                <w:lang w:eastAsia="en-IN"/>
              </w:rPr>
            </w:pPr>
            <w:r w:rsidRPr="004030F6">
              <w:rPr>
                <w:rFonts w:ascii="Times New Roman" w:eastAsia="Times New Roman" w:hAnsi="Times New Roman" w:cs="Times New Roman"/>
                <w:b/>
                <w:bCs/>
                <w:sz w:val="20"/>
                <w:szCs w:val="20"/>
                <w:lang w:eastAsia="en-IN"/>
              </w:rPr>
              <w:t>Factor</w:t>
            </w:r>
          </w:p>
        </w:tc>
        <w:tc>
          <w:tcPr>
            <w:tcW w:w="0" w:type="auto"/>
            <w:hideMark/>
          </w:tcPr>
          <w:p w:rsidR="00201346" w:rsidRPr="004030F6" w:rsidRDefault="00201346" w:rsidP="004030F6">
            <w:pPr>
              <w:spacing w:line="360" w:lineRule="auto"/>
              <w:jc w:val="both"/>
              <w:rPr>
                <w:rFonts w:ascii="Times New Roman" w:eastAsia="Times New Roman" w:hAnsi="Times New Roman" w:cs="Times New Roman"/>
                <w:b/>
                <w:bCs/>
                <w:sz w:val="20"/>
                <w:szCs w:val="20"/>
                <w:lang w:eastAsia="en-IN"/>
              </w:rPr>
            </w:pPr>
            <w:r w:rsidRPr="004030F6">
              <w:rPr>
                <w:rFonts w:ascii="Times New Roman" w:eastAsia="Times New Roman" w:hAnsi="Times New Roman" w:cs="Times New Roman"/>
                <w:b/>
                <w:bCs/>
                <w:sz w:val="20"/>
                <w:szCs w:val="20"/>
                <w:lang w:eastAsia="en-IN"/>
              </w:rPr>
              <w:t>Stay ≤7 days (n=27)</w:t>
            </w:r>
          </w:p>
        </w:tc>
        <w:tc>
          <w:tcPr>
            <w:tcW w:w="0" w:type="auto"/>
            <w:hideMark/>
          </w:tcPr>
          <w:p w:rsidR="00201346" w:rsidRPr="004030F6" w:rsidRDefault="00201346" w:rsidP="004030F6">
            <w:pPr>
              <w:spacing w:line="360" w:lineRule="auto"/>
              <w:jc w:val="both"/>
              <w:rPr>
                <w:rFonts w:ascii="Times New Roman" w:eastAsia="Times New Roman" w:hAnsi="Times New Roman" w:cs="Times New Roman"/>
                <w:b/>
                <w:bCs/>
                <w:sz w:val="20"/>
                <w:szCs w:val="20"/>
                <w:lang w:eastAsia="en-IN"/>
              </w:rPr>
            </w:pPr>
            <w:r w:rsidRPr="004030F6">
              <w:rPr>
                <w:rFonts w:ascii="Times New Roman" w:eastAsia="Times New Roman" w:hAnsi="Times New Roman" w:cs="Times New Roman"/>
                <w:b/>
                <w:bCs/>
                <w:sz w:val="20"/>
                <w:szCs w:val="20"/>
                <w:lang w:eastAsia="en-IN"/>
              </w:rPr>
              <w:t>Stay &gt;7 days (n=13)</w:t>
            </w:r>
          </w:p>
        </w:tc>
        <w:tc>
          <w:tcPr>
            <w:tcW w:w="0" w:type="auto"/>
            <w:hideMark/>
          </w:tcPr>
          <w:p w:rsidR="00201346" w:rsidRPr="004030F6" w:rsidRDefault="00201346" w:rsidP="004030F6">
            <w:pPr>
              <w:spacing w:line="360" w:lineRule="auto"/>
              <w:jc w:val="both"/>
              <w:rPr>
                <w:rFonts w:ascii="Times New Roman" w:eastAsia="Times New Roman" w:hAnsi="Times New Roman" w:cs="Times New Roman"/>
                <w:b/>
                <w:bCs/>
                <w:sz w:val="20"/>
                <w:szCs w:val="20"/>
                <w:lang w:eastAsia="en-IN"/>
              </w:rPr>
            </w:pPr>
            <w:r w:rsidRPr="004030F6">
              <w:rPr>
                <w:rFonts w:ascii="Times New Roman" w:eastAsia="Times New Roman" w:hAnsi="Times New Roman" w:cs="Times New Roman"/>
                <w:b/>
                <w:bCs/>
                <w:sz w:val="20"/>
                <w:szCs w:val="20"/>
                <w:lang w:eastAsia="en-IN"/>
              </w:rPr>
              <w:t>Approx. OR (95% CI)</w:t>
            </w:r>
          </w:p>
        </w:tc>
        <w:tc>
          <w:tcPr>
            <w:tcW w:w="0" w:type="auto"/>
            <w:hideMark/>
          </w:tcPr>
          <w:p w:rsidR="00201346" w:rsidRPr="004030F6" w:rsidRDefault="00201346" w:rsidP="004030F6">
            <w:pPr>
              <w:spacing w:line="360" w:lineRule="auto"/>
              <w:jc w:val="both"/>
              <w:rPr>
                <w:rFonts w:ascii="Times New Roman" w:eastAsia="Times New Roman" w:hAnsi="Times New Roman" w:cs="Times New Roman"/>
                <w:b/>
                <w:bCs/>
                <w:sz w:val="20"/>
                <w:szCs w:val="20"/>
                <w:lang w:eastAsia="en-IN"/>
              </w:rPr>
            </w:pPr>
            <w:r w:rsidRPr="004030F6">
              <w:rPr>
                <w:rFonts w:ascii="Times New Roman" w:eastAsia="Times New Roman" w:hAnsi="Times New Roman" w:cs="Times New Roman"/>
                <w:b/>
                <w:bCs/>
                <w:sz w:val="20"/>
                <w:szCs w:val="20"/>
                <w:lang w:eastAsia="en-IN"/>
              </w:rPr>
              <w:t>p-value</w:t>
            </w:r>
          </w:p>
        </w:tc>
      </w:tr>
      <w:tr w:rsidR="00201346" w:rsidRPr="004030F6" w:rsidTr="00201346">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Oxygen supplementation</w:t>
            </w:r>
          </w:p>
        </w:tc>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7 (25.9%)</w:t>
            </w:r>
          </w:p>
        </w:tc>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10 (76.9%)</w:t>
            </w:r>
          </w:p>
        </w:tc>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9.5 (2.0–44.8)</w:t>
            </w:r>
          </w:p>
        </w:tc>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0.003*</w:t>
            </w:r>
          </w:p>
        </w:tc>
      </w:tr>
      <w:tr w:rsidR="00201346" w:rsidRPr="004030F6" w:rsidTr="00201346">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Respiratory support beyond low-flow oxygen</w:t>
            </w:r>
          </w:p>
        </w:tc>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1 (3.7%)</w:t>
            </w:r>
          </w:p>
        </w:tc>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5 (38.5%)</w:t>
            </w:r>
          </w:p>
        </w:tc>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16.3 (1.6–161.5)</w:t>
            </w:r>
          </w:p>
        </w:tc>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0.007*</w:t>
            </w:r>
          </w:p>
        </w:tc>
      </w:tr>
      <w:tr w:rsidR="00201346" w:rsidRPr="004030F6" w:rsidTr="00201346">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Antibiotic escalation/change</w:t>
            </w:r>
          </w:p>
        </w:tc>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5 (18.5%)</w:t>
            </w:r>
          </w:p>
        </w:tc>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8 (61.5%)</w:t>
            </w:r>
          </w:p>
        </w:tc>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7.0 (1.6–31.3)</w:t>
            </w:r>
          </w:p>
        </w:tc>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0.007*</w:t>
            </w:r>
          </w:p>
        </w:tc>
      </w:tr>
      <w:tr w:rsidR="00201346" w:rsidRPr="004030F6" w:rsidTr="00201346">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Pneumonia-related complication</w:t>
            </w:r>
          </w:p>
        </w:tc>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1 (3.7%)</w:t>
            </w:r>
          </w:p>
        </w:tc>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5 (38.5%)</w:t>
            </w:r>
          </w:p>
        </w:tc>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16.3 (1.6–161.5)</w:t>
            </w:r>
          </w:p>
        </w:tc>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0.007*</w:t>
            </w:r>
          </w:p>
        </w:tc>
      </w:tr>
      <w:tr w:rsidR="00201346" w:rsidRPr="004030F6" w:rsidTr="00201346">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Admission hypoxemia</w:t>
            </w:r>
          </w:p>
        </w:tc>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5 (18.5%)</w:t>
            </w:r>
          </w:p>
        </w:tc>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9 (69.2%)</w:t>
            </w:r>
          </w:p>
        </w:tc>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9.9 (2.1–46.4)</w:t>
            </w:r>
          </w:p>
        </w:tc>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0.002*</w:t>
            </w:r>
          </w:p>
        </w:tc>
      </w:tr>
      <w:tr w:rsidR="00201346" w:rsidRPr="004030F6" w:rsidTr="00201346">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Severe pneumonia</w:t>
            </w:r>
          </w:p>
        </w:tc>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6 (22.2%)</w:t>
            </w:r>
          </w:p>
        </w:tc>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10 (76.9%)</w:t>
            </w:r>
          </w:p>
        </w:tc>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11.7 (2.4–56.7)</w:t>
            </w:r>
          </w:p>
        </w:tc>
        <w:tc>
          <w:tcPr>
            <w:tcW w:w="0" w:type="auto"/>
            <w:hideMark/>
          </w:tcPr>
          <w:p w:rsidR="00201346" w:rsidRPr="004030F6" w:rsidRDefault="00201346" w:rsidP="004030F6">
            <w:pPr>
              <w:spacing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0.001*</w:t>
            </w:r>
          </w:p>
        </w:tc>
      </w:tr>
    </w:tbl>
    <w:p w:rsidR="00201346" w:rsidRPr="004030F6" w:rsidRDefault="00201346" w:rsidP="004030F6">
      <w:pPr>
        <w:spacing w:after="0"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*Statistically significant.</w:t>
      </w:r>
    </w:p>
    <w:p w:rsidR="00201346" w:rsidRPr="004030F6" w:rsidRDefault="00201346" w:rsidP="004030F6">
      <w:pPr>
        <w:spacing w:after="0"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 xml:space="preserve">On regression assessment, </w:t>
      </w:r>
      <w:r w:rsidRPr="004030F6">
        <w:rPr>
          <w:rFonts w:ascii="Times New Roman" w:eastAsia="Times New Roman" w:hAnsi="Times New Roman" w:cs="Times New Roman"/>
          <w:b/>
          <w:bCs/>
          <w:sz w:val="20"/>
          <w:szCs w:val="20"/>
          <w:lang w:eastAsia="en-IN"/>
        </w:rPr>
        <w:t>severe pneumonia, admission hypoxemia, and pneumonia-related complications</w:t>
      </w:r>
      <w:r w:rsidRPr="004030F6">
        <w:rPr>
          <w:rFonts w:ascii="Times New Roman" w:eastAsia="Times New Roman" w:hAnsi="Times New Roman" w:cs="Times New Roman"/>
          <w:sz w:val="20"/>
          <w:szCs w:val="20"/>
          <w:lang w:eastAsia="en-IN"/>
        </w:rPr>
        <w:t xml:space="preserve"> showed the strongest association with prolonged hospitalization. Because of the small sample size and wide confidence intervals, these estimates should be interpreted cautiously.</w:t>
      </w:r>
    </w:p>
    <w:p w:rsidR="00201346" w:rsidRPr="004030F6" w:rsidRDefault="00201346" w:rsidP="004030F6">
      <w:pPr>
        <w:spacing w:after="0" w:line="360" w:lineRule="auto"/>
        <w:jc w:val="both"/>
        <w:outlineLvl w:val="0"/>
        <w:rPr>
          <w:rFonts w:ascii="Times New Roman" w:eastAsia="Times New Roman" w:hAnsi="Times New Roman" w:cs="Times New Roman"/>
          <w:b/>
          <w:bCs/>
          <w:kern w:val="36"/>
          <w:sz w:val="20"/>
          <w:szCs w:val="20"/>
          <w:lang w:eastAsia="en-IN"/>
        </w:rPr>
      </w:pPr>
      <w:r w:rsidRPr="004030F6">
        <w:rPr>
          <w:rFonts w:ascii="Times New Roman" w:eastAsia="Times New Roman" w:hAnsi="Times New Roman" w:cs="Times New Roman"/>
          <w:b/>
          <w:bCs/>
          <w:kern w:val="36"/>
          <w:sz w:val="20"/>
          <w:szCs w:val="20"/>
          <w:lang w:eastAsia="en-IN"/>
        </w:rPr>
        <w:t>Discussion</w:t>
      </w:r>
    </w:p>
    <w:p w:rsidR="00201346" w:rsidRPr="004030F6" w:rsidRDefault="00201346" w:rsidP="004030F6">
      <w:pPr>
        <w:spacing w:after="0"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The present study evaluated predictors of prolonged hospitalization among 40 children admitted with community-acquired pneumonia. Approximately one-third (32.5%) required hospitalization for more than seven days. The principal factors associated with prolonged stay were severe pneumonia, hypoxemia at admission, malnutrition, delayed presentation, elevated CRP, multilobar disease, pleural complications, and requirement for respiratory support.</w:t>
      </w:r>
    </w:p>
    <w:p w:rsidR="00201346" w:rsidRPr="004030F6" w:rsidRDefault="00201346" w:rsidP="004030F6">
      <w:pPr>
        <w:spacing w:after="0"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Hypoxemia was one of the most important findings. Nearly 69% of children with prolonged stay had an admission SpO₂ below 92%, compared with 18.5% of those discharged within seven days. Oxygenation is a central component of pediatric pneumonia severity assessment. Pediatric CAP guidance emphasizes respiratory distress and hypoxemia when determining the need for inpatient and higher-level care [1,2]. WHO guidance similarly recognizes hypoxemia as an important marker of severe respiratory disease [3].</w:t>
      </w:r>
    </w:p>
    <w:p w:rsidR="00201346" w:rsidRPr="004030F6" w:rsidRDefault="00201346" w:rsidP="004030F6">
      <w:pPr>
        <w:spacing w:after="0"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The present findings are supported by studies from resource-limited settings. Ramachandran et al. observed that oxygen saturation below 90% at presentation was associated with prolonged hospitalization in children with severe pneumonia [4]. Similarly, an Indian multicentric prospective cohort demonstrated that SpO₂ &lt;92% was strongly associated with hospitalization among children with pneumonia [5]. Hypoxemia represents more extensive impairment of pulmonary gas exchange and is therefore likely to reflect greater disease burden and slower clinical recovery.</w:t>
      </w:r>
    </w:p>
    <w:p w:rsidR="00201346" w:rsidRPr="004030F6" w:rsidRDefault="00201346" w:rsidP="004030F6">
      <w:pPr>
        <w:spacing w:after="0"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Disease severity was another strong predictor. More than three-fourths of children in the prolonged-stay group had severe pneumonia compared with approximately one-fifth in the normal-stay group. This finding is biologically expected because severe disease frequently requires prolonged oxygen supplementation, intravenous treatment, closer monitoring, and respiratory support. Williams et al. demonstrated that hypoxia, increased work of breathing, and comorbidities were associated with moderate-to-severe pediatric pneumonia outcomes [6].</w:t>
      </w:r>
    </w:p>
    <w:p w:rsidR="00201346" w:rsidRPr="004030F6" w:rsidRDefault="00201346" w:rsidP="004030F6">
      <w:pPr>
        <w:spacing w:after="0"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A recent study by Alharbi et al. specifically evaluated prolonged hospitalization among children with CAP and reported that moderate-to-severe pneumonia, pneumonia-related complications, and underlying chronic conditions independently predicted prolonged hospitalization [7]. These observations closely support the pattern seen in our study. The same study found hypoxia and ventilatory support to be substantially more common among children with prolonged hospitalization, although they did not remain independent predictors in the final model [7].</w:t>
      </w:r>
    </w:p>
    <w:p w:rsidR="00201346" w:rsidRPr="004030F6" w:rsidRDefault="00201346" w:rsidP="004030F6">
      <w:pPr>
        <w:spacing w:after="0"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Malnutrition was significantly associated with prolonged stay in our population. Sixty-one percent of children with prolonged hospitalization were malnourished compared with 22.2% of children with shorter hospitalization. Malnutrition can impair innate and adaptive immunity, compromise respiratory muscle function, and delay recovery from infection. An Indian study reported strong associations between malnutrition, anemia, and hypoxia among hospitalized children with CAP [8]. In a large northern Indian cohort, severe malnutrition was also associated with hypoxic pneumonia [9]. More recent evidence from Angola has identified malnutrition as an independent risk factor for prolonged hospitalization among pediatric CAP patients [10].</w:t>
      </w:r>
    </w:p>
    <w:p w:rsidR="00201346" w:rsidRPr="004030F6" w:rsidRDefault="00201346" w:rsidP="004030F6">
      <w:pPr>
        <w:spacing w:after="0"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Delayed presentation was also significantly associated with prolonged stay. Children presenting after more than five days of symptoms may have greater inflammatory burden or already established complications. A study from Ethiopia similarly identified late presentation, wasting, anemia, and pulmonary effusion among factors predicting prolonged hospitalization in severe CAP [11]. These observations highlight the importance of early recognition and timely referral of children with worsening respiratory symptoms.</w:t>
      </w:r>
    </w:p>
    <w:p w:rsidR="00201346" w:rsidRPr="004030F6" w:rsidRDefault="00201346" w:rsidP="004030F6">
      <w:pPr>
        <w:spacing w:after="0"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Elevated CRP was significantly more frequent among children requiring prolonged hospitalization. Although CRP should not be interpreted as a stand-alone marker of bacterial etiology or severity, it can provide useful supplementary information in hospitalized children when considered alongside clinical findings. Studies in pediatric CAP have demonstrated an association between increasing CRP concentrations and longer hospital stay [12]. In our study, CRP &gt;40 mg/L was observed in 69.2% of the prolonged-stay group compared with 25.9% of the normal-stay group.</w:t>
      </w:r>
    </w:p>
    <w:p w:rsidR="00201346" w:rsidRPr="004030F6" w:rsidRDefault="00201346" w:rsidP="004030F6">
      <w:pPr>
        <w:spacing w:after="0"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Radiological extent of disease also influenced hospitalization. Multilobar or bilateral involvement was more common in children with prolonged stay, while pleural effusion or another pneumonia-related complication demonstrated an especially strong association. Complicated pneumonia frequently requires prolonged intravenous antimicrobial therapy, drainage procedures, serial imaging, and extended observation. Breuer et al. similarly demonstrated that children with complicated pneumonia can have highly variable but frequently prolonged clinical courses [13].</w:t>
      </w:r>
    </w:p>
    <w:p w:rsidR="00201346" w:rsidRPr="004030F6" w:rsidRDefault="00201346" w:rsidP="004030F6">
      <w:pPr>
        <w:spacing w:after="0"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Although anemia was more frequent among children with prolonged hospitalization, the difference did not reach statistical significance in our small sample. This may reflect inadequate statistical power rather than absence of a biological relationship. Larger studies have demonstrated relationships between anemia, malnutrition, hypoxia, and adverse pneumonia outcomes [8,11].</w:t>
      </w:r>
    </w:p>
    <w:p w:rsidR="00201346" w:rsidRPr="004030F6" w:rsidRDefault="00201346" w:rsidP="004030F6">
      <w:pPr>
        <w:spacing w:after="0"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Requirement for oxygen supplementation, respiratory support, and escalation of antibiotics was substantially greater among children with prolonged stay. These variables are partly consequences of greater disease severity rather than purely baseline predictors. Nevertheless, their early occurrence during hospitalization can identify children likely to require longer inpatient care.</w:t>
      </w:r>
    </w:p>
    <w:p w:rsidR="00201346" w:rsidRPr="004030F6" w:rsidRDefault="00201346" w:rsidP="004030F6">
      <w:pPr>
        <w:spacing w:after="0"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The findings have practical clinical relevance. Simple parameters such as pulse oximetry, nutritional assessment, feeding ability, respiratory effort, and chest radiographic complications are readily obtainable in most pediatric units. Their combined assessment can identify children who may need closer monitoring, earlier senior review, aggressive supportive care, and counseling of caregivers regarding the probable duration of hospitalization.</w:t>
      </w:r>
    </w:p>
    <w:p w:rsidR="004030F6" w:rsidRDefault="004030F6" w:rsidP="004030F6">
      <w:pPr>
        <w:spacing w:after="0" w:line="360" w:lineRule="auto"/>
        <w:jc w:val="both"/>
        <w:outlineLvl w:val="0"/>
        <w:rPr>
          <w:rFonts w:ascii="Times New Roman" w:eastAsia="Times New Roman" w:hAnsi="Times New Roman" w:cs="Times New Roman"/>
          <w:b/>
          <w:bCs/>
          <w:kern w:val="36"/>
          <w:sz w:val="20"/>
          <w:szCs w:val="20"/>
          <w:lang w:eastAsia="en-IN"/>
        </w:rPr>
      </w:pPr>
    </w:p>
    <w:p w:rsidR="004030F6" w:rsidRDefault="004030F6" w:rsidP="004030F6">
      <w:pPr>
        <w:spacing w:after="0" w:line="360" w:lineRule="auto"/>
        <w:jc w:val="both"/>
        <w:outlineLvl w:val="0"/>
        <w:rPr>
          <w:rFonts w:ascii="Times New Roman" w:eastAsia="Times New Roman" w:hAnsi="Times New Roman" w:cs="Times New Roman"/>
          <w:b/>
          <w:bCs/>
          <w:kern w:val="36"/>
          <w:sz w:val="20"/>
          <w:szCs w:val="20"/>
          <w:lang w:eastAsia="en-IN"/>
        </w:rPr>
      </w:pPr>
    </w:p>
    <w:p w:rsidR="00201346" w:rsidRPr="004030F6" w:rsidRDefault="00201346" w:rsidP="004030F6">
      <w:pPr>
        <w:spacing w:after="0" w:line="360" w:lineRule="auto"/>
        <w:jc w:val="both"/>
        <w:outlineLvl w:val="0"/>
        <w:rPr>
          <w:rFonts w:ascii="Times New Roman" w:eastAsia="Times New Roman" w:hAnsi="Times New Roman" w:cs="Times New Roman"/>
          <w:b/>
          <w:bCs/>
          <w:kern w:val="36"/>
          <w:sz w:val="20"/>
          <w:szCs w:val="20"/>
          <w:lang w:eastAsia="en-IN"/>
        </w:rPr>
      </w:pPr>
      <w:r w:rsidRPr="004030F6">
        <w:rPr>
          <w:rFonts w:ascii="Times New Roman" w:eastAsia="Times New Roman" w:hAnsi="Times New Roman" w:cs="Times New Roman"/>
          <w:b/>
          <w:bCs/>
          <w:kern w:val="36"/>
          <w:sz w:val="20"/>
          <w:szCs w:val="20"/>
          <w:lang w:eastAsia="en-IN"/>
        </w:rPr>
        <w:t>Conclusion</w:t>
      </w:r>
    </w:p>
    <w:p w:rsidR="00201346" w:rsidRPr="004030F6" w:rsidRDefault="00201346" w:rsidP="004030F6">
      <w:pPr>
        <w:spacing w:after="0" w:line="360" w:lineRule="auto"/>
        <w:jc w:val="both"/>
        <w:rPr>
          <w:rFonts w:ascii="Times New Roman" w:eastAsia="Times New Roman" w:hAnsi="Times New Roman" w:cs="Times New Roman"/>
          <w:sz w:val="20"/>
          <w:szCs w:val="20"/>
          <w:lang w:eastAsia="en-IN"/>
        </w:rPr>
      </w:pPr>
      <w:r w:rsidRPr="004030F6">
        <w:rPr>
          <w:rFonts w:ascii="Times New Roman" w:eastAsia="Times New Roman" w:hAnsi="Times New Roman" w:cs="Times New Roman"/>
          <w:sz w:val="20"/>
          <w:szCs w:val="20"/>
          <w:lang w:eastAsia="en-IN"/>
        </w:rPr>
        <w:t xml:space="preserve">Prolonged hospital stay occurred in approximately one-third of children admitted with community-acquired pneumonia in this study. </w:t>
      </w:r>
      <w:r w:rsidRPr="004030F6">
        <w:rPr>
          <w:rFonts w:ascii="Times New Roman" w:eastAsia="Times New Roman" w:hAnsi="Times New Roman" w:cs="Times New Roman"/>
          <w:bCs/>
          <w:sz w:val="20"/>
          <w:szCs w:val="20"/>
          <w:lang w:eastAsia="en-IN"/>
        </w:rPr>
        <w:t>Admission hypoxemia, severe pneumonia, malnutrition, elevated CRP, multilobar radiological involvement, pneumonia-related complications, and requirement for respiratory support</w:t>
      </w:r>
      <w:r w:rsidRPr="004030F6">
        <w:rPr>
          <w:rFonts w:ascii="Times New Roman" w:eastAsia="Times New Roman" w:hAnsi="Times New Roman" w:cs="Times New Roman"/>
          <w:sz w:val="20"/>
          <w:szCs w:val="20"/>
          <w:lang w:eastAsia="en-IN"/>
        </w:rPr>
        <w:t xml:space="preserve"> were significantly associated with prolonged hospitalization. Severe pneumonia, hypoxemia, and pulmonary complications demonstrated the strongest associations.</w:t>
      </w:r>
    </w:p>
    <w:p w:rsidR="00201346" w:rsidRPr="004030F6" w:rsidRDefault="00201346" w:rsidP="004030F6">
      <w:pPr>
        <w:spacing w:after="0" w:line="360" w:lineRule="auto"/>
        <w:jc w:val="both"/>
        <w:outlineLvl w:val="0"/>
        <w:rPr>
          <w:rFonts w:ascii="Times New Roman" w:eastAsia="Times New Roman" w:hAnsi="Times New Roman" w:cs="Times New Roman"/>
          <w:b/>
          <w:bCs/>
          <w:kern w:val="36"/>
          <w:sz w:val="20"/>
          <w:szCs w:val="20"/>
          <w:lang w:eastAsia="en-IN"/>
        </w:rPr>
      </w:pPr>
    </w:p>
    <w:p w:rsidR="00201346" w:rsidRPr="004030F6" w:rsidRDefault="00201346" w:rsidP="004030F6">
      <w:pPr>
        <w:spacing w:after="0" w:line="360" w:lineRule="auto"/>
        <w:jc w:val="both"/>
        <w:outlineLvl w:val="0"/>
        <w:rPr>
          <w:rFonts w:ascii="Times New Roman" w:eastAsia="Times New Roman" w:hAnsi="Times New Roman" w:cs="Times New Roman"/>
          <w:b/>
          <w:bCs/>
          <w:kern w:val="36"/>
          <w:sz w:val="20"/>
          <w:szCs w:val="20"/>
          <w:lang w:eastAsia="en-IN"/>
        </w:rPr>
      </w:pPr>
      <w:r w:rsidRPr="004030F6">
        <w:rPr>
          <w:rFonts w:ascii="Times New Roman" w:eastAsia="Times New Roman" w:hAnsi="Times New Roman" w:cs="Times New Roman"/>
          <w:b/>
          <w:bCs/>
          <w:kern w:val="36"/>
          <w:sz w:val="20"/>
          <w:szCs w:val="20"/>
          <w:lang w:eastAsia="en-IN"/>
        </w:rPr>
        <w:t>References</w:t>
      </w:r>
    </w:p>
    <w:p w:rsidR="00201346" w:rsidRPr="004030F6" w:rsidRDefault="00201346" w:rsidP="004030F6">
      <w:pPr>
        <w:numPr>
          <w:ilvl w:val="0"/>
          <w:numId w:val="2"/>
        </w:numPr>
        <w:spacing w:after="0" w:line="360" w:lineRule="auto"/>
        <w:jc w:val="both"/>
        <w:rPr>
          <w:rFonts w:ascii="Times New Roman" w:eastAsia="Times New Roman" w:hAnsi="Times New Roman" w:cs="Times New Roman"/>
          <w:sz w:val="18"/>
          <w:szCs w:val="18"/>
          <w:lang w:eastAsia="en-IN"/>
        </w:rPr>
      </w:pPr>
      <w:r w:rsidRPr="004030F6">
        <w:rPr>
          <w:rFonts w:ascii="Times New Roman" w:eastAsia="Times New Roman" w:hAnsi="Times New Roman" w:cs="Times New Roman"/>
          <w:sz w:val="18"/>
          <w:szCs w:val="18"/>
          <w:lang w:eastAsia="en-IN"/>
        </w:rPr>
        <w:t xml:space="preserve">Bradley JS, Byington CL, Shah SS, Alverson B, Carter ER, Harrison C, et al. The management of community-acquired pneumonia in infants and children older than 3 months of age: clinical practice guidelines by the Pediatric Infectious Diseases Society and the Infectious Diseases Society of America. </w:t>
      </w:r>
      <w:r w:rsidRPr="004030F6">
        <w:rPr>
          <w:rFonts w:ascii="Times New Roman" w:eastAsia="Times New Roman" w:hAnsi="Times New Roman" w:cs="Times New Roman"/>
          <w:bCs/>
          <w:sz w:val="18"/>
          <w:szCs w:val="18"/>
          <w:lang w:eastAsia="en-IN"/>
        </w:rPr>
        <w:t>Clin Infect Dis.</w:t>
      </w:r>
      <w:r w:rsidRPr="004030F6">
        <w:rPr>
          <w:rFonts w:ascii="Times New Roman" w:eastAsia="Times New Roman" w:hAnsi="Times New Roman" w:cs="Times New Roman"/>
          <w:sz w:val="18"/>
          <w:szCs w:val="18"/>
          <w:lang w:eastAsia="en-IN"/>
        </w:rPr>
        <w:t xml:space="preserve"> 2011;53(7):e25-e76.</w:t>
      </w:r>
    </w:p>
    <w:p w:rsidR="00201346" w:rsidRPr="004030F6" w:rsidRDefault="00201346" w:rsidP="004030F6">
      <w:pPr>
        <w:numPr>
          <w:ilvl w:val="0"/>
          <w:numId w:val="2"/>
        </w:numPr>
        <w:spacing w:after="0" w:line="360" w:lineRule="auto"/>
        <w:jc w:val="both"/>
        <w:rPr>
          <w:rFonts w:ascii="Times New Roman" w:eastAsia="Times New Roman" w:hAnsi="Times New Roman" w:cs="Times New Roman"/>
          <w:sz w:val="18"/>
          <w:szCs w:val="18"/>
          <w:lang w:eastAsia="en-IN"/>
        </w:rPr>
      </w:pPr>
      <w:r w:rsidRPr="004030F6">
        <w:rPr>
          <w:rFonts w:ascii="Times New Roman" w:eastAsia="Times New Roman" w:hAnsi="Times New Roman" w:cs="Times New Roman"/>
          <w:sz w:val="18"/>
          <w:szCs w:val="18"/>
          <w:lang w:eastAsia="en-IN"/>
        </w:rPr>
        <w:t xml:space="preserve">St Peter SD, Ampofo K, Brogan T, Cabana MD, Espinosa C, Florin TA, et al. IDSA/PIDS guidelines for the management of community-acquired pneumonia in infants and children older than 3 months of age. </w:t>
      </w:r>
      <w:r w:rsidRPr="004030F6">
        <w:rPr>
          <w:rFonts w:ascii="Times New Roman" w:eastAsia="Times New Roman" w:hAnsi="Times New Roman" w:cs="Times New Roman"/>
          <w:bCs/>
          <w:sz w:val="18"/>
          <w:szCs w:val="18"/>
          <w:lang w:eastAsia="en-IN"/>
        </w:rPr>
        <w:t>Infectious Diseases Society of America.</w:t>
      </w:r>
      <w:r w:rsidRPr="004030F6">
        <w:rPr>
          <w:rFonts w:ascii="Times New Roman" w:eastAsia="Times New Roman" w:hAnsi="Times New Roman" w:cs="Times New Roman"/>
          <w:sz w:val="18"/>
          <w:szCs w:val="18"/>
          <w:lang w:eastAsia="en-IN"/>
        </w:rPr>
        <w:t xml:space="preserve"> Updated 2026.</w:t>
      </w:r>
    </w:p>
    <w:p w:rsidR="00201346" w:rsidRPr="004030F6" w:rsidRDefault="00201346" w:rsidP="004030F6">
      <w:pPr>
        <w:numPr>
          <w:ilvl w:val="0"/>
          <w:numId w:val="2"/>
        </w:numPr>
        <w:spacing w:after="0" w:line="360" w:lineRule="auto"/>
        <w:jc w:val="both"/>
        <w:rPr>
          <w:rFonts w:ascii="Times New Roman" w:eastAsia="Times New Roman" w:hAnsi="Times New Roman" w:cs="Times New Roman"/>
          <w:sz w:val="18"/>
          <w:szCs w:val="18"/>
          <w:lang w:eastAsia="en-IN"/>
        </w:rPr>
      </w:pPr>
      <w:r w:rsidRPr="004030F6">
        <w:rPr>
          <w:rFonts w:ascii="Times New Roman" w:eastAsia="Times New Roman" w:hAnsi="Times New Roman" w:cs="Times New Roman"/>
          <w:sz w:val="18"/>
          <w:szCs w:val="18"/>
          <w:lang w:eastAsia="en-IN"/>
        </w:rPr>
        <w:t xml:space="preserve">World Health Organization. </w:t>
      </w:r>
      <w:r w:rsidRPr="004030F6">
        <w:rPr>
          <w:rFonts w:ascii="Times New Roman" w:eastAsia="Times New Roman" w:hAnsi="Times New Roman" w:cs="Times New Roman"/>
          <w:bCs/>
          <w:sz w:val="18"/>
          <w:szCs w:val="18"/>
          <w:lang w:eastAsia="en-IN"/>
        </w:rPr>
        <w:t>Guideline on management of pneumonia and diarrhoea in children up to 10 years of age.</w:t>
      </w:r>
      <w:r w:rsidRPr="004030F6">
        <w:rPr>
          <w:rFonts w:ascii="Times New Roman" w:eastAsia="Times New Roman" w:hAnsi="Times New Roman" w:cs="Times New Roman"/>
          <w:sz w:val="18"/>
          <w:szCs w:val="18"/>
          <w:lang w:eastAsia="en-IN"/>
        </w:rPr>
        <w:t xml:space="preserve"> Geneva: World Health Organization; 2024.</w:t>
      </w:r>
    </w:p>
    <w:p w:rsidR="00201346" w:rsidRPr="004030F6" w:rsidRDefault="00201346" w:rsidP="004030F6">
      <w:pPr>
        <w:numPr>
          <w:ilvl w:val="0"/>
          <w:numId w:val="2"/>
        </w:numPr>
        <w:spacing w:after="0" w:line="360" w:lineRule="auto"/>
        <w:jc w:val="both"/>
        <w:rPr>
          <w:rFonts w:ascii="Times New Roman" w:eastAsia="Times New Roman" w:hAnsi="Times New Roman" w:cs="Times New Roman"/>
          <w:sz w:val="18"/>
          <w:szCs w:val="18"/>
          <w:lang w:eastAsia="en-IN"/>
        </w:rPr>
      </w:pPr>
      <w:r w:rsidRPr="004030F6">
        <w:rPr>
          <w:rFonts w:ascii="Times New Roman" w:eastAsia="Times New Roman" w:hAnsi="Times New Roman" w:cs="Times New Roman"/>
          <w:sz w:val="18"/>
          <w:szCs w:val="18"/>
          <w:lang w:eastAsia="en-IN"/>
        </w:rPr>
        <w:t xml:space="preserve">Ramachandran P, Nedunchelian K, Vengatesan A, Suresh S. Factors determining the outcome of children hospitalized with severe pneumonia. </w:t>
      </w:r>
      <w:r w:rsidRPr="004030F6">
        <w:rPr>
          <w:rFonts w:ascii="Times New Roman" w:eastAsia="Times New Roman" w:hAnsi="Times New Roman" w:cs="Times New Roman"/>
          <w:bCs/>
          <w:sz w:val="18"/>
          <w:szCs w:val="18"/>
          <w:lang w:eastAsia="en-IN"/>
        </w:rPr>
        <w:t>Indian Pediatr.</w:t>
      </w:r>
      <w:r w:rsidRPr="004030F6">
        <w:rPr>
          <w:rFonts w:ascii="Times New Roman" w:eastAsia="Times New Roman" w:hAnsi="Times New Roman" w:cs="Times New Roman"/>
          <w:sz w:val="18"/>
          <w:szCs w:val="18"/>
          <w:lang w:eastAsia="en-IN"/>
        </w:rPr>
        <w:t xml:space="preserve"> 2006;43:393-399.</w:t>
      </w:r>
    </w:p>
    <w:p w:rsidR="00201346" w:rsidRPr="004030F6" w:rsidRDefault="00201346" w:rsidP="004030F6">
      <w:pPr>
        <w:numPr>
          <w:ilvl w:val="0"/>
          <w:numId w:val="2"/>
        </w:numPr>
        <w:spacing w:after="0" w:line="360" w:lineRule="auto"/>
        <w:jc w:val="both"/>
        <w:rPr>
          <w:rFonts w:ascii="Times New Roman" w:eastAsia="Times New Roman" w:hAnsi="Times New Roman" w:cs="Times New Roman"/>
          <w:sz w:val="18"/>
          <w:szCs w:val="18"/>
          <w:lang w:eastAsia="en-IN"/>
        </w:rPr>
      </w:pPr>
      <w:r w:rsidRPr="004030F6">
        <w:rPr>
          <w:rFonts w:ascii="Times New Roman" w:eastAsia="Times New Roman" w:hAnsi="Times New Roman" w:cs="Times New Roman"/>
          <w:sz w:val="18"/>
          <w:szCs w:val="18"/>
          <w:lang w:eastAsia="en-IN"/>
        </w:rPr>
        <w:t xml:space="preserve">Bhat JI, Charoo BA, Tramboo ZM, Ahmad SH, Rather HA, et al. Risk of hospitalization in under-five children with community-acquired pneumonia: a multicentric prospective cohort study. </w:t>
      </w:r>
      <w:r w:rsidRPr="004030F6">
        <w:rPr>
          <w:rFonts w:ascii="Times New Roman" w:eastAsia="Times New Roman" w:hAnsi="Times New Roman" w:cs="Times New Roman"/>
          <w:bCs/>
          <w:sz w:val="18"/>
          <w:szCs w:val="18"/>
          <w:lang w:eastAsia="en-IN"/>
        </w:rPr>
        <w:t>Indian J Pediatr.</w:t>
      </w:r>
      <w:r w:rsidRPr="004030F6">
        <w:rPr>
          <w:rFonts w:ascii="Times New Roman" w:eastAsia="Times New Roman" w:hAnsi="Times New Roman" w:cs="Times New Roman"/>
          <w:sz w:val="18"/>
          <w:szCs w:val="18"/>
          <w:lang w:eastAsia="en-IN"/>
        </w:rPr>
        <w:t xml:space="preserve"> 2022.</w:t>
      </w:r>
    </w:p>
    <w:p w:rsidR="00201346" w:rsidRPr="004030F6" w:rsidRDefault="00201346" w:rsidP="004030F6">
      <w:pPr>
        <w:numPr>
          <w:ilvl w:val="0"/>
          <w:numId w:val="2"/>
        </w:numPr>
        <w:spacing w:after="0" w:line="360" w:lineRule="auto"/>
        <w:jc w:val="both"/>
        <w:rPr>
          <w:rFonts w:ascii="Times New Roman" w:eastAsia="Times New Roman" w:hAnsi="Times New Roman" w:cs="Times New Roman"/>
          <w:sz w:val="18"/>
          <w:szCs w:val="18"/>
          <w:lang w:eastAsia="en-IN"/>
        </w:rPr>
      </w:pPr>
      <w:r w:rsidRPr="004030F6">
        <w:rPr>
          <w:rFonts w:ascii="Times New Roman" w:eastAsia="Times New Roman" w:hAnsi="Times New Roman" w:cs="Times New Roman"/>
          <w:sz w:val="18"/>
          <w:szCs w:val="18"/>
          <w:lang w:eastAsia="en-IN"/>
        </w:rPr>
        <w:t xml:space="preserve">Williams DJ, Zhu Y, Grijalva CG, Self WH, Harrell FE Jr, Reed C, et al. Predicting severe pneumonia outcomes in children. </w:t>
      </w:r>
      <w:r w:rsidRPr="004030F6">
        <w:rPr>
          <w:rFonts w:ascii="Times New Roman" w:eastAsia="Times New Roman" w:hAnsi="Times New Roman" w:cs="Times New Roman"/>
          <w:bCs/>
          <w:sz w:val="18"/>
          <w:szCs w:val="18"/>
          <w:lang w:eastAsia="en-IN"/>
        </w:rPr>
        <w:t>Pediatrics.</w:t>
      </w:r>
      <w:r w:rsidRPr="004030F6">
        <w:rPr>
          <w:rFonts w:ascii="Times New Roman" w:eastAsia="Times New Roman" w:hAnsi="Times New Roman" w:cs="Times New Roman"/>
          <w:sz w:val="18"/>
          <w:szCs w:val="18"/>
          <w:lang w:eastAsia="en-IN"/>
        </w:rPr>
        <w:t xml:space="preserve"> 2016;138(4):e20161019.</w:t>
      </w:r>
    </w:p>
    <w:p w:rsidR="00201346" w:rsidRPr="004030F6" w:rsidRDefault="00201346" w:rsidP="004030F6">
      <w:pPr>
        <w:numPr>
          <w:ilvl w:val="0"/>
          <w:numId w:val="2"/>
        </w:numPr>
        <w:spacing w:after="0" w:line="360" w:lineRule="auto"/>
        <w:jc w:val="both"/>
        <w:rPr>
          <w:rFonts w:ascii="Times New Roman" w:eastAsia="Times New Roman" w:hAnsi="Times New Roman" w:cs="Times New Roman"/>
          <w:sz w:val="18"/>
          <w:szCs w:val="18"/>
          <w:lang w:eastAsia="en-IN"/>
        </w:rPr>
      </w:pPr>
      <w:r w:rsidRPr="004030F6">
        <w:rPr>
          <w:rFonts w:ascii="Times New Roman" w:eastAsia="Times New Roman" w:hAnsi="Times New Roman" w:cs="Times New Roman"/>
          <w:sz w:val="18"/>
          <w:szCs w:val="18"/>
          <w:lang w:eastAsia="en-IN"/>
        </w:rPr>
        <w:t xml:space="preserve">Alharbi NS, Alsohime F, Alharthi WA, Alqarni BA, Ghawi A, Alrabiaah A. Clinical predictors of prolonged hospitalization in children with community-acquired pneumonia. </w:t>
      </w:r>
      <w:r w:rsidRPr="004030F6">
        <w:rPr>
          <w:rFonts w:ascii="Times New Roman" w:eastAsia="Times New Roman" w:hAnsi="Times New Roman" w:cs="Times New Roman"/>
          <w:bCs/>
          <w:sz w:val="18"/>
          <w:szCs w:val="18"/>
          <w:lang w:eastAsia="en-IN"/>
        </w:rPr>
        <w:t>Children (Basel).</w:t>
      </w:r>
      <w:r w:rsidRPr="004030F6">
        <w:rPr>
          <w:rFonts w:ascii="Times New Roman" w:eastAsia="Times New Roman" w:hAnsi="Times New Roman" w:cs="Times New Roman"/>
          <w:sz w:val="18"/>
          <w:szCs w:val="18"/>
          <w:lang w:eastAsia="en-IN"/>
        </w:rPr>
        <w:t xml:space="preserve"> 2026;13(2):226.</w:t>
      </w:r>
    </w:p>
    <w:p w:rsidR="00201346" w:rsidRPr="004030F6" w:rsidRDefault="00201346" w:rsidP="004030F6">
      <w:pPr>
        <w:numPr>
          <w:ilvl w:val="0"/>
          <w:numId w:val="2"/>
        </w:numPr>
        <w:spacing w:after="0" w:line="360" w:lineRule="auto"/>
        <w:jc w:val="both"/>
        <w:rPr>
          <w:rFonts w:ascii="Times New Roman" w:eastAsia="Times New Roman" w:hAnsi="Times New Roman" w:cs="Times New Roman"/>
          <w:sz w:val="18"/>
          <w:szCs w:val="18"/>
          <w:lang w:eastAsia="en-IN"/>
        </w:rPr>
      </w:pPr>
      <w:r w:rsidRPr="004030F6">
        <w:rPr>
          <w:rFonts w:ascii="Times New Roman" w:eastAsia="Times New Roman" w:hAnsi="Times New Roman" w:cs="Times New Roman"/>
          <w:sz w:val="18"/>
          <w:szCs w:val="18"/>
          <w:lang w:eastAsia="en-IN"/>
        </w:rPr>
        <w:t xml:space="preserve">Chisti MJ, Salam MA, Ashraf H, Faruque ASG, Bardhan PK, et al. Clinical risk factors of hypoxaemia in children with pneumonia and related associations with malnutrition and anemia. </w:t>
      </w:r>
      <w:r w:rsidRPr="004030F6">
        <w:rPr>
          <w:rFonts w:ascii="Times New Roman" w:eastAsia="Times New Roman" w:hAnsi="Times New Roman" w:cs="Times New Roman"/>
          <w:bCs/>
          <w:sz w:val="18"/>
          <w:szCs w:val="18"/>
          <w:lang w:eastAsia="en-IN"/>
        </w:rPr>
        <w:t>J Glob Health.</w:t>
      </w:r>
      <w:r w:rsidRPr="004030F6">
        <w:rPr>
          <w:rFonts w:ascii="Times New Roman" w:eastAsia="Times New Roman" w:hAnsi="Times New Roman" w:cs="Times New Roman"/>
          <w:sz w:val="18"/>
          <w:szCs w:val="18"/>
          <w:lang w:eastAsia="en-IN"/>
        </w:rPr>
        <w:t xml:space="preserve"> 2016.</w:t>
      </w:r>
    </w:p>
    <w:p w:rsidR="00201346" w:rsidRPr="004030F6" w:rsidRDefault="00201346" w:rsidP="004030F6">
      <w:pPr>
        <w:numPr>
          <w:ilvl w:val="0"/>
          <w:numId w:val="2"/>
        </w:numPr>
        <w:spacing w:after="0" w:line="360" w:lineRule="auto"/>
        <w:jc w:val="both"/>
        <w:rPr>
          <w:rFonts w:ascii="Times New Roman" w:eastAsia="Times New Roman" w:hAnsi="Times New Roman" w:cs="Times New Roman"/>
          <w:sz w:val="18"/>
          <w:szCs w:val="18"/>
          <w:lang w:eastAsia="en-IN"/>
        </w:rPr>
      </w:pPr>
      <w:r w:rsidRPr="004030F6">
        <w:rPr>
          <w:rFonts w:ascii="Times New Roman" w:eastAsia="Times New Roman" w:hAnsi="Times New Roman" w:cs="Times New Roman"/>
          <w:sz w:val="18"/>
          <w:szCs w:val="18"/>
          <w:lang w:eastAsia="en-IN"/>
        </w:rPr>
        <w:t xml:space="preserve">Kumar R, Kumar P, et al. Epidemiology of hypoxic community-acquired pneumonia in children under 5 years of age: an observational study in Northern India. </w:t>
      </w:r>
      <w:r w:rsidRPr="004030F6">
        <w:rPr>
          <w:rFonts w:ascii="Times New Roman" w:eastAsia="Times New Roman" w:hAnsi="Times New Roman" w:cs="Times New Roman"/>
          <w:bCs/>
          <w:sz w:val="18"/>
          <w:szCs w:val="18"/>
          <w:lang w:eastAsia="en-IN"/>
        </w:rPr>
        <w:t>Front Pediatr.</w:t>
      </w:r>
      <w:r w:rsidRPr="004030F6">
        <w:rPr>
          <w:rFonts w:ascii="Times New Roman" w:eastAsia="Times New Roman" w:hAnsi="Times New Roman" w:cs="Times New Roman"/>
          <w:sz w:val="18"/>
          <w:szCs w:val="18"/>
          <w:lang w:eastAsia="en-IN"/>
        </w:rPr>
        <w:t xml:space="preserve"> 2022;10:790109.</w:t>
      </w:r>
    </w:p>
    <w:p w:rsidR="00201346" w:rsidRPr="004030F6" w:rsidRDefault="00201346" w:rsidP="004030F6">
      <w:pPr>
        <w:numPr>
          <w:ilvl w:val="0"/>
          <w:numId w:val="2"/>
        </w:numPr>
        <w:spacing w:after="0" w:line="360" w:lineRule="auto"/>
        <w:jc w:val="both"/>
        <w:rPr>
          <w:rFonts w:ascii="Times New Roman" w:eastAsia="Times New Roman" w:hAnsi="Times New Roman" w:cs="Times New Roman"/>
          <w:sz w:val="18"/>
          <w:szCs w:val="18"/>
          <w:lang w:eastAsia="en-IN"/>
        </w:rPr>
      </w:pPr>
      <w:r w:rsidRPr="004030F6">
        <w:rPr>
          <w:rFonts w:ascii="Times New Roman" w:eastAsia="Times New Roman" w:hAnsi="Times New Roman" w:cs="Times New Roman"/>
          <w:sz w:val="18"/>
          <w:szCs w:val="18"/>
          <w:lang w:eastAsia="en-IN"/>
        </w:rPr>
        <w:t xml:space="preserve">Risk factors associated with disease severity among children hospitalised with community-acquired pneumonia in Angola. </w:t>
      </w:r>
      <w:r w:rsidRPr="004030F6">
        <w:rPr>
          <w:rFonts w:ascii="Times New Roman" w:eastAsia="Times New Roman" w:hAnsi="Times New Roman" w:cs="Times New Roman"/>
          <w:bCs/>
          <w:sz w:val="18"/>
          <w:szCs w:val="18"/>
          <w:lang w:eastAsia="en-IN"/>
        </w:rPr>
        <w:t>J Glob Health.</w:t>
      </w:r>
      <w:r w:rsidRPr="004030F6">
        <w:rPr>
          <w:rFonts w:ascii="Times New Roman" w:eastAsia="Times New Roman" w:hAnsi="Times New Roman" w:cs="Times New Roman"/>
          <w:sz w:val="18"/>
          <w:szCs w:val="18"/>
          <w:lang w:eastAsia="en-IN"/>
        </w:rPr>
        <w:t xml:space="preserve"> 2026.</w:t>
      </w:r>
    </w:p>
    <w:p w:rsidR="00201346" w:rsidRPr="004030F6" w:rsidRDefault="00201346" w:rsidP="004030F6">
      <w:pPr>
        <w:numPr>
          <w:ilvl w:val="0"/>
          <w:numId w:val="2"/>
        </w:numPr>
        <w:spacing w:after="0" w:line="360" w:lineRule="auto"/>
        <w:jc w:val="both"/>
        <w:rPr>
          <w:rFonts w:ascii="Times New Roman" w:eastAsia="Times New Roman" w:hAnsi="Times New Roman" w:cs="Times New Roman"/>
          <w:sz w:val="18"/>
          <w:szCs w:val="18"/>
          <w:lang w:eastAsia="en-IN"/>
        </w:rPr>
      </w:pPr>
      <w:r w:rsidRPr="004030F6">
        <w:rPr>
          <w:rFonts w:ascii="Times New Roman" w:eastAsia="Times New Roman" w:hAnsi="Times New Roman" w:cs="Times New Roman"/>
          <w:sz w:val="18"/>
          <w:szCs w:val="18"/>
          <w:lang w:eastAsia="en-IN"/>
        </w:rPr>
        <w:t xml:space="preserve">Predictors of prolonged hospitalization among children aged 2–59 months with severe community-acquired pneumonia in public hospitals of Benishangul-Gumuz Region, Ethiopia: a multicenter retrospective follow-up study. </w:t>
      </w:r>
      <w:r w:rsidRPr="004030F6">
        <w:rPr>
          <w:rFonts w:ascii="Times New Roman" w:eastAsia="Times New Roman" w:hAnsi="Times New Roman" w:cs="Times New Roman"/>
          <w:bCs/>
          <w:sz w:val="18"/>
          <w:szCs w:val="18"/>
          <w:lang w:eastAsia="en-IN"/>
        </w:rPr>
        <w:t>Front Pediatr.</w:t>
      </w:r>
      <w:r w:rsidRPr="004030F6">
        <w:rPr>
          <w:rFonts w:ascii="Times New Roman" w:eastAsia="Times New Roman" w:hAnsi="Times New Roman" w:cs="Times New Roman"/>
          <w:sz w:val="18"/>
          <w:szCs w:val="18"/>
          <w:lang w:eastAsia="en-IN"/>
        </w:rPr>
        <w:t xml:space="preserve"> 2023.</w:t>
      </w:r>
    </w:p>
    <w:p w:rsidR="00201346" w:rsidRPr="004030F6" w:rsidRDefault="00201346" w:rsidP="004030F6">
      <w:pPr>
        <w:numPr>
          <w:ilvl w:val="0"/>
          <w:numId w:val="2"/>
        </w:numPr>
        <w:spacing w:after="0" w:line="360" w:lineRule="auto"/>
        <w:jc w:val="both"/>
        <w:rPr>
          <w:rFonts w:ascii="Times New Roman" w:eastAsia="Times New Roman" w:hAnsi="Times New Roman" w:cs="Times New Roman"/>
          <w:sz w:val="18"/>
          <w:szCs w:val="18"/>
          <w:lang w:eastAsia="en-IN"/>
        </w:rPr>
      </w:pPr>
      <w:r w:rsidRPr="004030F6">
        <w:rPr>
          <w:rFonts w:ascii="Times New Roman" w:eastAsia="Times New Roman" w:hAnsi="Times New Roman" w:cs="Times New Roman"/>
          <w:sz w:val="18"/>
          <w:szCs w:val="18"/>
          <w:lang w:eastAsia="en-IN"/>
        </w:rPr>
        <w:t xml:space="preserve">Florin TA, Ambroggio L, Brokamp C, Zhang Y, Rattan MS, Crotty EJ, et al. Association of white blood cell count and C-reactive protein with outcomes in children hospitalized for community-acquired pneumonia. </w:t>
      </w:r>
      <w:r w:rsidRPr="004030F6">
        <w:rPr>
          <w:rFonts w:ascii="Times New Roman" w:eastAsia="Times New Roman" w:hAnsi="Times New Roman" w:cs="Times New Roman"/>
          <w:bCs/>
          <w:sz w:val="18"/>
          <w:szCs w:val="18"/>
          <w:lang w:eastAsia="en-IN"/>
        </w:rPr>
        <w:t>Pediatr Infect Dis J.</w:t>
      </w:r>
      <w:r w:rsidRPr="004030F6">
        <w:rPr>
          <w:rFonts w:ascii="Times New Roman" w:eastAsia="Times New Roman" w:hAnsi="Times New Roman" w:cs="Times New Roman"/>
          <w:sz w:val="18"/>
          <w:szCs w:val="18"/>
          <w:lang w:eastAsia="en-IN"/>
        </w:rPr>
        <w:t xml:space="preserve"> 2015;34(7):792-793.</w:t>
      </w:r>
    </w:p>
    <w:p w:rsidR="00920E86" w:rsidRPr="004030F6" w:rsidRDefault="00920E86" w:rsidP="004030F6">
      <w:pPr>
        <w:spacing w:after="0" w:line="360" w:lineRule="auto"/>
        <w:rPr>
          <w:rFonts w:ascii="Times New Roman" w:hAnsi="Times New Roman" w:cs="Times New Roman"/>
          <w:sz w:val="20"/>
          <w:szCs w:val="20"/>
        </w:rPr>
      </w:pPr>
    </w:p>
    <w:sectPr w:rsidR="00920E86" w:rsidRPr="004030F6" w:rsidSect="004030F6">
      <w:headerReference w:type="default" r:id="rId8"/>
      <w:footerReference w:type="default" r:id="rId9"/>
      <w:pgSz w:w="11906" w:h="16838"/>
      <w:pgMar w:top="1170" w:right="1440" w:bottom="1440" w:left="1440" w:header="720" w:footer="720" w:gutter="0"/>
      <w:pgNumType w:start="64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6D46" w:rsidRDefault="00C46D46" w:rsidP="00201346">
      <w:pPr>
        <w:spacing w:after="0" w:line="240" w:lineRule="auto"/>
      </w:pPr>
      <w:r>
        <w:separator/>
      </w:r>
    </w:p>
  </w:endnote>
  <w:endnote w:type="continuationSeparator" w:id="0">
    <w:p w:rsidR="00C46D46" w:rsidRDefault="00C46D46" w:rsidP="002013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1223250"/>
      <w:docPartObj>
        <w:docPartGallery w:val="Page Numbers (Bottom of Page)"/>
        <w:docPartUnique/>
      </w:docPartObj>
    </w:sdtPr>
    <w:sdtEndPr>
      <w:rPr>
        <w:noProof/>
      </w:rPr>
    </w:sdtEndPr>
    <w:sdtContent>
      <w:p w:rsidR="004030F6" w:rsidRDefault="004030F6">
        <w:pPr>
          <w:pStyle w:val="Footer"/>
          <w:jc w:val="right"/>
        </w:pPr>
        <w:r>
          <w:fldChar w:fldCharType="begin"/>
        </w:r>
        <w:r>
          <w:instrText xml:space="preserve"> PAGE   \* MERGEFORMAT </w:instrText>
        </w:r>
        <w:r>
          <w:fldChar w:fldCharType="separate"/>
        </w:r>
        <w:r w:rsidR="00C46D46">
          <w:rPr>
            <w:noProof/>
          </w:rPr>
          <w:t>645</w:t>
        </w:r>
        <w:r>
          <w:rPr>
            <w:noProof/>
          </w:rPr>
          <w:fldChar w:fldCharType="end"/>
        </w:r>
      </w:p>
    </w:sdtContent>
  </w:sdt>
  <w:p w:rsidR="004030F6" w:rsidRPr="004030F6" w:rsidRDefault="004030F6" w:rsidP="004030F6">
    <w:pPr>
      <w:widowControl w:val="0"/>
      <w:tabs>
        <w:tab w:val="center" w:pos="4680"/>
        <w:tab w:val="right" w:pos="9360"/>
      </w:tabs>
      <w:autoSpaceDE w:val="0"/>
      <w:autoSpaceDN w:val="0"/>
      <w:spacing w:after="0" w:line="240" w:lineRule="auto"/>
      <w:jc w:val="center"/>
      <w:rPr>
        <w:rFonts w:ascii="Times New Roman" w:eastAsia="Times New Roman" w:hAnsi="Times New Roman" w:cs="Times New Roman"/>
        <w:b/>
        <w:sz w:val="18"/>
        <w:szCs w:val="18"/>
        <w:lang w:val="en-US" w:bidi="en-US"/>
      </w:rPr>
    </w:pPr>
    <w:r w:rsidRPr="004030F6">
      <w:rPr>
        <w:rFonts w:ascii="Times New Roman" w:eastAsia="Times New Roman" w:hAnsi="Times New Roman" w:cs="Times New Roman"/>
        <w:sz w:val="18"/>
        <w:szCs w:val="18"/>
        <w:lang w:val="en-US" w:bidi="en-US"/>
      </w:rPr>
      <w:t>www.ijbamr.com   P ISSN: 2250-284X , E ISSN : 2250-2858</w:t>
    </w:r>
  </w:p>
  <w:p w:rsidR="00201346" w:rsidRDefault="002013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6D46" w:rsidRDefault="00C46D46" w:rsidP="00201346">
      <w:pPr>
        <w:spacing w:after="0" w:line="240" w:lineRule="auto"/>
      </w:pPr>
      <w:r>
        <w:separator/>
      </w:r>
    </w:p>
  </w:footnote>
  <w:footnote w:type="continuationSeparator" w:id="0">
    <w:p w:rsidR="00C46D46" w:rsidRDefault="00C46D46" w:rsidP="002013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346" w:rsidRPr="004030F6" w:rsidRDefault="004030F6" w:rsidP="004030F6">
    <w:pPr>
      <w:widowControl w:val="0"/>
      <w:tabs>
        <w:tab w:val="left" w:pos="496"/>
        <w:tab w:val="center" w:pos="4680"/>
        <w:tab w:val="right" w:pos="9360"/>
      </w:tabs>
      <w:autoSpaceDE w:val="0"/>
      <w:autoSpaceDN w:val="0"/>
      <w:spacing w:after="0" w:line="240" w:lineRule="auto"/>
      <w:ind w:left="-283"/>
      <w:jc w:val="center"/>
      <w:rPr>
        <w:rFonts w:ascii="Cambria" w:eastAsia="Times New Roman" w:hAnsi="Cambria" w:cs="Times New Roman"/>
        <w:b/>
        <w:sz w:val="20"/>
        <w:lang w:val="en-US" w:bidi="en-US"/>
      </w:rPr>
    </w:pPr>
    <w:r w:rsidRPr="004030F6">
      <w:rPr>
        <w:rFonts w:ascii="Cambria" w:eastAsia="Cambria" w:hAnsi="Cambria" w:cs="Times New Roman"/>
        <w:sz w:val="20"/>
        <w:lang w:val="en-US" w:bidi="en-US"/>
      </w:rPr>
      <w:t>Indian Journal of Basic and Applied Medical Research; December 2018: Vol.-8, Issue- 1, P.6</w:t>
    </w:r>
    <w:r>
      <w:rPr>
        <w:rFonts w:ascii="Cambria" w:eastAsia="Cambria" w:hAnsi="Cambria" w:cs="Times New Roman"/>
        <w:sz w:val="20"/>
        <w:lang w:val="en-US" w:bidi="en-US"/>
      </w:rPr>
      <w:t>45-650</w:t>
    </w:r>
  </w:p>
  <w:p w:rsidR="00201346" w:rsidRDefault="002013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C189F"/>
    <w:multiLevelType w:val="multilevel"/>
    <w:tmpl w:val="99B0A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CD23B7F"/>
    <w:multiLevelType w:val="multilevel"/>
    <w:tmpl w:val="7B701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346"/>
    <w:rsid w:val="001D3A87"/>
    <w:rsid w:val="00201346"/>
    <w:rsid w:val="003C43ED"/>
    <w:rsid w:val="004030F6"/>
    <w:rsid w:val="00596F19"/>
    <w:rsid w:val="00920E86"/>
    <w:rsid w:val="00C46D4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3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346"/>
  </w:style>
  <w:style w:type="paragraph" w:styleId="Footer">
    <w:name w:val="footer"/>
    <w:basedOn w:val="Normal"/>
    <w:link w:val="FooterChar"/>
    <w:uiPriority w:val="99"/>
    <w:unhideWhenUsed/>
    <w:rsid w:val="002013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346"/>
  </w:style>
  <w:style w:type="paragraph" w:styleId="BalloonText">
    <w:name w:val="Balloon Text"/>
    <w:basedOn w:val="Normal"/>
    <w:link w:val="BalloonTextChar"/>
    <w:uiPriority w:val="99"/>
    <w:semiHidden/>
    <w:unhideWhenUsed/>
    <w:rsid w:val="002013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1346"/>
    <w:rPr>
      <w:rFonts w:ascii="Tahoma" w:hAnsi="Tahoma" w:cs="Tahoma"/>
      <w:sz w:val="16"/>
      <w:szCs w:val="16"/>
    </w:rPr>
  </w:style>
  <w:style w:type="table" w:styleId="TableGrid">
    <w:name w:val="Table Grid"/>
    <w:basedOn w:val="TableNormal"/>
    <w:uiPriority w:val="59"/>
    <w:rsid w:val="002013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3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346"/>
  </w:style>
  <w:style w:type="paragraph" w:styleId="Footer">
    <w:name w:val="footer"/>
    <w:basedOn w:val="Normal"/>
    <w:link w:val="FooterChar"/>
    <w:uiPriority w:val="99"/>
    <w:unhideWhenUsed/>
    <w:rsid w:val="002013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346"/>
  </w:style>
  <w:style w:type="paragraph" w:styleId="BalloonText">
    <w:name w:val="Balloon Text"/>
    <w:basedOn w:val="Normal"/>
    <w:link w:val="BalloonTextChar"/>
    <w:uiPriority w:val="99"/>
    <w:semiHidden/>
    <w:unhideWhenUsed/>
    <w:rsid w:val="002013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1346"/>
    <w:rPr>
      <w:rFonts w:ascii="Tahoma" w:hAnsi="Tahoma" w:cs="Tahoma"/>
      <w:sz w:val="16"/>
      <w:szCs w:val="16"/>
    </w:rPr>
  </w:style>
  <w:style w:type="table" w:styleId="TableGrid">
    <w:name w:val="Table Grid"/>
    <w:basedOn w:val="TableNormal"/>
    <w:uiPriority w:val="59"/>
    <w:rsid w:val="002013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5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2829</Words>
  <Characters>16127</Characters>
  <Application>Microsoft Office Word</Application>
  <DocSecurity>0</DocSecurity>
  <Lines>134</Lines>
  <Paragraphs>37</Paragraphs>
  <ScaleCrop>false</ScaleCrop>
  <HeadingPairs>
    <vt:vector size="4" baseType="variant">
      <vt:variant>
        <vt:lpstr>Title</vt:lpstr>
      </vt:variant>
      <vt:variant>
        <vt:i4>1</vt:i4>
      </vt:variant>
      <vt:variant>
        <vt:lpstr>Headings</vt:lpstr>
      </vt:variant>
      <vt:variant>
        <vt:i4>31</vt:i4>
      </vt:variant>
    </vt:vector>
  </HeadingPairs>
  <TitlesOfParts>
    <vt:vector size="32" baseType="lpstr">
      <vt:lpstr/>
      <vt:lpstr>Original article </vt:lpstr>
      <vt:lpstr>Predictors of Prolonged Hospital Stay in Children Admitted with Community-Acquir</vt:lpstr>
      <vt:lpstr>    Dr. Raghuraj J. Rathod*</vt:lpstr>
      <vt:lpstr>    </vt:lpstr>
      <vt:lpstr>    Assistant Professor, Department of Paediatrics, Index Medical College, Hospital </vt:lpstr>
      <vt:lpstr>    Corresponding author*</vt:lpstr>
      <vt:lpstr>    Date of final acceptance – 04 September 2018, Date of publication- 18 December 2</vt:lpstr>
      <vt:lpstr>    </vt:lpstr>
      <vt:lpstr>    Abstract</vt:lpstr>
      <vt:lpstr>Introduction</vt:lpstr>
      <vt:lpstr>Materials and Methods</vt:lpstr>
      <vt:lpstr>    Inclusion Criteria</vt:lpstr>
      <vt:lpstr>    Exclusion Criteria</vt:lpstr>
      <vt:lpstr/>
      <vt:lpstr>Results</vt:lpstr>
      <vt:lpstr>    </vt:lpstr>
      <vt:lpstr>    Table 1. Baseline Characteristics of the Study Population</vt:lpstr>
      <vt:lpstr>    </vt:lpstr>
      <vt:lpstr>    Table 2. Clinical, Laboratory and Radiological Factors Associated with Prolonged</vt:lpstr>
      <vt:lpstr>    </vt:lpstr>
      <vt:lpstr>    </vt:lpstr>
      <vt:lpstr>    </vt:lpstr>
      <vt:lpstr>    </vt:lpstr>
      <vt:lpstr>    </vt:lpstr>
      <vt:lpstr>    Table 3. Treatment Factors and Predictors of Prolonged Hospitalization</vt:lpstr>
      <vt:lpstr>Discussion</vt:lpstr>
      <vt:lpstr/>
      <vt:lpstr/>
      <vt:lpstr>Conclusion</vt:lpstr>
      <vt:lpstr/>
      <vt:lpstr>References</vt:lpstr>
    </vt:vector>
  </TitlesOfParts>
  <Company>HP</Company>
  <LinksUpToDate>false</LinksUpToDate>
  <CharactersWithSpaces>18919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RDRL</dc:creator>
  <cp:lastModifiedBy>RDRL</cp:lastModifiedBy>
  <cp:revision>5</cp:revision>
  <cp:lastPrinted>2026-08-25T06:10:00Z</cp:lastPrinted>
  <dcterms:created xsi:type="dcterms:W3CDTF">2026-08-21T10:10:00Z</dcterms:created>
  <dcterms:modified xsi:type="dcterms:W3CDTF">2026-08-25T06:10:00Z</dcterms:modified>
</cp:coreProperties>
</file>