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4E5D6" w14:textId="77777777" w:rsidR="00851CA7" w:rsidRPr="00851CA7" w:rsidRDefault="00851CA7" w:rsidP="00851CA7">
      <w:pPr>
        <w:spacing w:line="360" w:lineRule="auto"/>
        <w:rPr>
          <w:rFonts w:ascii="Cambria" w:eastAsia="Calibri" w:hAnsi="Cambria"/>
          <w:b/>
          <w:i/>
          <w:iCs/>
          <w:sz w:val="20"/>
          <w:szCs w:val="20"/>
          <w:lang w:eastAsia="en-US"/>
        </w:rPr>
      </w:pPr>
      <w:r w:rsidRPr="00851CA7">
        <w:rPr>
          <w:rFonts w:ascii="Cambria" w:eastAsia="Calibri" w:hAnsi="Cambria"/>
          <w:b/>
          <w:i/>
          <w:iCs/>
          <w:sz w:val="20"/>
          <w:szCs w:val="20"/>
          <w:highlight w:val="lightGray"/>
          <w:lang w:eastAsia="en-US"/>
        </w:rPr>
        <w:t>Original article</w:t>
      </w:r>
    </w:p>
    <w:p w14:paraId="0D1F17E1" w14:textId="77777777" w:rsidR="00A86074" w:rsidRPr="00851CA7" w:rsidRDefault="00370030" w:rsidP="00851CA7">
      <w:pPr>
        <w:spacing w:line="360" w:lineRule="auto"/>
        <w:rPr>
          <w:rFonts w:ascii="Cambria" w:hAnsi="Cambria"/>
          <w:i/>
          <w:iCs/>
          <w:color w:val="48599F"/>
          <w:sz w:val="28"/>
          <w:szCs w:val="28"/>
        </w:rPr>
      </w:pPr>
      <w:r w:rsidRPr="00851CA7">
        <w:rPr>
          <w:rFonts w:ascii="Cambria" w:eastAsia="Arial" w:hAnsi="Cambria"/>
          <w:b/>
          <w:bCs/>
          <w:i/>
          <w:iCs/>
          <w:color w:val="48599F"/>
          <w:sz w:val="28"/>
          <w:szCs w:val="28"/>
        </w:rPr>
        <w:t>Agreement Between Automated Red Cell Indices and Peripheral Blood Smear Morphology in the Classification of Anaemia in Adults</w:t>
      </w:r>
    </w:p>
    <w:p w14:paraId="26834462" w14:textId="3D0495FC" w:rsidR="00851CA7" w:rsidRPr="00851CA7" w:rsidRDefault="00851CA7" w:rsidP="00851CA7">
      <w:pPr>
        <w:spacing w:line="360" w:lineRule="auto"/>
        <w:rPr>
          <w:rFonts w:ascii="Cambria" w:hAnsi="Cambria"/>
          <w:b/>
          <w:bCs/>
          <w:i/>
          <w:iCs/>
          <w:color w:val="000000"/>
          <w:sz w:val="20"/>
          <w:szCs w:val="20"/>
        </w:rPr>
      </w:pPr>
      <w:r w:rsidRPr="00851CA7">
        <w:rPr>
          <w:rFonts w:ascii="Cambria" w:hAnsi="Cambria"/>
          <w:b/>
          <w:bCs/>
          <w:i/>
          <w:iCs/>
          <w:color w:val="000000"/>
          <w:sz w:val="20"/>
          <w:szCs w:val="20"/>
        </w:rPr>
        <w:t>*</w:t>
      </w:r>
      <w:r w:rsidR="00D1463F" w:rsidRPr="00851CA7">
        <w:rPr>
          <w:rFonts w:ascii="Cambria" w:hAnsi="Cambria"/>
          <w:b/>
          <w:bCs/>
          <w:i/>
          <w:iCs/>
          <w:color w:val="000000"/>
          <w:sz w:val="20"/>
          <w:szCs w:val="20"/>
        </w:rPr>
        <w:t>Vivek Tukaram Bonde</w:t>
      </w:r>
      <w:r w:rsidR="00370030" w:rsidRPr="00851CA7">
        <w:rPr>
          <w:rFonts w:ascii="Cambria" w:hAnsi="Cambria"/>
          <w:b/>
          <w:bCs/>
          <w:i/>
          <w:iCs/>
          <w:color w:val="000000"/>
          <w:sz w:val="20"/>
          <w:szCs w:val="20"/>
        </w:rPr>
        <w:t>¹</w:t>
      </w:r>
    </w:p>
    <w:p w14:paraId="0111B514" w14:textId="77777777" w:rsidR="00851CA7" w:rsidRDefault="00851CA7" w:rsidP="00851CA7">
      <w:pPr>
        <w:spacing w:line="360" w:lineRule="auto"/>
        <w:rPr>
          <w:rFonts w:ascii="Cambria" w:hAnsi="Cambria"/>
          <w:i/>
          <w:iCs/>
          <w:color w:val="000000"/>
          <w:sz w:val="20"/>
          <w:szCs w:val="20"/>
        </w:rPr>
      </w:pPr>
    </w:p>
    <w:p w14:paraId="7CE3DBB7" w14:textId="2B955DED" w:rsidR="00A86074" w:rsidRDefault="00370030" w:rsidP="00851CA7">
      <w:pPr>
        <w:spacing w:line="360" w:lineRule="auto"/>
        <w:rPr>
          <w:rFonts w:ascii="Cambria" w:hAnsi="Cambria"/>
          <w:i/>
          <w:iCs/>
          <w:color w:val="000000"/>
          <w:sz w:val="20"/>
          <w:szCs w:val="20"/>
        </w:rPr>
      </w:pPr>
      <w:r w:rsidRPr="00851CA7">
        <w:rPr>
          <w:rFonts w:ascii="Cambria" w:hAnsi="Cambria"/>
          <w:i/>
          <w:iCs/>
          <w:color w:val="000000"/>
          <w:sz w:val="20"/>
          <w:szCs w:val="20"/>
        </w:rPr>
        <w:t xml:space="preserve"> </w:t>
      </w:r>
      <w:r w:rsidR="00D1463F" w:rsidRPr="00851CA7">
        <w:rPr>
          <w:rFonts w:ascii="Cambria" w:hAnsi="Cambria"/>
          <w:i/>
          <w:iCs/>
          <w:color w:val="000000"/>
          <w:sz w:val="20"/>
          <w:szCs w:val="20"/>
        </w:rPr>
        <w:t xml:space="preserve">Assistant </w:t>
      </w:r>
      <w:r w:rsidR="00851CA7" w:rsidRPr="00851CA7">
        <w:rPr>
          <w:rFonts w:ascii="Cambria" w:hAnsi="Cambria"/>
          <w:i/>
          <w:iCs/>
          <w:color w:val="000000"/>
          <w:sz w:val="20"/>
          <w:szCs w:val="20"/>
        </w:rPr>
        <w:t>Professor, Department</w:t>
      </w:r>
      <w:r w:rsidRPr="00851CA7">
        <w:rPr>
          <w:rFonts w:ascii="Cambria" w:hAnsi="Cambria"/>
          <w:i/>
          <w:iCs/>
          <w:color w:val="000000"/>
          <w:sz w:val="20"/>
          <w:szCs w:val="20"/>
        </w:rPr>
        <w:t xml:space="preserve"> of </w:t>
      </w:r>
      <w:r w:rsidR="00851CA7" w:rsidRPr="00851CA7">
        <w:rPr>
          <w:rFonts w:ascii="Cambria" w:hAnsi="Cambria"/>
          <w:i/>
          <w:iCs/>
          <w:color w:val="000000"/>
          <w:sz w:val="20"/>
          <w:szCs w:val="20"/>
        </w:rPr>
        <w:t>Pathology, IQ</w:t>
      </w:r>
      <w:r w:rsidR="00D1463F" w:rsidRPr="00851CA7">
        <w:rPr>
          <w:rFonts w:ascii="Cambria" w:hAnsi="Cambria"/>
          <w:i/>
          <w:iCs/>
          <w:color w:val="000000"/>
          <w:sz w:val="20"/>
          <w:szCs w:val="20"/>
        </w:rPr>
        <w:t xml:space="preserve"> City Medical </w:t>
      </w:r>
      <w:r w:rsidR="00851CA7" w:rsidRPr="00851CA7">
        <w:rPr>
          <w:rFonts w:ascii="Cambria" w:hAnsi="Cambria"/>
          <w:i/>
          <w:iCs/>
          <w:color w:val="000000"/>
          <w:sz w:val="20"/>
          <w:szCs w:val="20"/>
        </w:rPr>
        <w:t>College, Durgapur</w:t>
      </w:r>
    </w:p>
    <w:p w14:paraId="5F60DCBD" w14:textId="73FABB76" w:rsidR="00A86074" w:rsidRDefault="00851CA7" w:rsidP="00851CA7">
      <w:pPr>
        <w:spacing w:line="360" w:lineRule="auto"/>
        <w:rPr>
          <w:rFonts w:ascii="Cambria" w:hAnsi="Cambria"/>
          <w:i/>
          <w:iCs/>
          <w:color w:val="000000"/>
          <w:sz w:val="20"/>
          <w:szCs w:val="20"/>
        </w:rPr>
      </w:pPr>
      <w:r>
        <w:rPr>
          <w:rFonts w:ascii="Cambria" w:hAnsi="Cambria"/>
          <w:i/>
          <w:iCs/>
          <w:color w:val="000000"/>
          <w:sz w:val="20"/>
          <w:szCs w:val="20"/>
        </w:rPr>
        <w:t>Corresponding author*</w:t>
      </w:r>
    </w:p>
    <w:p w14:paraId="3265FDF2" w14:textId="77777777" w:rsidR="00851CA7" w:rsidRPr="00851CA7" w:rsidRDefault="00851CA7" w:rsidP="00851CA7">
      <w:pPr>
        <w:spacing w:line="360" w:lineRule="auto"/>
        <w:rPr>
          <w:rFonts w:ascii="Cambria" w:hAnsi="Cambria"/>
          <w:i/>
          <w:iCs/>
          <w:color w:val="000000"/>
          <w:sz w:val="20"/>
          <w:szCs w:val="20"/>
        </w:rPr>
      </w:pPr>
    </w:p>
    <w:tbl>
      <w:tblPr>
        <w:tblW w:w="9412" w:type="dxa"/>
        <w:tblBorders>
          <w:bottom w:val="single" w:sz="4" w:space="0" w:color="auto"/>
        </w:tblBorders>
        <w:tblCellMar>
          <w:left w:w="10" w:type="dxa"/>
          <w:right w:w="10" w:type="dxa"/>
        </w:tblCellMar>
        <w:tblLook w:val="04A0" w:firstRow="1" w:lastRow="0" w:firstColumn="1" w:lastColumn="0" w:noHBand="0" w:noVBand="1"/>
      </w:tblPr>
      <w:tblGrid>
        <w:gridCol w:w="9412"/>
      </w:tblGrid>
      <w:tr w:rsidR="00A86074" w:rsidRPr="00851CA7" w14:paraId="3438D4D5" w14:textId="77777777" w:rsidTr="0078537B">
        <w:tc>
          <w:tcPr>
            <w:tcW w:w="9412" w:type="dxa"/>
            <w:tcMar>
              <w:top w:w="110" w:type="dxa"/>
              <w:left w:w="160" w:type="dxa"/>
              <w:bottom w:w="110" w:type="dxa"/>
              <w:right w:w="160" w:type="dxa"/>
            </w:tcMar>
          </w:tcPr>
          <w:p w14:paraId="22011F65" w14:textId="77777777" w:rsidR="00A86074" w:rsidRPr="00851CA7" w:rsidRDefault="00370030" w:rsidP="00851CA7">
            <w:pPr>
              <w:spacing w:line="360" w:lineRule="auto"/>
              <w:rPr>
                <w:rFonts w:ascii="Cambria" w:hAnsi="Cambria"/>
                <w:i/>
                <w:iCs/>
                <w:sz w:val="20"/>
                <w:szCs w:val="20"/>
              </w:rPr>
            </w:pPr>
            <w:r w:rsidRPr="00851CA7">
              <w:rPr>
                <w:rFonts w:ascii="Cambria" w:eastAsia="Arial" w:hAnsi="Cambria"/>
                <w:b/>
                <w:bCs/>
                <w:i/>
                <w:iCs/>
                <w:color w:val="000000"/>
                <w:sz w:val="20"/>
                <w:szCs w:val="20"/>
              </w:rPr>
              <w:t>ABSTRACT</w:t>
            </w:r>
          </w:p>
          <w:p w14:paraId="201E2C47" w14:textId="77777777" w:rsidR="00A86074" w:rsidRPr="00851CA7" w:rsidRDefault="00370030" w:rsidP="00851CA7">
            <w:pPr>
              <w:spacing w:line="360" w:lineRule="auto"/>
              <w:jc w:val="both"/>
              <w:rPr>
                <w:rFonts w:ascii="Cambria" w:hAnsi="Cambria"/>
                <w:i/>
                <w:iCs/>
                <w:sz w:val="20"/>
                <w:szCs w:val="20"/>
              </w:rPr>
            </w:pPr>
            <w:r w:rsidRPr="00851CA7">
              <w:rPr>
                <w:rFonts w:ascii="Cambria" w:eastAsia="Arial" w:hAnsi="Cambria"/>
                <w:b/>
                <w:bCs/>
                <w:i/>
                <w:iCs/>
                <w:color w:val="000000"/>
                <w:sz w:val="20"/>
                <w:szCs w:val="20"/>
              </w:rPr>
              <w:t xml:space="preserve">Background: </w:t>
            </w:r>
            <w:r w:rsidRPr="00851CA7">
              <w:rPr>
                <w:rFonts w:ascii="Cambria" w:hAnsi="Cambria"/>
                <w:i/>
                <w:iCs/>
                <w:color w:val="000000"/>
                <w:sz w:val="20"/>
                <w:szCs w:val="20"/>
              </w:rPr>
              <w:t>Anaemia is classified in routine practice by automated red cell indices, while the peripheral blood smear remains the reference for red cell morphology. How closely the two agree determines when smear review can be safely limited.</w:t>
            </w:r>
          </w:p>
          <w:p w14:paraId="40955751" w14:textId="77777777" w:rsidR="00A86074" w:rsidRPr="00851CA7" w:rsidRDefault="00370030" w:rsidP="00851CA7">
            <w:pPr>
              <w:spacing w:line="360" w:lineRule="auto"/>
              <w:jc w:val="both"/>
              <w:rPr>
                <w:rFonts w:ascii="Cambria" w:hAnsi="Cambria"/>
                <w:i/>
                <w:iCs/>
                <w:sz w:val="20"/>
                <w:szCs w:val="20"/>
              </w:rPr>
            </w:pPr>
            <w:r w:rsidRPr="00851CA7">
              <w:rPr>
                <w:rFonts w:ascii="Cambria" w:eastAsia="Arial" w:hAnsi="Cambria"/>
                <w:b/>
                <w:bCs/>
                <w:i/>
                <w:iCs/>
                <w:color w:val="000000"/>
                <w:sz w:val="20"/>
                <w:szCs w:val="20"/>
              </w:rPr>
              <w:t xml:space="preserve">Objectives: </w:t>
            </w:r>
            <w:r w:rsidRPr="00851CA7">
              <w:rPr>
                <w:rFonts w:ascii="Cambria" w:hAnsi="Cambria"/>
                <w:i/>
                <w:iCs/>
                <w:color w:val="000000"/>
                <w:sz w:val="20"/>
                <w:szCs w:val="20"/>
              </w:rPr>
              <w:t>To describe the morphological types of anaemia in adults and to measure agreement between classification by mean corpuscular volume (MCV) and classification by peripheral smear examination.</w:t>
            </w:r>
          </w:p>
          <w:p w14:paraId="3C4388C1" w14:textId="5F451C93" w:rsidR="00A86074" w:rsidRPr="00851CA7" w:rsidRDefault="00370030" w:rsidP="00851CA7">
            <w:pPr>
              <w:spacing w:line="360" w:lineRule="auto"/>
              <w:jc w:val="both"/>
              <w:rPr>
                <w:rFonts w:ascii="Cambria" w:hAnsi="Cambria"/>
                <w:i/>
                <w:iCs/>
                <w:sz w:val="20"/>
                <w:szCs w:val="20"/>
              </w:rPr>
            </w:pPr>
            <w:r w:rsidRPr="00851CA7">
              <w:rPr>
                <w:rFonts w:ascii="Cambria" w:eastAsia="Arial" w:hAnsi="Cambria"/>
                <w:b/>
                <w:bCs/>
                <w:i/>
                <w:iCs/>
                <w:color w:val="000000"/>
                <w:sz w:val="20"/>
                <w:szCs w:val="20"/>
              </w:rPr>
              <w:t xml:space="preserve">Materials and Methods: </w:t>
            </w:r>
            <w:r w:rsidRPr="00851CA7">
              <w:rPr>
                <w:rFonts w:ascii="Cambria" w:hAnsi="Cambria"/>
                <w:i/>
                <w:iCs/>
                <w:color w:val="000000"/>
                <w:sz w:val="20"/>
                <w:szCs w:val="20"/>
              </w:rPr>
              <w:t>This</w:t>
            </w:r>
            <w:r w:rsidR="00851CA7">
              <w:rPr>
                <w:rFonts w:ascii="Cambria" w:hAnsi="Cambria"/>
                <w:i/>
                <w:iCs/>
                <w:color w:val="000000"/>
                <w:sz w:val="20"/>
                <w:szCs w:val="20"/>
              </w:rPr>
              <w:t xml:space="preserve"> </w:t>
            </w:r>
            <w:r w:rsidRPr="00851CA7">
              <w:rPr>
                <w:rFonts w:ascii="Cambria" w:hAnsi="Cambria"/>
                <w:i/>
                <w:iCs/>
                <w:color w:val="000000"/>
                <w:sz w:val="20"/>
                <w:szCs w:val="20"/>
              </w:rPr>
              <w:t xml:space="preserve">cross-sectional analysis uses a simulated dataset of 240 adults with haemoglobin below World Health Organization thresholds. Smears stained by the Leishman method were classified as microcytic hypochromic, normocytic normochromic, macrocytic or dimorphic, and compared with MCV-based classes (&lt;80, 80–100, &gt;100 </w:t>
            </w:r>
            <w:proofErr w:type="spellStart"/>
            <w:r w:rsidRPr="00851CA7">
              <w:rPr>
                <w:rFonts w:ascii="Cambria" w:hAnsi="Cambria"/>
                <w:i/>
                <w:iCs/>
                <w:color w:val="000000"/>
                <w:sz w:val="20"/>
                <w:szCs w:val="20"/>
              </w:rPr>
              <w:t>fL</w:t>
            </w:r>
            <w:proofErr w:type="spellEnd"/>
            <w:r w:rsidRPr="00851CA7">
              <w:rPr>
                <w:rFonts w:ascii="Cambria" w:hAnsi="Cambria"/>
                <w:i/>
                <w:iCs/>
                <w:color w:val="000000"/>
                <w:sz w:val="20"/>
                <w:szCs w:val="20"/>
              </w:rPr>
              <w:t>). Agreement was assessed with Cohen's kappa.</w:t>
            </w:r>
          </w:p>
          <w:p w14:paraId="05E23526" w14:textId="77777777" w:rsidR="00A86074" w:rsidRPr="00851CA7" w:rsidRDefault="00370030" w:rsidP="00851CA7">
            <w:pPr>
              <w:spacing w:line="360" w:lineRule="auto"/>
              <w:jc w:val="both"/>
              <w:rPr>
                <w:rFonts w:ascii="Cambria" w:hAnsi="Cambria"/>
                <w:i/>
                <w:iCs/>
                <w:sz w:val="20"/>
                <w:szCs w:val="20"/>
              </w:rPr>
            </w:pPr>
            <w:r w:rsidRPr="00851CA7">
              <w:rPr>
                <w:rFonts w:ascii="Cambria" w:eastAsia="Arial" w:hAnsi="Cambria"/>
                <w:b/>
                <w:bCs/>
                <w:i/>
                <w:iCs/>
                <w:color w:val="000000"/>
                <w:sz w:val="20"/>
                <w:szCs w:val="20"/>
              </w:rPr>
              <w:t xml:space="preserve">Results: </w:t>
            </w:r>
            <w:r w:rsidRPr="00851CA7">
              <w:rPr>
                <w:rFonts w:ascii="Cambria" w:hAnsi="Cambria"/>
                <w:i/>
                <w:iCs/>
                <w:color w:val="000000"/>
                <w:sz w:val="20"/>
                <w:szCs w:val="20"/>
              </w:rPr>
              <w:t>Women formed 63.3% of the cohort; mean age was 41.8 ± 14.3 years. Microcytic hypochromic anaemia was most frequent (49.2%), followed by normocytic normochromic (30.0%), dimorphic (11.7%) and macrocytic (9.2%) pictures. For the three monomorphic types, MCV and smear agreed in 194 of 212 cases (91.5%; κ = 0.85, 95% CI 0.78–0.92). Of 28 dimorphic smears, 22 had a normal MCV, whereas all 28 had an RDW-CV above 15%.</w:t>
            </w:r>
          </w:p>
          <w:p w14:paraId="521DAEE5" w14:textId="77777777" w:rsidR="00A86074" w:rsidRPr="00851CA7" w:rsidRDefault="00370030" w:rsidP="00851CA7">
            <w:pPr>
              <w:spacing w:line="360" w:lineRule="auto"/>
              <w:jc w:val="both"/>
              <w:rPr>
                <w:rFonts w:ascii="Cambria" w:hAnsi="Cambria"/>
                <w:i/>
                <w:iCs/>
                <w:sz w:val="20"/>
                <w:szCs w:val="20"/>
              </w:rPr>
            </w:pPr>
            <w:r w:rsidRPr="00851CA7">
              <w:rPr>
                <w:rFonts w:ascii="Cambria" w:eastAsia="Arial" w:hAnsi="Cambria"/>
                <w:b/>
                <w:bCs/>
                <w:i/>
                <w:iCs/>
                <w:color w:val="000000"/>
                <w:sz w:val="20"/>
                <w:szCs w:val="20"/>
              </w:rPr>
              <w:t xml:space="preserve">Conclusion: </w:t>
            </w:r>
            <w:r w:rsidRPr="00851CA7">
              <w:rPr>
                <w:rFonts w:ascii="Cambria" w:hAnsi="Cambria"/>
                <w:i/>
                <w:iCs/>
                <w:color w:val="000000"/>
                <w:sz w:val="20"/>
                <w:szCs w:val="20"/>
              </w:rPr>
              <w:t>In this simulated analysis, MCV agreed closely with smear morphology for monomorphic anaemia but could not identify dimorphic blood pictures. A raised RDW with a normal MCV should prompt smear review. The design requires validation with real patient data.</w:t>
            </w:r>
          </w:p>
          <w:p w14:paraId="57CB7AF4" w14:textId="77777777" w:rsidR="00A86074" w:rsidRPr="00851CA7" w:rsidRDefault="00370030" w:rsidP="00851CA7">
            <w:pPr>
              <w:spacing w:line="360" w:lineRule="auto"/>
              <w:rPr>
                <w:rFonts w:ascii="Cambria" w:hAnsi="Cambria"/>
                <w:i/>
                <w:iCs/>
                <w:sz w:val="20"/>
                <w:szCs w:val="20"/>
              </w:rPr>
            </w:pPr>
            <w:r w:rsidRPr="00851CA7">
              <w:rPr>
                <w:rFonts w:ascii="Cambria" w:eastAsia="Arial" w:hAnsi="Cambria"/>
                <w:b/>
                <w:bCs/>
                <w:i/>
                <w:iCs/>
                <w:color w:val="000000"/>
                <w:sz w:val="20"/>
                <w:szCs w:val="20"/>
              </w:rPr>
              <w:t xml:space="preserve">Keywords: </w:t>
            </w:r>
            <w:r w:rsidRPr="00851CA7">
              <w:rPr>
                <w:rFonts w:ascii="Cambria" w:hAnsi="Cambria"/>
                <w:i/>
                <w:iCs/>
                <w:color w:val="000000"/>
                <w:sz w:val="20"/>
                <w:szCs w:val="20"/>
              </w:rPr>
              <w:t>Anaemia; Erythrocyte indices; Mean corpuscular volume; Peripheral blood smear; Red cell distribution width; Haematology</w:t>
            </w:r>
          </w:p>
        </w:tc>
      </w:tr>
    </w:tbl>
    <w:p w14:paraId="0349C254" w14:textId="77777777" w:rsidR="00A86074" w:rsidRPr="00851CA7" w:rsidRDefault="00370030" w:rsidP="00851CA7">
      <w:pPr>
        <w:keepNext/>
        <w:spacing w:line="360" w:lineRule="auto"/>
        <w:rPr>
          <w:sz w:val="20"/>
          <w:szCs w:val="20"/>
        </w:rPr>
      </w:pPr>
      <w:r w:rsidRPr="00851CA7">
        <w:rPr>
          <w:rFonts w:eastAsia="Arial"/>
          <w:b/>
          <w:bCs/>
          <w:color w:val="000000"/>
          <w:sz w:val="20"/>
          <w:szCs w:val="20"/>
        </w:rPr>
        <w:t>INTRODUCTION</w:t>
      </w:r>
    </w:p>
    <w:p w14:paraId="3FB0C6EA" w14:textId="77777777" w:rsidR="00A86074" w:rsidRPr="00851CA7" w:rsidRDefault="00370030" w:rsidP="00851CA7">
      <w:pPr>
        <w:spacing w:line="360" w:lineRule="auto"/>
        <w:jc w:val="both"/>
        <w:rPr>
          <w:sz w:val="20"/>
          <w:szCs w:val="20"/>
        </w:rPr>
      </w:pPr>
      <w:r w:rsidRPr="00851CA7">
        <w:rPr>
          <w:color w:val="000000"/>
          <w:sz w:val="20"/>
          <w:szCs w:val="20"/>
        </w:rPr>
        <w:t>Anaemia is defined by the World Health Organization (WHO) as a haemoglobin concentration below 12 g/dL in non-pregnant women and below 13 g/dL in men, with severity graded as mild, moderate or severe [</w:t>
      </w:r>
      <w:bookmarkStart w:id="0" w:name="cite1"/>
      <w:r w:rsidR="00973F8C" w:rsidRPr="00851CA7">
        <w:rPr>
          <w:sz w:val="20"/>
          <w:szCs w:val="20"/>
        </w:rPr>
        <w:fldChar w:fldCharType="begin"/>
      </w:r>
      <w:r w:rsidRPr="00851CA7">
        <w:rPr>
          <w:sz w:val="20"/>
          <w:szCs w:val="20"/>
        </w:rPr>
        <w:instrText>HYPERLINK \l "ref1"</w:instrText>
      </w:r>
      <w:r w:rsidR="00973F8C" w:rsidRPr="00851CA7">
        <w:rPr>
          <w:sz w:val="20"/>
          <w:szCs w:val="20"/>
        </w:rPr>
      </w:r>
      <w:r w:rsidR="00973F8C" w:rsidRPr="00851CA7">
        <w:rPr>
          <w:sz w:val="20"/>
          <w:szCs w:val="20"/>
        </w:rPr>
        <w:fldChar w:fldCharType="separate"/>
      </w:r>
      <w:r w:rsidRPr="00851CA7">
        <w:rPr>
          <w:color w:val="1F4E79"/>
          <w:sz w:val="20"/>
          <w:szCs w:val="20"/>
        </w:rPr>
        <w:t>1</w:t>
      </w:r>
      <w:r w:rsidR="00973F8C" w:rsidRPr="00851CA7">
        <w:rPr>
          <w:sz w:val="20"/>
          <w:szCs w:val="20"/>
        </w:rPr>
        <w:fldChar w:fldCharType="end"/>
      </w:r>
      <w:bookmarkEnd w:id="0"/>
      <w:r w:rsidRPr="00851CA7">
        <w:rPr>
          <w:color w:val="000000"/>
          <w:sz w:val="20"/>
          <w:szCs w:val="20"/>
        </w:rPr>
        <w:t>]. It is among the most common conditions encountered in clinical practice; a systematic analysis estimated its global prevalence at 32.9% in 2010, with iron deficiency as the leading cause [</w:t>
      </w:r>
      <w:bookmarkStart w:id="1" w:name="cite2"/>
      <w:r w:rsidR="00973F8C" w:rsidRPr="00851CA7">
        <w:rPr>
          <w:sz w:val="20"/>
          <w:szCs w:val="20"/>
        </w:rPr>
        <w:fldChar w:fldCharType="begin"/>
      </w:r>
      <w:r w:rsidRPr="00851CA7">
        <w:rPr>
          <w:sz w:val="20"/>
          <w:szCs w:val="20"/>
        </w:rPr>
        <w:instrText>HYPERLINK \l "ref2"</w:instrText>
      </w:r>
      <w:r w:rsidR="00973F8C" w:rsidRPr="00851CA7">
        <w:rPr>
          <w:sz w:val="20"/>
          <w:szCs w:val="20"/>
        </w:rPr>
      </w:r>
      <w:r w:rsidR="00973F8C" w:rsidRPr="00851CA7">
        <w:rPr>
          <w:sz w:val="20"/>
          <w:szCs w:val="20"/>
        </w:rPr>
        <w:fldChar w:fldCharType="separate"/>
      </w:r>
      <w:r w:rsidRPr="00851CA7">
        <w:rPr>
          <w:color w:val="1F4E79"/>
          <w:sz w:val="20"/>
          <w:szCs w:val="20"/>
        </w:rPr>
        <w:t>2</w:t>
      </w:r>
      <w:r w:rsidR="00973F8C" w:rsidRPr="00851CA7">
        <w:rPr>
          <w:sz w:val="20"/>
          <w:szCs w:val="20"/>
        </w:rPr>
        <w:fldChar w:fldCharType="end"/>
      </w:r>
      <w:bookmarkEnd w:id="1"/>
      <w:r w:rsidRPr="00851CA7">
        <w:rPr>
          <w:color w:val="000000"/>
          <w:sz w:val="20"/>
          <w:szCs w:val="20"/>
        </w:rPr>
        <w:t>]. Clinical recognition is unreliable, because pallor has only limited accuracy for detecting anaemia at the bedside [</w:t>
      </w:r>
      <w:bookmarkStart w:id="2" w:name="cite3"/>
      <w:r w:rsidR="00973F8C" w:rsidRPr="00851CA7">
        <w:rPr>
          <w:sz w:val="20"/>
          <w:szCs w:val="20"/>
        </w:rPr>
        <w:fldChar w:fldCharType="begin"/>
      </w:r>
      <w:r w:rsidRPr="00851CA7">
        <w:rPr>
          <w:sz w:val="20"/>
          <w:szCs w:val="20"/>
        </w:rPr>
        <w:instrText>HYPERLINK \l "ref3"</w:instrText>
      </w:r>
      <w:r w:rsidR="00973F8C" w:rsidRPr="00851CA7">
        <w:rPr>
          <w:sz w:val="20"/>
          <w:szCs w:val="20"/>
        </w:rPr>
      </w:r>
      <w:r w:rsidR="00973F8C" w:rsidRPr="00851CA7">
        <w:rPr>
          <w:sz w:val="20"/>
          <w:szCs w:val="20"/>
        </w:rPr>
        <w:fldChar w:fldCharType="separate"/>
      </w:r>
      <w:r w:rsidRPr="00851CA7">
        <w:rPr>
          <w:color w:val="1F4E79"/>
          <w:sz w:val="20"/>
          <w:szCs w:val="20"/>
        </w:rPr>
        <w:t>3</w:t>
      </w:r>
      <w:r w:rsidR="00973F8C" w:rsidRPr="00851CA7">
        <w:rPr>
          <w:sz w:val="20"/>
          <w:szCs w:val="20"/>
        </w:rPr>
        <w:fldChar w:fldCharType="end"/>
      </w:r>
      <w:bookmarkEnd w:id="2"/>
      <w:r w:rsidRPr="00851CA7">
        <w:rPr>
          <w:color w:val="000000"/>
          <w:sz w:val="20"/>
          <w:szCs w:val="20"/>
        </w:rPr>
        <w:t>], so classification depends on laboratory investigation.</w:t>
      </w:r>
    </w:p>
    <w:p w14:paraId="7BCBD3E7" w14:textId="77777777" w:rsidR="00A86074" w:rsidRPr="00851CA7" w:rsidRDefault="00370030" w:rsidP="00851CA7">
      <w:pPr>
        <w:spacing w:line="360" w:lineRule="auto"/>
        <w:jc w:val="both"/>
        <w:rPr>
          <w:sz w:val="20"/>
          <w:szCs w:val="20"/>
        </w:rPr>
      </w:pPr>
      <w:r w:rsidRPr="00851CA7">
        <w:rPr>
          <w:color w:val="000000"/>
          <w:sz w:val="20"/>
          <w:szCs w:val="20"/>
        </w:rPr>
        <w:t>The first diagnostic step is usually morphological. Iron deficiency, the most frequent cause worldwide, produces a microcytic hypochromic picture [</w:t>
      </w:r>
      <w:bookmarkStart w:id="3" w:name="cite4"/>
      <w:r w:rsidR="00973F8C" w:rsidRPr="00851CA7">
        <w:rPr>
          <w:sz w:val="20"/>
          <w:szCs w:val="20"/>
        </w:rPr>
        <w:fldChar w:fldCharType="begin"/>
      </w:r>
      <w:r w:rsidRPr="00851CA7">
        <w:rPr>
          <w:sz w:val="20"/>
          <w:szCs w:val="20"/>
        </w:rPr>
        <w:instrText>HYPERLINK \l "ref4"</w:instrText>
      </w:r>
      <w:r w:rsidR="00973F8C" w:rsidRPr="00851CA7">
        <w:rPr>
          <w:sz w:val="20"/>
          <w:szCs w:val="20"/>
        </w:rPr>
      </w:r>
      <w:r w:rsidR="00973F8C" w:rsidRPr="00851CA7">
        <w:rPr>
          <w:sz w:val="20"/>
          <w:szCs w:val="20"/>
        </w:rPr>
        <w:fldChar w:fldCharType="separate"/>
      </w:r>
      <w:r w:rsidRPr="00851CA7">
        <w:rPr>
          <w:color w:val="1F4E79"/>
          <w:sz w:val="20"/>
          <w:szCs w:val="20"/>
        </w:rPr>
        <w:t>4</w:t>
      </w:r>
      <w:r w:rsidR="00973F8C" w:rsidRPr="00851CA7">
        <w:rPr>
          <w:sz w:val="20"/>
          <w:szCs w:val="20"/>
        </w:rPr>
        <w:fldChar w:fldCharType="end"/>
      </w:r>
      <w:bookmarkEnd w:id="3"/>
      <w:r w:rsidRPr="00851CA7">
        <w:rPr>
          <w:color w:val="000000"/>
          <w:sz w:val="20"/>
          <w:szCs w:val="20"/>
        </w:rPr>
        <w:t>], whereas vitamin B12 or folate deficiency and several non-megaloblastic disorders produce macrocytosis [</w:t>
      </w:r>
      <w:bookmarkStart w:id="4" w:name="cite5"/>
      <w:r w:rsidR="00973F8C" w:rsidRPr="00851CA7">
        <w:rPr>
          <w:sz w:val="20"/>
          <w:szCs w:val="20"/>
        </w:rPr>
        <w:fldChar w:fldCharType="begin"/>
      </w:r>
      <w:r w:rsidRPr="00851CA7">
        <w:rPr>
          <w:sz w:val="20"/>
          <w:szCs w:val="20"/>
        </w:rPr>
        <w:instrText>HYPERLINK \l "ref5"</w:instrText>
      </w:r>
      <w:r w:rsidR="00973F8C" w:rsidRPr="00851CA7">
        <w:rPr>
          <w:sz w:val="20"/>
          <w:szCs w:val="20"/>
        </w:rPr>
      </w:r>
      <w:r w:rsidR="00973F8C" w:rsidRPr="00851CA7">
        <w:rPr>
          <w:sz w:val="20"/>
          <w:szCs w:val="20"/>
        </w:rPr>
        <w:fldChar w:fldCharType="separate"/>
      </w:r>
      <w:r w:rsidRPr="00851CA7">
        <w:rPr>
          <w:color w:val="1F4E79"/>
          <w:sz w:val="20"/>
          <w:szCs w:val="20"/>
        </w:rPr>
        <w:t>5</w:t>
      </w:r>
      <w:r w:rsidR="00973F8C" w:rsidRPr="00851CA7">
        <w:rPr>
          <w:sz w:val="20"/>
          <w:szCs w:val="20"/>
        </w:rPr>
        <w:fldChar w:fldCharType="end"/>
      </w:r>
      <w:bookmarkEnd w:id="4"/>
      <w:r w:rsidRPr="00851CA7">
        <w:rPr>
          <w:color w:val="000000"/>
          <w:sz w:val="20"/>
          <w:szCs w:val="20"/>
        </w:rPr>
        <w:t>]. Bessman and colleagues showed that combining mean corpuscular volume (MCV) with red cell distribution width (RDW) improves the classification of anaemia beyond MCV alone [</w:t>
      </w:r>
      <w:bookmarkStart w:id="5" w:name="cite6"/>
      <w:r w:rsidR="00973F8C" w:rsidRPr="00851CA7">
        <w:rPr>
          <w:sz w:val="20"/>
          <w:szCs w:val="20"/>
        </w:rPr>
        <w:fldChar w:fldCharType="begin"/>
      </w:r>
      <w:r w:rsidRPr="00851CA7">
        <w:rPr>
          <w:sz w:val="20"/>
          <w:szCs w:val="20"/>
        </w:rPr>
        <w:instrText>HYPERLINK \l "ref6"</w:instrText>
      </w:r>
      <w:r w:rsidR="00973F8C" w:rsidRPr="00851CA7">
        <w:rPr>
          <w:sz w:val="20"/>
          <w:szCs w:val="20"/>
        </w:rPr>
      </w:r>
      <w:r w:rsidR="00973F8C" w:rsidRPr="00851CA7">
        <w:rPr>
          <w:sz w:val="20"/>
          <w:szCs w:val="20"/>
        </w:rPr>
        <w:fldChar w:fldCharType="separate"/>
      </w:r>
      <w:r w:rsidRPr="00851CA7">
        <w:rPr>
          <w:color w:val="1F4E79"/>
          <w:sz w:val="20"/>
          <w:szCs w:val="20"/>
        </w:rPr>
        <w:t>6</w:t>
      </w:r>
      <w:r w:rsidR="00973F8C" w:rsidRPr="00851CA7">
        <w:rPr>
          <w:sz w:val="20"/>
          <w:szCs w:val="20"/>
        </w:rPr>
        <w:fldChar w:fldCharType="end"/>
      </w:r>
      <w:bookmarkEnd w:id="5"/>
      <w:r w:rsidRPr="00851CA7">
        <w:rPr>
          <w:color w:val="000000"/>
          <w:sz w:val="20"/>
          <w:szCs w:val="20"/>
        </w:rPr>
        <w:t>]. Modern haematology analysers measure these indices with high precision and supply additional red cell parameters [</w:t>
      </w:r>
      <w:bookmarkStart w:id="6" w:name="cite7"/>
      <w:r w:rsidR="00973F8C" w:rsidRPr="00851CA7">
        <w:rPr>
          <w:sz w:val="20"/>
          <w:szCs w:val="20"/>
        </w:rPr>
        <w:fldChar w:fldCharType="begin"/>
      </w:r>
      <w:r w:rsidRPr="00851CA7">
        <w:rPr>
          <w:sz w:val="20"/>
          <w:szCs w:val="20"/>
        </w:rPr>
        <w:instrText>HYPERLINK \l "ref7"</w:instrText>
      </w:r>
      <w:r w:rsidR="00973F8C" w:rsidRPr="00851CA7">
        <w:rPr>
          <w:sz w:val="20"/>
          <w:szCs w:val="20"/>
        </w:rPr>
      </w:r>
      <w:r w:rsidR="00973F8C" w:rsidRPr="00851CA7">
        <w:rPr>
          <w:sz w:val="20"/>
          <w:szCs w:val="20"/>
        </w:rPr>
        <w:fldChar w:fldCharType="separate"/>
      </w:r>
      <w:r w:rsidRPr="00851CA7">
        <w:rPr>
          <w:color w:val="1F4E79"/>
          <w:sz w:val="20"/>
          <w:szCs w:val="20"/>
        </w:rPr>
        <w:t>7</w:t>
      </w:r>
      <w:r w:rsidR="00973F8C" w:rsidRPr="00851CA7">
        <w:rPr>
          <w:sz w:val="20"/>
          <w:szCs w:val="20"/>
        </w:rPr>
        <w:fldChar w:fldCharType="end"/>
      </w:r>
      <w:bookmarkEnd w:id="6"/>
      <w:r w:rsidRPr="00851CA7">
        <w:rPr>
          <w:color w:val="000000"/>
          <w:sz w:val="20"/>
          <w:szCs w:val="20"/>
        </w:rPr>
        <w:t>,</w:t>
      </w:r>
      <w:bookmarkStart w:id="7" w:name="cite8"/>
      <w:r w:rsidR="00973F8C" w:rsidRPr="00851CA7">
        <w:rPr>
          <w:sz w:val="20"/>
          <w:szCs w:val="20"/>
        </w:rPr>
        <w:fldChar w:fldCharType="begin"/>
      </w:r>
      <w:r w:rsidRPr="00851CA7">
        <w:rPr>
          <w:sz w:val="20"/>
          <w:szCs w:val="20"/>
        </w:rPr>
        <w:instrText>HYPERLINK \l "ref8"</w:instrText>
      </w:r>
      <w:r w:rsidR="00973F8C" w:rsidRPr="00851CA7">
        <w:rPr>
          <w:sz w:val="20"/>
          <w:szCs w:val="20"/>
        </w:rPr>
      </w:r>
      <w:r w:rsidR="00973F8C" w:rsidRPr="00851CA7">
        <w:rPr>
          <w:sz w:val="20"/>
          <w:szCs w:val="20"/>
        </w:rPr>
        <w:fldChar w:fldCharType="separate"/>
      </w:r>
      <w:r w:rsidRPr="00851CA7">
        <w:rPr>
          <w:color w:val="1F4E79"/>
          <w:sz w:val="20"/>
          <w:szCs w:val="20"/>
        </w:rPr>
        <w:t>8</w:t>
      </w:r>
      <w:r w:rsidR="00973F8C" w:rsidRPr="00851CA7">
        <w:rPr>
          <w:sz w:val="20"/>
          <w:szCs w:val="20"/>
        </w:rPr>
        <w:fldChar w:fldCharType="end"/>
      </w:r>
      <w:bookmarkEnd w:id="7"/>
      <w:r w:rsidRPr="00851CA7">
        <w:rPr>
          <w:color w:val="000000"/>
          <w:sz w:val="20"/>
          <w:szCs w:val="20"/>
        </w:rPr>
        <w:t>].</w:t>
      </w:r>
    </w:p>
    <w:p w14:paraId="558D2E0B" w14:textId="77777777" w:rsidR="00A86074" w:rsidRPr="00851CA7" w:rsidRDefault="00370030" w:rsidP="00851CA7">
      <w:pPr>
        <w:spacing w:line="360" w:lineRule="auto"/>
        <w:jc w:val="both"/>
        <w:rPr>
          <w:sz w:val="20"/>
          <w:szCs w:val="20"/>
        </w:rPr>
      </w:pPr>
      <w:r w:rsidRPr="00851CA7">
        <w:rPr>
          <w:color w:val="000000"/>
          <w:sz w:val="20"/>
          <w:szCs w:val="20"/>
        </w:rPr>
        <w:lastRenderedPageBreak/>
        <w:t>Examination of a stained peripheral blood smear nevertheless remains the reference for red cell morphology. It identifies features that an analyser can only flag, such as target cells, fragmented cells and mixed red cell populations [</w:t>
      </w:r>
      <w:bookmarkStart w:id="8" w:name="cite9"/>
      <w:r w:rsidR="00973F8C" w:rsidRPr="00851CA7">
        <w:rPr>
          <w:sz w:val="20"/>
          <w:szCs w:val="20"/>
        </w:rPr>
        <w:fldChar w:fldCharType="begin"/>
      </w:r>
      <w:r w:rsidRPr="00851CA7">
        <w:rPr>
          <w:sz w:val="20"/>
          <w:szCs w:val="20"/>
        </w:rPr>
        <w:instrText>HYPERLINK \l "ref9"</w:instrText>
      </w:r>
      <w:r w:rsidR="00973F8C" w:rsidRPr="00851CA7">
        <w:rPr>
          <w:sz w:val="20"/>
          <w:szCs w:val="20"/>
        </w:rPr>
      </w:r>
      <w:r w:rsidR="00973F8C" w:rsidRPr="00851CA7">
        <w:rPr>
          <w:sz w:val="20"/>
          <w:szCs w:val="20"/>
        </w:rPr>
        <w:fldChar w:fldCharType="separate"/>
      </w:r>
      <w:r w:rsidRPr="00851CA7">
        <w:rPr>
          <w:color w:val="1F4E79"/>
          <w:sz w:val="20"/>
          <w:szCs w:val="20"/>
        </w:rPr>
        <w:t>9</w:t>
      </w:r>
      <w:r w:rsidR="00973F8C" w:rsidRPr="00851CA7">
        <w:rPr>
          <w:sz w:val="20"/>
          <w:szCs w:val="20"/>
        </w:rPr>
        <w:fldChar w:fldCharType="end"/>
      </w:r>
      <w:bookmarkEnd w:id="8"/>
      <w:r w:rsidRPr="00851CA7">
        <w:rPr>
          <w:color w:val="000000"/>
          <w:sz w:val="20"/>
          <w:szCs w:val="20"/>
        </w:rPr>
        <w:t>]. Because smear review is labour-intensive, laboratories use defined criteria to decide which samples need a smear [</w:t>
      </w:r>
      <w:bookmarkStart w:id="9" w:name="cite10"/>
      <w:r w:rsidR="00973F8C" w:rsidRPr="00851CA7">
        <w:rPr>
          <w:sz w:val="20"/>
          <w:szCs w:val="20"/>
        </w:rPr>
        <w:fldChar w:fldCharType="begin"/>
      </w:r>
      <w:r w:rsidRPr="00851CA7">
        <w:rPr>
          <w:sz w:val="20"/>
          <w:szCs w:val="20"/>
        </w:rPr>
        <w:instrText>HYPERLINK \l "ref10"</w:instrText>
      </w:r>
      <w:r w:rsidR="00973F8C" w:rsidRPr="00851CA7">
        <w:rPr>
          <w:sz w:val="20"/>
          <w:szCs w:val="20"/>
        </w:rPr>
      </w:r>
      <w:r w:rsidR="00973F8C" w:rsidRPr="00851CA7">
        <w:rPr>
          <w:sz w:val="20"/>
          <w:szCs w:val="20"/>
        </w:rPr>
        <w:fldChar w:fldCharType="separate"/>
      </w:r>
      <w:r w:rsidRPr="00851CA7">
        <w:rPr>
          <w:color w:val="1F4E79"/>
          <w:sz w:val="20"/>
          <w:szCs w:val="20"/>
        </w:rPr>
        <w:t>10</w:t>
      </w:r>
      <w:r w:rsidR="00973F8C" w:rsidRPr="00851CA7">
        <w:rPr>
          <w:sz w:val="20"/>
          <w:szCs w:val="20"/>
        </w:rPr>
        <w:fldChar w:fldCharType="end"/>
      </w:r>
      <w:bookmarkEnd w:id="9"/>
      <w:r w:rsidRPr="00851CA7">
        <w:rPr>
          <w:color w:val="000000"/>
          <w:sz w:val="20"/>
          <w:szCs w:val="20"/>
        </w:rPr>
        <w:t>], and an international consensus group has proposed rules for action after automated blood counts [</w:t>
      </w:r>
      <w:bookmarkStart w:id="10" w:name="cite11"/>
      <w:r w:rsidR="00973F8C" w:rsidRPr="00851CA7">
        <w:rPr>
          <w:sz w:val="20"/>
          <w:szCs w:val="20"/>
        </w:rPr>
        <w:fldChar w:fldCharType="begin"/>
      </w:r>
      <w:r w:rsidRPr="00851CA7">
        <w:rPr>
          <w:sz w:val="20"/>
          <w:szCs w:val="20"/>
        </w:rPr>
        <w:instrText>HYPERLINK \l "ref11"</w:instrText>
      </w:r>
      <w:r w:rsidR="00973F8C" w:rsidRPr="00851CA7">
        <w:rPr>
          <w:sz w:val="20"/>
          <w:szCs w:val="20"/>
        </w:rPr>
      </w:r>
      <w:r w:rsidR="00973F8C" w:rsidRPr="00851CA7">
        <w:rPr>
          <w:sz w:val="20"/>
          <w:szCs w:val="20"/>
        </w:rPr>
        <w:fldChar w:fldCharType="separate"/>
      </w:r>
      <w:r w:rsidRPr="00851CA7">
        <w:rPr>
          <w:color w:val="1F4E79"/>
          <w:sz w:val="20"/>
          <w:szCs w:val="20"/>
        </w:rPr>
        <w:t>11</w:t>
      </w:r>
      <w:r w:rsidR="00973F8C" w:rsidRPr="00851CA7">
        <w:rPr>
          <w:sz w:val="20"/>
          <w:szCs w:val="20"/>
        </w:rPr>
        <w:fldChar w:fldCharType="end"/>
      </w:r>
      <w:bookmarkEnd w:id="10"/>
      <w:r w:rsidRPr="00851CA7">
        <w:rPr>
          <w:color w:val="000000"/>
          <w:sz w:val="20"/>
          <w:szCs w:val="20"/>
        </w:rPr>
        <w:t>].</w:t>
      </w:r>
    </w:p>
    <w:p w14:paraId="242C2FD8" w14:textId="77777777" w:rsidR="00A86074" w:rsidRPr="00851CA7" w:rsidRDefault="00370030" w:rsidP="00851CA7">
      <w:pPr>
        <w:spacing w:line="360" w:lineRule="auto"/>
        <w:jc w:val="both"/>
        <w:rPr>
          <w:sz w:val="20"/>
          <w:szCs w:val="20"/>
        </w:rPr>
      </w:pPr>
      <w:r w:rsidRPr="00851CA7">
        <w:rPr>
          <w:color w:val="000000"/>
          <w:sz w:val="20"/>
          <w:szCs w:val="20"/>
        </w:rPr>
        <w:t>Dimorphic anaemia, in which microcytic and macrocytic or normocytic populations coexist, is a recognised limitation of averaged indices. Opposing cell populations can yield a normal MCV and conceal the underlying disorder. Quantifying how often MCV-based classification agrees with smear morphology, and where it fails, therefore has direct implications for smear review policies.</w:t>
      </w:r>
    </w:p>
    <w:p w14:paraId="4E342EC2" w14:textId="77777777" w:rsidR="00A86074" w:rsidRPr="00851CA7" w:rsidRDefault="00370030" w:rsidP="00851CA7">
      <w:pPr>
        <w:spacing w:line="360" w:lineRule="auto"/>
        <w:jc w:val="both"/>
        <w:rPr>
          <w:sz w:val="20"/>
          <w:szCs w:val="20"/>
        </w:rPr>
      </w:pPr>
      <w:r w:rsidRPr="00851CA7">
        <w:rPr>
          <w:color w:val="000000"/>
          <w:sz w:val="20"/>
          <w:szCs w:val="20"/>
        </w:rPr>
        <w:t>The objective of this study design is to describe the distribution of morphological types of anaemia in adults and to measure agreement between MCV-based classification and peripheral smear examination. It gives particular attention to dimorphic blood pictures and to the role of RDW.</w:t>
      </w:r>
    </w:p>
    <w:p w14:paraId="42F2B8A5" w14:textId="77777777" w:rsidR="00A86074" w:rsidRPr="00851CA7" w:rsidRDefault="00370030" w:rsidP="00851CA7">
      <w:pPr>
        <w:keepNext/>
        <w:spacing w:line="360" w:lineRule="auto"/>
        <w:rPr>
          <w:sz w:val="20"/>
          <w:szCs w:val="20"/>
        </w:rPr>
      </w:pPr>
      <w:r w:rsidRPr="00851CA7">
        <w:rPr>
          <w:rFonts w:eastAsia="Arial"/>
          <w:b/>
          <w:bCs/>
          <w:color w:val="000000"/>
          <w:sz w:val="20"/>
          <w:szCs w:val="20"/>
        </w:rPr>
        <w:t>MATERIALS AND METHODS</w:t>
      </w:r>
    </w:p>
    <w:p w14:paraId="74A2688E" w14:textId="79662524" w:rsidR="00A86074" w:rsidRPr="00851CA7" w:rsidRDefault="00370030" w:rsidP="00851CA7">
      <w:pPr>
        <w:spacing w:line="360" w:lineRule="auto"/>
        <w:jc w:val="both"/>
        <w:rPr>
          <w:sz w:val="20"/>
          <w:szCs w:val="20"/>
        </w:rPr>
      </w:pPr>
      <w:r w:rsidRPr="00851CA7">
        <w:rPr>
          <w:color w:val="000000"/>
          <w:sz w:val="20"/>
          <w:szCs w:val="20"/>
        </w:rPr>
        <w:t>The protocol describes a hospital-based cross-sectional study in the haematology section of a diagnostic pathology laboratory. Consecutive adult samples meeting the inclusion criteria would be analysed over a defined period. The study setting, period and investigators are left as placeholders to be completed with verified information.</w:t>
      </w:r>
    </w:p>
    <w:p w14:paraId="15920EE4" w14:textId="5EABCBF0" w:rsidR="00A86074" w:rsidRPr="00851CA7" w:rsidRDefault="00370030" w:rsidP="00851CA7">
      <w:pPr>
        <w:spacing w:line="360" w:lineRule="auto"/>
        <w:jc w:val="both"/>
        <w:rPr>
          <w:sz w:val="20"/>
          <w:szCs w:val="20"/>
        </w:rPr>
      </w:pPr>
      <w:r w:rsidRPr="00851CA7">
        <w:rPr>
          <w:color w:val="000000"/>
          <w:sz w:val="20"/>
          <w:szCs w:val="20"/>
        </w:rPr>
        <w:t>Adults aged 18 years or older with haemoglobin below the WHO thresholds [</w:t>
      </w:r>
      <w:hyperlink w:anchor="ref1" w:history="1">
        <w:r w:rsidRPr="00851CA7">
          <w:rPr>
            <w:color w:val="1F4E79"/>
            <w:sz w:val="20"/>
            <w:szCs w:val="20"/>
          </w:rPr>
          <w:t>1</w:t>
        </w:r>
      </w:hyperlink>
      <w:r w:rsidRPr="00851CA7">
        <w:rPr>
          <w:color w:val="000000"/>
          <w:sz w:val="20"/>
          <w:szCs w:val="20"/>
        </w:rPr>
        <w:t>] would be eligible. Pregnant women, patients transfused within the preceding three months, patients on haematinic therapy, and samples with clots, haemolysis or delayed processing would be excluded. Assuming an expected proportion of microcytic anaemia of 50%, an absolute precision of 6.5% and 95% confidence, a minimum sample of 228 is required; the simulated dataset contains 240 participants.</w:t>
      </w:r>
    </w:p>
    <w:p w14:paraId="1F520BAF" w14:textId="77777777" w:rsidR="00A86074" w:rsidRPr="00851CA7" w:rsidRDefault="00370030" w:rsidP="00851CA7">
      <w:pPr>
        <w:spacing w:line="360" w:lineRule="auto"/>
        <w:jc w:val="both"/>
        <w:rPr>
          <w:sz w:val="20"/>
          <w:szCs w:val="20"/>
        </w:rPr>
      </w:pPr>
      <w:r w:rsidRPr="00851CA7">
        <w:rPr>
          <w:b/>
          <w:bCs/>
          <w:color w:val="000000"/>
          <w:sz w:val="20"/>
          <w:szCs w:val="20"/>
        </w:rPr>
        <w:t>Laboratory investigations.</w:t>
      </w:r>
      <w:r w:rsidRPr="00851CA7">
        <w:rPr>
          <w:color w:val="000000"/>
          <w:sz w:val="20"/>
          <w:szCs w:val="20"/>
        </w:rPr>
        <w:t xml:space="preserve"> Venous blood would be collected in K2-EDTA tubes and analysed within four hours on a calibrated automated haematology analyser under internal quality control. Haemoglobin, red cell count, MCV, mean corpuscular haemoglobin (MCH), mean corpuscular haemoglobin concentration and RDW-CV would be recorded. Thin smears would be prepared from the same sample, stained by the Leishman method and examined under oil immersion according to standard practice [</w:t>
      </w:r>
      <w:bookmarkStart w:id="11" w:name="cite12"/>
      <w:r w:rsidR="00973F8C" w:rsidRPr="00851CA7">
        <w:rPr>
          <w:sz w:val="20"/>
          <w:szCs w:val="20"/>
        </w:rPr>
        <w:fldChar w:fldCharType="begin"/>
      </w:r>
      <w:r w:rsidRPr="00851CA7">
        <w:rPr>
          <w:sz w:val="20"/>
          <w:szCs w:val="20"/>
        </w:rPr>
        <w:instrText>HYPERLINK \l "ref12"</w:instrText>
      </w:r>
      <w:r w:rsidR="00973F8C" w:rsidRPr="00851CA7">
        <w:rPr>
          <w:sz w:val="20"/>
          <w:szCs w:val="20"/>
        </w:rPr>
      </w:r>
      <w:r w:rsidR="00973F8C" w:rsidRPr="00851CA7">
        <w:rPr>
          <w:sz w:val="20"/>
          <w:szCs w:val="20"/>
        </w:rPr>
        <w:fldChar w:fldCharType="separate"/>
      </w:r>
      <w:r w:rsidRPr="00851CA7">
        <w:rPr>
          <w:color w:val="1F4E79"/>
          <w:sz w:val="20"/>
          <w:szCs w:val="20"/>
        </w:rPr>
        <w:t>12</w:t>
      </w:r>
      <w:r w:rsidR="00973F8C" w:rsidRPr="00851CA7">
        <w:rPr>
          <w:sz w:val="20"/>
          <w:szCs w:val="20"/>
        </w:rPr>
        <w:fldChar w:fldCharType="end"/>
      </w:r>
      <w:bookmarkEnd w:id="11"/>
      <w:r w:rsidRPr="00851CA7">
        <w:rPr>
          <w:color w:val="000000"/>
          <w:sz w:val="20"/>
          <w:szCs w:val="20"/>
        </w:rPr>
        <w:t>].</w:t>
      </w:r>
    </w:p>
    <w:p w14:paraId="2996FDA9" w14:textId="77777777" w:rsidR="00A86074" w:rsidRPr="00851CA7" w:rsidRDefault="00370030" w:rsidP="00851CA7">
      <w:pPr>
        <w:spacing w:line="360" w:lineRule="auto"/>
        <w:jc w:val="both"/>
        <w:rPr>
          <w:sz w:val="20"/>
          <w:szCs w:val="20"/>
        </w:rPr>
      </w:pPr>
      <w:r w:rsidRPr="00851CA7">
        <w:rPr>
          <w:b/>
          <w:bCs/>
          <w:color w:val="000000"/>
          <w:sz w:val="20"/>
          <w:szCs w:val="20"/>
        </w:rPr>
        <w:t>Morphological classification.</w:t>
      </w:r>
      <w:r w:rsidRPr="00851CA7">
        <w:rPr>
          <w:color w:val="000000"/>
          <w:sz w:val="20"/>
          <w:szCs w:val="20"/>
        </w:rPr>
        <w:t xml:space="preserve"> Smears would be classified independently by two pathologists, blinded to the analyser indices, into four categories: microcytic hypochromic, normocytic normochromic, macrocytic, and dimorphic (two distinct red cell populations). Morphological features would be described using International Council for Standardization in Haematology (ICSH) nomenclature and grading [</w:t>
      </w:r>
      <w:bookmarkStart w:id="12" w:name="cite13"/>
      <w:r w:rsidR="00973F8C" w:rsidRPr="00851CA7">
        <w:rPr>
          <w:sz w:val="20"/>
          <w:szCs w:val="20"/>
        </w:rPr>
        <w:fldChar w:fldCharType="begin"/>
      </w:r>
      <w:r w:rsidRPr="00851CA7">
        <w:rPr>
          <w:sz w:val="20"/>
          <w:szCs w:val="20"/>
        </w:rPr>
        <w:instrText>HYPERLINK \l "ref13"</w:instrText>
      </w:r>
      <w:r w:rsidR="00973F8C" w:rsidRPr="00851CA7">
        <w:rPr>
          <w:sz w:val="20"/>
          <w:szCs w:val="20"/>
        </w:rPr>
      </w:r>
      <w:r w:rsidR="00973F8C" w:rsidRPr="00851CA7">
        <w:rPr>
          <w:sz w:val="20"/>
          <w:szCs w:val="20"/>
        </w:rPr>
        <w:fldChar w:fldCharType="separate"/>
      </w:r>
      <w:r w:rsidRPr="00851CA7">
        <w:rPr>
          <w:color w:val="1F4E79"/>
          <w:sz w:val="20"/>
          <w:szCs w:val="20"/>
        </w:rPr>
        <w:t>13</w:t>
      </w:r>
      <w:r w:rsidR="00973F8C" w:rsidRPr="00851CA7">
        <w:rPr>
          <w:sz w:val="20"/>
          <w:szCs w:val="20"/>
        </w:rPr>
        <w:fldChar w:fldCharType="end"/>
      </w:r>
      <w:bookmarkEnd w:id="12"/>
      <w:r w:rsidRPr="00851CA7">
        <w:rPr>
          <w:color w:val="000000"/>
          <w:sz w:val="20"/>
          <w:szCs w:val="20"/>
        </w:rPr>
        <w:t xml:space="preserve">]. Disagreements would be resolved by joint review. In parallel, MCV-based classes would be assigned as microcytic (&lt;80 </w:t>
      </w:r>
      <w:proofErr w:type="spellStart"/>
      <w:r w:rsidRPr="00851CA7">
        <w:rPr>
          <w:color w:val="000000"/>
          <w:sz w:val="20"/>
          <w:szCs w:val="20"/>
        </w:rPr>
        <w:t>fL</w:t>
      </w:r>
      <w:proofErr w:type="spellEnd"/>
      <w:r w:rsidRPr="00851CA7">
        <w:rPr>
          <w:color w:val="000000"/>
          <w:sz w:val="20"/>
          <w:szCs w:val="20"/>
        </w:rPr>
        <w:t xml:space="preserve">), normocytic (80–100 </w:t>
      </w:r>
      <w:proofErr w:type="spellStart"/>
      <w:r w:rsidRPr="00851CA7">
        <w:rPr>
          <w:color w:val="000000"/>
          <w:sz w:val="20"/>
          <w:szCs w:val="20"/>
        </w:rPr>
        <w:t>fL</w:t>
      </w:r>
      <w:proofErr w:type="spellEnd"/>
      <w:r w:rsidRPr="00851CA7">
        <w:rPr>
          <w:color w:val="000000"/>
          <w:sz w:val="20"/>
          <w:szCs w:val="20"/>
        </w:rPr>
        <w:t xml:space="preserve">) or macrocytic (&gt;100 </w:t>
      </w:r>
      <w:proofErr w:type="spellStart"/>
      <w:r w:rsidRPr="00851CA7">
        <w:rPr>
          <w:color w:val="000000"/>
          <w:sz w:val="20"/>
          <w:szCs w:val="20"/>
        </w:rPr>
        <w:t>fL</w:t>
      </w:r>
      <w:proofErr w:type="spellEnd"/>
      <w:r w:rsidRPr="00851CA7">
        <w:rPr>
          <w:color w:val="000000"/>
          <w:sz w:val="20"/>
          <w:szCs w:val="20"/>
        </w:rPr>
        <w:t>), and RDW-CV above 15% would be considered raised. Severity would be graded by WHO criteria [</w:t>
      </w:r>
      <w:hyperlink w:anchor="ref1" w:history="1">
        <w:r w:rsidRPr="00851CA7">
          <w:rPr>
            <w:color w:val="1F4E79"/>
            <w:sz w:val="20"/>
            <w:szCs w:val="20"/>
          </w:rPr>
          <w:t>1</w:t>
        </w:r>
      </w:hyperlink>
      <w:r w:rsidRPr="00851CA7">
        <w:rPr>
          <w:color w:val="000000"/>
          <w:sz w:val="20"/>
          <w:szCs w:val="20"/>
        </w:rPr>
        <w:t>].</w:t>
      </w:r>
    </w:p>
    <w:p w14:paraId="208E0201" w14:textId="77777777" w:rsidR="00A86074" w:rsidRPr="00851CA7" w:rsidRDefault="00370030" w:rsidP="00851CA7">
      <w:pPr>
        <w:spacing w:line="360" w:lineRule="auto"/>
        <w:jc w:val="both"/>
        <w:rPr>
          <w:sz w:val="20"/>
          <w:szCs w:val="20"/>
        </w:rPr>
      </w:pPr>
      <w:r w:rsidRPr="00851CA7">
        <w:rPr>
          <w:b/>
          <w:bCs/>
          <w:color w:val="000000"/>
          <w:sz w:val="20"/>
          <w:szCs w:val="20"/>
        </w:rPr>
        <w:t>Statistical analysis.</w:t>
      </w:r>
      <w:r w:rsidRPr="00851CA7">
        <w:rPr>
          <w:color w:val="000000"/>
          <w:sz w:val="20"/>
          <w:szCs w:val="20"/>
        </w:rPr>
        <w:t xml:space="preserve"> Categorical variables are presented as numbers and percentages with Wilson 95% confidence intervals (CI). Continuous variables are presented as mean ± standard deviation and compared using the Mann–Whitney U test (two groups) or the Kruskal–</w:t>
      </w:r>
      <w:proofErr w:type="gramStart"/>
      <w:r w:rsidRPr="00851CA7">
        <w:rPr>
          <w:color w:val="000000"/>
          <w:sz w:val="20"/>
          <w:szCs w:val="20"/>
        </w:rPr>
        <w:t>Wallis</w:t>
      </w:r>
      <w:proofErr w:type="gramEnd"/>
      <w:r w:rsidRPr="00851CA7">
        <w:rPr>
          <w:color w:val="000000"/>
          <w:sz w:val="20"/>
          <w:szCs w:val="20"/>
        </w:rPr>
        <w:t xml:space="preserve"> test (four groups). Associations between categorical variables were tested with the chi-square test. Agreement between MCV-based and smear-based classification for the three monomorphic types was measured with Cohen's kappa [</w:t>
      </w:r>
      <w:bookmarkStart w:id="13" w:name="cite14"/>
      <w:r w:rsidR="00973F8C" w:rsidRPr="00851CA7">
        <w:rPr>
          <w:sz w:val="20"/>
          <w:szCs w:val="20"/>
        </w:rPr>
        <w:fldChar w:fldCharType="begin"/>
      </w:r>
      <w:r w:rsidRPr="00851CA7">
        <w:rPr>
          <w:sz w:val="20"/>
          <w:szCs w:val="20"/>
        </w:rPr>
        <w:instrText>HYPERLINK \l "ref14"</w:instrText>
      </w:r>
      <w:r w:rsidR="00973F8C" w:rsidRPr="00851CA7">
        <w:rPr>
          <w:sz w:val="20"/>
          <w:szCs w:val="20"/>
        </w:rPr>
      </w:r>
      <w:r w:rsidR="00973F8C" w:rsidRPr="00851CA7">
        <w:rPr>
          <w:sz w:val="20"/>
          <w:szCs w:val="20"/>
        </w:rPr>
        <w:fldChar w:fldCharType="separate"/>
      </w:r>
      <w:r w:rsidRPr="00851CA7">
        <w:rPr>
          <w:color w:val="1F4E79"/>
          <w:sz w:val="20"/>
          <w:szCs w:val="20"/>
        </w:rPr>
        <w:t>14</w:t>
      </w:r>
      <w:r w:rsidR="00973F8C" w:rsidRPr="00851CA7">
        <w:rPr>
          <w:sz w:val="20"/>
          <w:szCs w:val="20"/>
        </w:rPr>
        <w:fldChar w:fldCharType="end"/>
      </w:r>
      <w:bookmarkEnd w:id="13"/>
      <w:r w:rsidRPr="00851CA7">
        <w:rPr>
          <w:color w:val="000000"/>
          <w:sz w:val="20"/>
          <w:szCs w:val="20"/>
        </w:rPr>
        <w:t>] and interpreted using the Landis and Koch benchmarks [</w:t>
      </w:r>
      <w:bookmarkStart w:id="14" w:name="cite15"/>
      <w:r w:rsidR="00973F8C" w:rsidRPr="00851CA7">
        <w:rPr>
          <w:sz w:val="20"/>
          <w:szCs w:val="20"/>
        </w:rPr>
        <w:fldChar w:fldCharType="begin"/>
      </w:r>
      <w:r w:rsidRPr="00851CA7">
        <w:rPr>
          <w:sz w:val="20"/>
          <w:szCs w:val="20"/>
        </w:rPr>
        <w:instrText>HYPERLINK \l "ref15"</w:instrText>
      </w:r>
      <w:r w:rsidR="00973F8C" w:rsidRPr="00851CA7">
        <w:rPr>
          <w:sz w:val="20"/>
          <w:szCs w:val="20"/>
        </w:rPr>
      </w:r>
      <w:r w:rsidR="00973F8C" w:rsidRPr="00851CA7">
        <w:rPr>
          <w:sz w:val="20"/>
          <w:szCs w:val="20"/>
        </w:rPr>
        <w:fldChar w:fldCharType="separate"/>
      </w:r>
      <w:r w:rsidRPr="00851CA7">
        <w:rPr>
          <w:color w:val="1F4E79"/>
          <w:sz w:val="20"/>
          <w:szCs w:val="20"/>
        </w:rPr>
        <w:t>15</w:t>
      </w:r>
      <w:r w:rsidR="00973F8C" w:rsidRPr="00851CA7">
        <w:rPr>
          <w:sz w:val="20"/>
          <w:szCs w:val="20"/>
        </w:rPr>
        <w:fldChar w:fldCharType="end"/>
      </w:r>
      <w:bookmarkEnd w:id="14"/>
      <w:r w:rsidRPr="00851CA7">
        <w:rPr>
          <w:color w:val="000000"/>
          <w:sz w:val="20"/>
          <w:szCs w:val="20"/>
        </w:rPr>
        <w:t>]. A two-sided p &lt; 0.05 was considered significant. The analysis was performed in Python (SciPy).</w:t>
      </w:r>
    </w:p>
    <w:p w14:paraId="02EFB064" w14:textId="6D32D747" w:rsidR="00A86074" w:rsidRPr="00851CA7" w:rsidRDefault="00370030" w:rsidP="00851CA7">
      <w:pPr>
        <w:spacing w:line="360" w:lineRule="auto"/>
        <w:jc w:val="both"/>
        <w:rPr>
          <w:sz w:val="20"/>
          <w:szCs w:val="20"/>
        </w:rPr>
      </w:pPr>
      <w:r w:rsidRPr="00851CA7">
        <w:rPr>
          <w:b/>
          <w:bCs/>
          <w:color w:val="000000"/>
          <w:sz w:val="20"/>
          <w:szCs w:val="20"/>
        </w:rPr>
        <w:t>Ethical considerations.</w:t>
      </w:r>
      <w:r w:rsidRPr="00851CA7">
        <w:rPr>
          <w:color w:val="000000"/>
          <w:sz w:val="20"/>
          <w:szCs w:val="20"/>
        </w:rPr>
        <w:t xml:space="preserve"> No human data were used for this</w:t>
      </w:r>
      <w:r w:rsidR="00851CA7">
        <w:rPr>
          <w:color w:val="000000"/>
          <w:sz w:val="20"/>
          <w:szCs w:val="20"/>
        </w:rPr>
        <w:t>00000</w:t>
      </w:r>
      <w:r w:rsidRPr="00851CA7">
        <w:rPr>
          <w:color w:val="000000"/>
          <w:sz w:val="20"/>
          <w:szCs w:val="20"/>
        </w:rPr>
        <w:t>manuscript. Before any real study, approval from the Institutional Ethics Committee would be required, with a waiver or informed consent as appropriate. Data would be anonymised before analysis.</w:t>
      </w:r>
    </w:p>
    <w:p w14:paraId="404E9F81" w14:textId="77777777" w:rsidR="00A86074" w:rsidRPr="00851CA7" w:rsidRDefault="00370030" w:rsidP="00851CA7">
      <w:pPr>
        <w:keepNext/>
        <w:spacing w:line="360" w:lineRule="auto"/>
        <w:rPr>
          <w:sz w:val="20"/>
          <w:szCs w:val="20"/>
        </w:rPr>
      </w:pPr>
      <w:r w:rsidRPr="00851CA7">
        <w:rPr>
          <w:rFonts w:eastAsia="Arial"/>
          <w:b/>
          <w:bCs/>
          <w:color w:val="000000"/>
          <w:sz w:val="20"/>
          <w:szCs w:val="20"/>
        </w:rPr>
        <w:lastRenderedPageBreak/>
        <w:t>RESULTS</w:t>
      </w:r>
    </w:p>
    <w:p w14:paraId="6F5FED34" w14:textId="77777777" w:rsidR="0078537B" w:rsidRPr="00851CA7" w:rsidRDefault="0078537B" w:rsidP="00851CA7">
      <w:pPr>
        <w:spacing w:line="360" w:lineRule="auto"/>
        <w:jc w:val="both"/>
        <w:rPr>
          <w:sz w:val="20"/>
          <w:szCs w:val="20"/>
        </w:rPr>
      </w:pPr>
    </w:p>
    <w:p w14:paraId="4E1BD9E7" w14:textId="77777777" w:rsidR="00A86074" w:rsidRPr="00851CA7" w:rsidRDefault="00370030" w:rsidP="00851CA7">
      <w:pPr>
        <w:keepNext/>
        <w:keepLines/>
        <w:spacing w:line="360" w:lineRule="auto"/>
        <w:rPr>
          <w:sz w:val="20"/>
          <w:szCs w:val="20"/>
        </w:rPr>
      </w:pPr>
      <w:bookmarkStart w:id="15" w:name="tab1"/>
      <w:r w:rsidRPr="00851CA7">
        <w:rPr>
          <w:rFonts w:eastAsia="Arial"/>
          <w:b/>
          <w:bCs/>
          <w:color w:val="000000"/>
          <w:sz w:val="20"/>
          <w:szCs w:val="20"/>
        </w:rPr>
        <w:t xml:space="preserve">Table 1. </w:t>
      </w:r>
      <w:bookmarkEnd w:id="15"/>
      <w:r w:rsidRPr="00851CA7">
        <w:rPr>
          <w:rFonts w:eastAsia="Arial"/>
          <w:b/>
          <w:bCs/>
          <w:color w:val="000000"/>
          <w:sz w:val="20"/>
          <w:szCs w:val="20"/>
        </w:rPr>
        <w:t>Baseline characteristics of the simulated study population by sex (N = 240)</w:t>
      </w:r>
    </w:p>
    <w:tbl>
      <w:tblPr>
        <w:tblStyle w:val="TableGrid"/>
        <w:tblW w:w="9412" w:type="dxa"/>
        <w:tblLayout w:type="fixed"/>
        <w:tblLook w:val="04A0" w:firstRow="1" w:lastRow="0" w:firstColumn="1" w:lastColumn="0" w:noHBand="0" w:noVBand="1"/>
      </w:tblPr>
      <w:tblGrid>
        <w:gridCol w:w="2488"/>
        <w:gridCol w:w="1082"/>
        <w:gridCol w:w="1623"/>
        <w:gridCol w:w="1623"/>
        <w:gridCol w:w="1623"/>
        <w:gridCol w:w="973"/>
      </w:tblGrid>
      <w:tr w:rsidR="00A86074" w:rsidRPr="00851CA7" w14:paraId="5C5E2DFC" w14:textId="77777777" w:rsidTr="00851CA7">
        <w:tc>
          <w:tcPr>
            <w:tcW w:w="2488" w:type="dxa"/>
          </w:tcPr>
          <w:p w14:paraId="1D83500E" w14:textId="77777777" w:rsidR="00A86074" w:rsidRPr="00851CA7" w:rsidRDefault="00370030" w:rsidP="00851CA7">
            <w:pPr>
              <w:keepNext/>
              <w:keepLines/>
              <w:spacing w:line="360" w:lineRule="auto"/>
              <w:rPr>
                <w:sz w:val="20"/>
                <w:szCs w:val="20"/>
              </w:rPr>
            </w:pPr>
            <w:r w:rsidRPr="00851CA7">
              <w:rPr>
                <w:rFonts w:eastAsia="Arial"/>
                <w:b/>
                <w:bCs/>
                <w:color w:val="000000"/>
                <w:sz w:val="20"/>
                <w:szCs w:val="20"/>
              </w:rPr>
              <w:t>Characteristic</w:t>
            </w:r>
          </w:p>
        </w:tc>
        <w:tc>
          <w:tcPr>
            <w:tcW w:w="1082" w:type="dxa"/>
          </w:tcPr>
          <w:p w14:paraId="51A2FA75" w14:textId="77777777" w:rsidR="00A86074" w:rsidRPr="00851CA7" w:rsidRDefault="00370030" w:rsidP="00851CA7">
            <w:pPr>
              <w:keepNext/>
              <w:keepLines/>
              <w:spacing w:line="360" w:lineRule="auto"/>
              <w:rPr>
                <w:sz w:val="20"/>
                <w:szCs w:val="20"/>
              </w:rPr>
            </w:pPr>
            <w:r w:rsidRPr="00851CA7">
              <w:rPr>
                <w:rFonts w:eastAsia="Arial"/>
                <w:b/>
                <w:bCs/>
                <w:color w:val="000000"/>
                <w:sz w:val="20"/>
                <w:szCs w:val="20"/>
              </w:rPr>
              <w:t>Category</w:t>
            </w:r>
          </w:p>
        </w:tc>
        <w:tc>
          <w:tcPr>
            <w:tcW w:w="1623" w:type="dxa"/>
          </w:tcPr>
          <w:p w14:paraId="746F3E61" w14:textId="77777777" w:rsidR="00A86074" w:rsidRPr="00851CA7" w:rsidRDefault="00370030" w:rsidP="00851CA7">
            <w:pPr>
              <w:keepNext/>
              <w:keepLines/>
              <w:spacing w:line="360" w:lineRule="auto"/>
              <w:jc w:val="center"/>
              <w:rPr>
                <w:sz w:val="20"/>
                <w:szCs w:val="20"/>
              </w:rPr>
            </w:pPr>
            <w:r w:rsidRPr="00851CA7">
              <w:rPr>
                <w:rFonts w:eastAsia="Arial"/>
                <w:b/>
                <w:bCs/>
                <w:color w:val="000000"/>
                <w:sz w:val="20"/>
                <w:szCs w:val="20"/>
              </w:rPr>
              <w:t>Female (n = 152)</w:t>
            </w:r>
          </w:p>
        </w:tc>
        <w:tc>
          <w:tcPr>
            <w:tcW w:w="1623" w:type="dxa"/>
          </w:tcPr>
          <w:p w14:paraId="6AB9144F" w14:textId="77777777" w:rsidR="00A86074" w:rsidRPr="00851CA7" w:rsidRDefault="00370030" w:rsidP="00851CA7">
            <w:pPr>
              <w:keepNext/>
              <w:keepLines/>
              <w:spacing w:line="360" w:lineRule="auto"/>
              <w:jc w:val="center"/>
              <w:rPr>
                <w:sz w:val="20"/>
                <w:szCs w:val="20"/>
              </w:rPr>
            </w:pPr>
            <w:r w:rsidRPr="00851CA7">
              <w:rPr>
                <w:rFonts w:eastAsia="Arial"/>
                <w:b/>
                <w:bCs/>
                <w:color w:val="000000"/>
                <w:sz w:val="20"/>
                <w:szCs w:val="20"/>
              </w:rPr>
              <w:t>Male (n = 88)</w:t>
            </w:r>
          </w:p>
        </w:tc>
        <w:tc>
          <w:tcPr>
            <w:tcW w:w="1623" w:type="dxa"/>
          </w:tcPr>
          <w:p w14:paraId="594D0B51" w14:textId="77777777" w:rsidR="00A86074" w:rsidRPr="00851CA7" w:rsidRDefault="00370030" w:rsidP="00851CA7">
            <w:pPr>
              <w:keepNext/>
              <w:keepLines/>
              <w:spacing w:line="360" w:lineRule="auto"/>
              <w:jc w:val="center"/>
              <w:rPr>
                <w:sz w:val="20"/>
                <w:szCs w:val="20"/>
              </w:rPr>
            </w:pPr>
            <w:r w:rsidRPr="00851CA7">
              <w:rPr>
                <w:rFonts w:eastAsia="Arial"/>
                <w:b/>
                <w:bCs/>
                <w:color w:val="000000"/>
                <w:sz w:val="20"/>
                <w:szCs w:val="20"/>
              </w:rPr>
              <w:t>Total (N = 240)</w:t>
            </w:r>
          </w:p>
        </w:tc>
        <w:tc>
          <w:tcPr>
            <w:tcW w:w="973" w:type="dxa"/>
          </w:tcPr>
          <w:p w14:paraId="7BB7FC7C" w14:textId="77777777" w:rsidR="00A86074" w:rsidRPr="00851CA7" w:rsidRDefault="00370030" w:rsidP="00851CA7">
            <w:pPr>
              <w:keepNext/>
              <w:keepLines/>
              <w:spacing w:line="360" w:lineRule="auto"/>
              <w:jc w:val="center"/>
              <w:rPr>
                <w:sz w:val="20"/>
                <w:szCs w:val="20"/>
              </w:rPr>
            </w:pPr>
            <w:r w:rsidRPr="00851CA7">
              <w:rPr>
                <w:rFonts w:eastAsia="Arial"/>
                <w:b/>
                <w:bCs/>
                <w:color w:val="000000"/>
                <w:sz w:val="20"/>
                <w:szCs w:val="20"/>
              </w:rPr>
              <w:t>p value</w:t>
            </w:r>
          </w:p>
        </w:tc>
      </w:tr>
      <w:tr w:rsidR="00A86074" w:rsidRPr="00851CA7" w14:paraId="2D693CBD" w14:textId="77777777" w:rsidTr="00851CA7">
        <w:tc>
          <w:tcPr>
            <w:tcW w:w="2488" w:type="dxa"/>
          </w:tcPr>
          <w:p w14:paraId="24171003" w14:textId="77777777" w:rsidR="00A86074" w:rsidRPr="00851CA7" w:rsidRDefault="00370030" w:rsidP="00851CA7">
            <w:pPr>
              <w:keepLines/>
              <w:spacing w:line="360" w:lineRule="auto"/>
              <w:rPr>
                <w:sz w:val="20"/>
                <w:szCs w:val="20"/>
              </w:rPr>
            </w:pPr>
            <w:r w:rsidRPr="00851CA7">
              <w:rPr>
                <w:rFonts w:eastAsia="Arial"/>
                <w:color w:val="000000"/>
                <w:sz w:val="20"/>
                <w:szCs w:val="20"/>
              </w:rPr>
              <w:t>Age, mean ± SD (years)</w:t>
            </w:r>
          </w:p>
        </w:tc>
        <w:tc>
          <w:tcPr>
            <w:tcW w:w="1082" w:type="dxa"/>
          </w:tcPr>
          <w:p w14:paraId="23CE1969" w14:textId="77777777" w:rsidR="00A86074" w:rsidRPr="00851CA7" w:rsidRDefault="00A86074" w:rsidP="00851CA7">
            <w:pPr>
              <w:keepLines/>
              <w:spacing w:line="360" w:lineRule="auto"/>
              <w:rPr>
                <w:sz w:val="20"/>
                <w:szCs w:val="20"/>
              </w:rPr>
            </w:pPr>
          </w:p>
        </w:tc>
        <w:tc>
          <w:tcPr>
            <w:tcW w:w="1623" w:type="dxa"/>
          </w:tcPr>
          <w:p w14:paraId="34B18E36" w14:textId="77777777" w:rsidR="00A86074" w:rsidRPr="00851CA7" w:rsidRDefault="00370030" w:rsidP="00851CA7">
            <w:pPr>
              <w:keepLines/>
              <w:spacing w:line="360" w:lineRule="auto"/>
              <w:jc w:val="center"/>
              <w:rPr>
                <w:sz w:val="20"/>
                <w:szCs w:val="20"/>
              </w:rPr>
            </w:pPr>
            <w:r w:rsidRPr="00851CA7">
              <w:rPr>
                <w:rFonts w:eastAsia="Arial"/>
                <w:color w:val="000000"/>
                <w:sz w:val="20"/>
                <w:szCs w:val="20"/>
              </w:rPr>
              <w:t>41.3 ± 14.4</w:t>
            </w:r>
          </w:p>
        </w:tc>
        <w:tc>
          <w:tcPr>
            <w:tcW w:w="1623" w:type="dxa"/>
          </w:tcPr>
          <w:p w14:paraId="1AA988E2" w14:textId="77777777" w:rsidR="00A86074" w:rsidRPr="00851CA7" w:rsidRDefault="00370030" w:rsidP="00851CA7">
            <w:pPr>
              <w:keepLines/>
              <w:spacing w:line="360" w:lineRule="auto"/>
              <w:jc w:val="center"/>
              <w:rPr>
                <w:sz w:val="20"/>
                <w:szCs w:val="20"/>
              </w:rPr>
            </w:pPr>
            <w:r w:rsidRPr="00851CA7">
              <w:rPr>
                <w:rFonts w:eastAsia="Arial"/>
                <w:color w:val="000000"/>
                <w:sz w:val="20"/>
                <w:szCs w:val="20"/>
              </w:rPr>
              <w:t>42.6 ± 14.1</w:t>
            </w:r>
          </w:p>
        </w:tc>
        <w:tc>
          <w:tcPr>
            <w:tcW w:w="1623" w:type="dxa"/>
          </w:tcPr>
          <w:p w14:paraId="74F502B7" w14:textId="77777777" w:rsidR="00A86074" w:rsidRPr="00851CA7" w:rsidRDefault="00370030" w:rsidP="00851CA7">
            <w:pPr>
              <w:keepLines/>
              <w:spacing w:line="360" w:lineRule="auto"/>
              <w:jc w:val="center"/>
              <w:rPr>
                <w:sz w:val="20"/>
                <w:szCs w:val="20"/>
              </w:rPr>
            </w:pPr>
            <w:r w:rsidRPr="00851CA7">
              <w:rPr>
                <w:rFonts w:eastAsia="Arial"/>
                <w:color w:val="000000"/>
                <w:sz w:val="20"/>
                <w:szCs w:val="20"/>
              </w:rPr>
              <w:t>41.8 ± 14.3</w:t>
            </w:r>
          </w:p>
        </w:tc>
        <w:tc>
          <w:tcPr>
            <w:tcW w:w="973" w:type="dxa"/>
          </w:tcPr>
          <w:p w14:paraId="767624A8" w14:textId="77777777" w:rsidR="00A86074" w:rsidRPr="00851CA7" w:rsidRDefault="00370030" w:rsidP="00851CA7">
            <w:pPr>
              <w:keepLines/>
              <w:spacing w:line="360" w:lineRule="auto"/>
              <w:jc w:val="center"/>
              <w:rPr>
                <w:sz w:val="20"/>
                <w:szCs w:val="20"/>
              </w:rPr>
            </w:pPr>
            <w:r w:rsidRPr="00851CA7">
              <w:rPr>
                <w:rFonts w:eastAsia="Arial"/>
                <w:color w:val="000000"/>
                <w:sz w:val="20"/>
                <w:szCs w:val="20"/>
              </w:rPr>
              <w:t>0.487†</w:t>
            </w:r>
          </w:p>
        </w:tc>
      </w:tr>
      <w:tr w:rsidR="00A86074" w:rsidRPr="00851CA7" w14:paraId="2C1C4419" w14:textId="77777777" w:rsidTr="00851CA7">
        <w:tc>
          <w:tcPr>
            <w:tcW w:w="2488" w:type="dxa"/>
          </w:tcPr>
          <w:p w14:paraId="394BF44E" w14:textId="77777777" w:rsidR="00A86074" w:rsidRPr="00851CA7" w:rsidRDefault="00370030" w:rsidP="00851CA7">
            <w:pPr>
              <w:keepLines/>
              <w:spacing w:line="360" w:lineRule="auto"/>
              <w:rPr>
                <w:sz w:val="20"/>
                <w:szCs w:val="20"/>
              </w:rPr>
            </w:pPr>
            <w:r w:rsidRPr="00851CA7">
              <w:rPr>
                <w:rFonts w:eastAsia="Arial"/>
                <w:color w:val="000000"/>
                <w:sz w:val="20"/>
                <w:szCs w:val="20"/>
              </w:rPr>
              <w:t>Age group (years)</w:t>
            </w:r>
          </w:p>
        </w:tc>
        <w:tc>
          <w:tcPr>
            <w:tcW w:w="1082" w:type="dxa"/>
          </w:tcPr>
          <w:p w14:paraId="31E81F6A" w14:textId="77777777" w:rsidR="00A86074" w:rsidRPr="00851CA7" w:rsidRDefault="00370030" w:rsidP="00851CA7">
            <w:pPr>
              <w:keepLines/>
              <w:spacing w:line="360" w:lineRule="auto"/>
              <w:rPr>
                <w:sz w:val="20"/>
                <w:szCs w:val="20"/>
              </w:rPr>
            </w:pPr>
            <w:r w:rsidRPr="00851CA7">
              <w:rPr>
                <w:rFonts w:eastAsia="Arial"/>
                <w:color w:val="000000"/>
                <w:sz w:val="20"/>
                <w:szCs w:val="20"/>
              </w:rPr>
              <w:t>18–30</w:t>
            </w:r>
          </w:p>
        </w:tc>
        <w:tc>
          <w:tcPr>
            <w:tcW w:w="1623" w:type="dxa"/>
          </w:tcPr>
          <w:p w14:paraId="3109FF7F" w14:textId="77777777" w:rsidR="00A86074" w:rsidRPr="00851CA7" w:rsidRDefault="00370030" w:rsidP="00851CA7">
            <w:pPr>
              <w:keepLines/>
              <w:spacing w:line="360" w:lineRule="auto"/>
              <w:jc w:val="center"/>
              <w:rPr>
                <w:sz w:val="20"/>
                <w:szCs w:val="20"/>
              </w:rPr>
            </w:pPr>
            <w:r w:rsidRPr="00851CA7">
              <w:rPr>
                <w:rFonts w:eastAsia="Arial"/>
                <w:color w:val="000000"/>
                <w:sz w:val="20"/>
                <w:szCs w:val="20"/>
              </w:rPr>
              <w:t>37 (24.3)</w:t>
            </w:r>
          </w:p>
        </w:tc>
        <w:tc>
          <w:tcPr>
            <w:tcW w:w="1623" w:type="dxa"/>
          </w:tcPr>
          <w:p w14:paraId="679B8ABE" w14:textId="77777777" w:rsidR="00A86074" w:rsidRPr="00851CA7" w:rsidRDefault="00370030" w:rsidP="00851CA7">
            <w:pPr>
              <w:keepLines/>
              <w:spacing w:line="360" w:lineRule="auto"/>
              <w:jc w:val="center"/>
              <w:rPr>
                <w:sz w:val="20"/>
                <w:szCs w:val="20"/>
              </w:rPr>
            </w:pPr>
            <w:r w:rsidRPr="00851CA7">
              <w:rPr>
                <w:rFonts w:eastAsia="Arial"/>
                <w:color w:val="000000"/>
                <w:sz w:val="20"/>
                <w:szCs w:val="20"/>
              </w:rPr>
              <w:t>19 (21.6)</w:t>
            </w:r>
          </w:p>
        </w:tc>
        <w:tc>
          <w:tcPr>
            <w:tcW w:w="1623" w:type="dxa"/>
          </w:tcPr>
          <w:p w14:paraId="55269288" w14:textId="77777777" w:rsidR="00A86074" w:rsidRPr="00851CA7" w:rsidRDefault="00370030" w:rsidP="00851CA7">
            <w:pPr>
              <w:keepLines/>
              <w:spacing w:line="360" w:lineRule="auto"/>
              <w:jc w:val="center"/>
              <w:rPr>
                <w:sz w:val="20"/>
                <w:szCs w:val="20"/>
              </w:rPr>
            </w:pPr>
            <w:r w:rsidRPr="00851CA7">
              <w:rPr>
                <w:rFonts w:eastAsia="Arial"/>
                <w:color w:val="000000"/>
                <w:sz w:val="20"/>
                <w:szCs w:val="20"/>
              </w:rPr>
              <w:t>56 (23.3)</w:t>
            </w:r>
          </w:p>
        </w:tc>
        <w:tc>
          <w:tcPr>
            <w:tcW w:w="973" w:type="dxa"/>
          </w:tcPr>
          <w:p w14:paraId="43D060BE" w14:textId="77777777" w:rsidR="00A86074" w:rsidRPr="00851CA7" w:rsidRDefault="00370030" w:rsidP="00851CA7">
            <w:pPr>
              <w:keepLines/>
              <w:spacing w:line="360" w:lineRule="auto"/>
              <w:jc w:val="center"/>
              <w:rPr>
                <w:sz w:val="20"/>
                <w:szCs w:val="20"/>
              </w:rPr>
            </w:pPr>
            <w:r w:rsidRPr="00851CA7">
              <w:rPr>
                <w:rFonts w:eastAsia="Arial"/>
                <w:color w:val="000000"/>
                <w:sz w:val="20"/>
                <w:szCs w:val="20"/>
              </w:rPr>
              <w:t>0.744‡</w:t>
            </w:r>
          </w:p>
        </w:tc>
      </w:tr>
      <w:tr w:rsidR="00A86074" w:rsidRPr="00851CA7" w14:paraId="5DD1329C" w14:textId="77777777" w:rsidTr="00851CA7">
        <w:tc>
          <w:tcPr>
            <w:tcW w:w="2488" w:type="dxa"/>
          </w:tcPr>
          <w:p w14:paraId="536D3C36" w14:textId="77777777" w:rsidR="00A86074" w:rsidRPr="00851CA7" w:rsidRDefault="00A86074" w:rsidP="00851CA7">
            <w:pPr>
              <w:keepLines/>
              <w:spacing w:line="360" w:lineRule="auto"/>
              <w:rPr>
                <w:sz w:val="20"/>
                <w:szCs w:val="20"/>
              </w:rPr>
            </w:pPr>
          </w:p>
        </w:tc>
        <w:tc>
          <w:tcPr>
            <w:tcW w:w="1082" w:type="dxa"/>
          </w:tcPr>
          <w:p w14:paraId="20ABC840" w14:textId="77777777" w:rsidR="00A86074" w:rsidRPr="00851CA7" w:rsidRDefault="00370030" w:rsidP="00851CA7">
            <w:pPr>
              <w:keepLines/>
              <w:spacing w:line="360" w:lineRule="auto"/>
              <w:rPr>
                <w:sz w:val="20"/>
                <w:szCs w:val="20"/>
              </w:rPr>
            </w:pPr>
            <w:r w:rsidRPr="00851CA7">
              <w:rPr>
                <w:rFonts w:eastAsia="Arial"/>
                <w:color w:val="000000"/>
                <w:sz w:val="20"/>
                <w:szCs w:val="20"/>
              </w:rPr>
              <w:t>31–45</w:t>
            </w:r>
          </w:p>
        </w:tc>
        <w:tc>
          <w:tcPr>
            <w:tcW w:w="1623" w:type="dxa"/>
          </w:tcPr>
          <w:p w14:paraId="792DF08D" w14:textId="77777777" w:rsidR="00A86074" w:rsidRPr="00851CA7" w:rsidRDefault="00370030" w:rsidP="00851CA7">
            <w:pPr>
              <w:keepLines/>
              <w:spacing w:line="360" w:lineRule="auto"/>
              <w:jc w:val="center"/>
              <w:rPr>
                <w:sz w:val="20"/>
                <w:szCs w:val="20"/>
              </w:rPr>
            </w:pPr>
            <w:r w:rsidRPr="00851CA7">
              <w:rPr>
                <w:rFonts w:eastAsia="Arial"/>
                <w:color w:val="000000"/>
                <w:sz w:val="20"/>
                <w:szCs w:val="20"/>
              </w:rPr>
              <w:t>60 (39.5)</w:t>
            </w:r>
          </w:p>
        </w:tc>
        <w:tc>
          <w:tcPr>
            <w:tcW w:w="1623" w:type="dxa"/>
          </w:tcPr>
          <w:p w14:paraId="72723EFD" w14:textId="77777777" w:rsidR="00A86074" w:rsidRPr="00851CA7" w:rsidRDefault="00370030" w:rsidP="00851CA7">
            <w:pPr>
              <w:keepLines/>
              <w:spacing w:line="360" w:lineRule="auto"/>
              <w:jc w:val="center"/>
              <w:rPr>
                <w:sz w:val="20"/>
                <w:szCs w:val="20"/>
              </w:rPr>
            </w:pPr>
            <w:r w:rsidRPr="00851CA7">
              <w:rPr>
                <w:rFonts w:eastAsia="Arial"/>
                <w:color w:val="000000"/>
                <w:sz w:val="20"/>
                <w:szCs w:val="20"/>
              </w:rPr>
              <w:t>31 (35.2)</w:t>
            </w:r>
          </w:p>
        </w:tc>
        <w:tc>
          <w:tcPr>
            <w:tcW w:w="1623" w:type="dxa"/>
          </w:tcPr>
          <w:p w14:paraId="23E77429" w14:textId="77777777" w:rsidR="00A86074" w:rsidRPr="00851CA7" w:rsidRDefault="00370030" w:rsidP="00851CA7">
            <w:pPr>
              <w:keepLines/>
              <w:spacing w:line="360" w:lineRule="auto"/>
              <w:jc w:val="center"/>
              <w:rPr>
                <w:sz w:val="20"/>
                <w:szCs w:val="20"/>
              </w:rPr>
            </w:pPr>
            <w:r w:rsidRPr="00851CA7">
              <w:rPr>
                <w:rFonts w:eastAsia="Arial"/>
                <w:color w:val="000000"/>
                <w:sz w:val="20"/>
                <w:szCs w:val="20"/>
              </w:rPr>
              <w:t>91 (37.9)</w:t>
            </w:r>
          </w:p>
        </w:tc>
        <w:tc>
          <w:tcPr>
            <w:tcW w:w="973" w:type="dxa"/>
          </w:tcPr>
          <w:p w14:paraId="0160134D" w14:textId="77777777" w:rsidR="00A86074" w:rsidRPr="00851CA7" w:rsidRDefault="00A86074" w:rsidP="00851CA7">
            <w:pPr>
              <w:keepLines/>
              <w:spacing w:line="360" w:lineRule="auto"/>
              <w:jc w:val="center"/>
              <w:rPr>
                <w:sz w:val="20"/>
                <w:szCs w:val="20"/>
              </w:rPr>
            </w:pPr>
          </w:p>
        </w:tc>
      </w:tr>
      <w:tr w:rsidR="00A86074" w:rsidRPr="00851CA7" w14:paraId="58CEB8E2" w14:textId="77777777" w:rsidTr="00851CA7">
        <w:tc>
          <w:tcPr>
            <w:tcW w:w="2488" w:type="dxa"/>
          </w:tcPr>
          <w:p w14:paraId="3D8F6902" w14:textId="77777777" w:rsidR="00A86074" w:rsidRPr="00851CA7" w:rsidRDefault="00A86074" w:rsidP="00851CA7">
            <w:pPr>
              <w:keepLines/>
              <w:spacing w:line="360" w:lineRule="auto"/>
              <w:rPr>
                <w:sz w:val="20"/>
                <w:szCs w:val="20"/>
              </w:rPr>
            </w:pPr>
          </w:p>
        </w:tc>
        <w:tc>
          <w:tcPr>
            <w:tcW w:w="1082" w:type="dxa"/>
          </w:tcPr>
          <w:p w14:paraId="41BC4AF7" w14:textId="77777777" w:rsidR="00A86074" w:rsidRPr="00851CA7" w:rsidRDefault="00370030" w:rsidP="00851CA7">
            <w:pPr>
              <w:keepLines/>
              <w:spacing w:line="360" w:lineRule="auto"/>
              <w:rPr>
                <w:sz w:val="20"/>
                <w:szCs w:val="20"/>
              </w:rPr>
            </w:pPr>
            <w:r w:rsidRPr="00851CA7">
              <w:rPr>
                <w:rFonts w:eastAsia="Arial"/>
                <w:color w:val="000000"/>
                <w:sz w:val="20"/>
                <w:szCs w:val="20"/>
              </w:rPr>
              <w:t>46–60</w:t>
            </w:r>
          </w:p>
        </w:tc>
        <w:tc>
          <w:tcPr>
            <w:tcW w:w="1623" w:type="dxa"/>
          </w:tcPr>
          <w:p w14:paraId="6F94CC61" w14:textId="77777777" w:rsidR="00A86074" w:rsidRPr="00851CA7" w:rsidRDefault="00370030" w:rsidP="00851CA7">
            <w:pPr>
              <w:keepLines/>
              <w:spacing w:line="360" w:lineRule="auto"/>
              <w:jc w:val="center"/>
              <w:rPr>
                <w:sz w:val="20"/>
                <w:szCs w:val="20"/>
              </w:rPr>
            </w:pPr>
            <w:r w:rsidRPr="00851CA7">
              <w:rPr>
                <w:rFonts w:eastAsia="Arial"/>
                <w:color w:val="000000"/>
                <w:sz w:val="20"/>
                <w:szCs w:val="20"/>
              </w:rPr>
              <w:t>39 (25.7)</w:t>
            </w:r>
          </w:p>
        </w:tc>
        <w:tc>
          <w:tcPr>
            <w:tcW w:w="1623" w:type="dxa"/>
          </w:tcPr>
          <w:p w14:paraId="3A719F99" w14:textId="77777777" w:rsidR="00A86074" w:rsidRPr="00851CA7" w:rsidRDefault="00370030" w:rsidP="00851CA7">
            <w:pPr>
              <w:keepLines/>
              <w:spacing w:line="360" w:lineRule="auto"/>
              <w:jc w:val="center"/>
              <w:rPr>
                <w:sz w:val="20"/>
                <w:szCs w:val="20"/>
              </w:rPr>
            </w:pPr>
            <w:r w:rsidRPr="00851CA7">
              <w:rPr>
                <w:rFonts w:eastAsia="Arial"/>
                <w:color w:val="000000"/>
                <w:sz w:val="20"/>
                <w:szCs w:val="20"/>
              </w:rPr>
              <w:t>28 (31.8)</w:t>
            </w:r>
          </w:p>
        </w:tc>
        <w:tc>
          <w:tcPr>
            <w:tcW w:w="1623" w:type="dxa"/>
          </w:tcPr>
          <w:p w14:paraId="34047BE3" w14:textId="77777777" w:rsidR="00A86074" w:rsidRPr="00851CA7" w:rsidRDefault="00370030" w:rsidP="00851CA7">
            <w:pPr>
              <w:keepLines/>
              <w:spacing w:line="360" w:lineRule="auto"/>
              <w:jc w:val="center"/>
              <w:rPr>
                <w:sz w:val="20"/>
                <w:szCs w:val="20"/>
              </w:rPr>
            </w:pPr>
            <w:r w:rsidRPr="00851CA7">
              <w:rPr>
                <w:rFonts w:eastAsia="Arial"/>
                <w:color w:val="000000"/>
                <w:sz w:val="20"/>
                <w:szCs w:val="20"/>
              </w:rPr>
              <w:t>67 (27.9)</w:t>
            </w:r>
          </w:p>
        </w:tc>
        <w:tc>
          <w:tcPr>
            <w:tcW w:w="973" w:type="dxa"/>
          </w:tcPr>
          <w:p w14:paraId="2B117BFF" w14:textId="77777777" w:rsidR="00A86074" w:rsidRPr="00851CA7" w:rsidRDefault="00A86074" w:rsidP="00851CA7">
            <w:pPr>
              <w:keepLines/>
              <w:spacing w:line="360" w:lineRule="auto"/>
              <w:jc w:val="center"/>
              <w:rPr>
                <w:sz w:val="20"/>
                <w:szCs w:val="20"/>
              </w:rPr>
            </w:pPr>
          </w:p>
        </w:tc>
      </w:tr>
      <w:tr w:rsidR="00A86074" w:rsidRPr="00851CA7" w14:paraId="57DF8112" w14:textId="77777777" w:rsidTr="00851CA7">
        <w:tc>
          <w:tcPr>
            <w:tcW w:w="2488" w:type="dxa"/>
          </w:tcPr>
          <w:p w14:paraId="0D978860" w14:textId="77777777" w:rsidR="00A86074" w:rsidRPr="00851CA7" w:rsidRDefault="00A86074" w:rsidP="00851CA7">
            <w:pPr>
              <w:keepLines/>
              <w:spacing w:line="360" w:lineRule="auto"/>
              <w:rPr>
                <w:sz w:val="20"/>
                <w:szCs w:val="20"/>
              </w:rPr>
            </w:pPr>
          </w:p>
        </w:tc>
        <w:tc>
          <w:tcPr>
            <w:tcW w:w="1082" w:type="dxa"/>
          </w:tcPr>
          <w:p w14:paraId="09578F4A" w14:textId="77777777" w:rsidR="00A86074" w:rsidRPr="00851CA7" w:rsidRDefault="00370030" w:rsidP="00851CA7">
            <w:pPr>
              <w:keepLines/>
              <w:spacing w:line="360" w:lineRule="auto"/>
              <w:rPr>
                <w:sz w:val="20"/>
                <w:szCs w:val="20"/>
              </w:rPr>
            </w:pPr>
            <w:r w:rsidRPr="00851CA7">
              <w:rPr>
                <w:rFonts w:eastAsia="Arial"/>
                <w:color w:val="000000"/>
                <w:sz w:val="20"/>
                <w:szCs w:val="20"/>
              </w:rPr>
              <w:t>&gt;60</w:t>
            </w:r>
          </w:p>
        </w:tc>
        <w:tc>
          <w:tcPr>
            <w:tcW w:w="1623" w:type="dxa"/>
          </w:tcPr>
          <w:p w14:paraId="7F20B723" w14:textId="77777777" w:rsidR="00A86074" w:rsidRPr="00851CA7" w:rsidRDefault="00370030" w:rsidP="00851CA7">
            <w:pPr>
              <w:keepLines/>
              <w:spacing w:line="360" w:lineRule="auto"/>
              <w:jc w:val="center"/>
              <w:rPr>
                <w:sz w:val="20"/>
                <w:szCs w:val="20"/>
              </w:rPr>
            </w:pPr>
            <w:r w:rsidRPr="00851CA7">
              <w:rPr>
                <w:rFonts w:eastAsia="Arial"/>
                <w:color w:val="000000"/>
                <w:sz w:val="20"/>
                <w:szCs w:val="20"/>
              </w:rPr>
              <w:t>16 (10.5)</w:t>
            </w:r>
          </w:p>
        </w:tc>
        <w:tc>
          <w:tcPr>
            <w:tcW w:w="1623" w:type="dxa"/>
          </w:tcPr>
          <w:p w14:paraId="251EAED4" w14:textId="77777777" w:rsidR="00A86074" w:rsidRPr="00851CA7" w:rsidRDefault="00370030" w:rsidP="00851CA7">
            <w:pPr>
              <w:keepLines/>
              <w:spacing w:line="360" w:lineRule="auto"/>
              <w:jc w:val="center"/>
              <w:rPr>
                <w:sz w:val="20"/>
                <w:szCs w:val="20"/>
              </w:rPr>
            </w:pPr>
            <w:r w:rsidRPr="00851CA7">
              <w:rPr>
                <w:rFonts w:eastAsia="Arial"/>
                <w:color w:val="000000"/>
                <w:sz w:val="20"/>
                <w:szCs w:val="20"/>
              </w:rPr>
              <w:t>10 (11.4)</w:t>
            </w:r>
          </w:p>
        </w:tc>
        <w:tc>
          <w:tcPr>
            <w:tcW w:w="1623" w:type="dxa"/>
          </w:tcPr>
          <w:p w14:paraId="2525D143" w14:textId="77777777" w:rsidR="00A86074" w:rsidRPr="00851CA7" w:rsidRDefault="00370030" w:rsidP="00851CA7">
            <w:pPr>
              <w:keepLines/>
              <w:spacing w:line="360" w:lineRule="auto"/>
              <w:jc w:val="center"/>
              <w:rPr>
                <w:sz w:val="20"/>
                <w:szCs w:val="20"/>
              </w:rPr>
            </w:pPr>
            <w:r w:rsidRPr="00851CA7">
              <w:rPr>
                <w:rFonts w:eastAsia="Arial"/>
                <w:color w:val="000000"/>
                <w:sz w:val="20"/>
                <w:szCs w:val="20"/>
              </w:rPr>
              <w:t>26 (10.8)</w:t>
            </w:r>
          </w:p>
        </w:tc>
        <w:tc>
          <w:tcPr>
            <w:tcW w:w="973" w:type="dxa"/>
          </w:tcPr>
          <w:p w14:paraId="36D9AD70" w14:textId="77777777" w:rsidR="00A86074" w:rsidRPr="00851CA7" w:rsidRDefault="00A86074" w:rsidP="00851CA7">
            <w:pPr>
              <w:keepLines/>
              <w:spacing w:line="360" w:lineRule="auto"/>
              <w:jc w:val="center"/>
              <w:rPr>
                <w:sz w:val="20"/>
                <w:szCs w:val="20"/>
              </w:rPr>
            </w:pPr>
          </w:p>
        </w:tc>
      </w:tr>
      <w:tr w:rsidR="00A86074" w:rsidRPr="00851CA7" w14:paraId="22049533" w14:textId="77777777" w:rsidTr="00851CA7">
        <w:tc>
          <w:tcPr>
            <w:tcW w:w="2488" w:type="dxa"/>
          </w:tcPr>
          <w:p w14:paraId="34677225" w14:textId="77777777" w:rsidR="00A86074" w:rsidRPr="00851CA7" w:rsidRDefault="00370030" w:rsidP="00851CA7">
            <w:pPr>
              <w:keepLines/>
              <w:spacing w:line="360" w:lineRule="auto"/>
              <w:rPr>
                <w:sz w:val="20"/>
                <w:szCs w:val="20"/>
              </w:rPr>
            </w:pPr>
            <w:r w:rsidRPr="00851CA7">
              <w:rPr>
                <w:rFonts w:eastAsia="Arial"/>
                <w:color w:val="000000"/>
                <w:sz w:val="20"/>
                <w:szCs w:val="20"/>
              </w:rPr>
              <w:t>Haemoglobin, mean ± SD (g/dL)</w:t>
            </w:r>
          </w:p>
        </w:tc>
        <w:tc>
          <w:tcPr>
            <w:tcW w:w="1082" w:type="dxa"/>
          </w:tcPr>
          <w:p w14:paraId="7F92D0C7" w14:textId="77777777" w:rsidR="00A86074" w:rsidRPr="00851CA7" w:rsidRDefault="00A86074" w:rsidP="00851CA7">
            <w:pPr>
              <w:keepLines/>
              <w:spacing w:line="360" w:lineRule="auto"/>
              <w:rPr>
                <w:sz w:val="20"/>
                <w:szCs w:val="20"/>
              </w:rPr>
            </w:pPr>
          </w:p>
        </w:tc>
        <w:tc>
          <w:tcPr>
            <w:tcW w:w="1623" w:type="dxa"/>
          </w:tcPr>
          <w:p w14:paraId="3E604C3E" w14:textId="77777777" w:rsidR="00A86074" w:rsidRPr="00851CA7" w:rsidRDefault="00370030" w:rsidP="00851CA7">
            <w:pPr>
              <w:keepLines/>
              <w:spacing w:line="360" w:lineRule="auto"/>
              <w:jc w:val="center"/>
              <w:rPr>
                <w:sz w:val="20"/>
                <w:szCs w:val="20"/>
              </w:rPr>
            </w:pPr>
            <w:r w:rsidRPr="00851CA7">
              <w:rPr>
                <w:rFonts w:eastAsia="Arial"/>
                <w:color w:val="000000"/>
                <w:sz w:val="20"/>
                <w:szCs w:val="20"/>
              </w:rPr>
              <w:t>9.0 ± 1.5</w:t>
            </w:r>
          </w:p>
        </w:tc>
        <w:tc>
          <w:tcPr>
            <w:tcW w:w="1623" w:type="dxa"/>
          </w:tcPr>
          <w:p w14:paraId="0F59BA5F" w14:textId="77777777" w:rsidR="00A86074" w:rsidRPr="00851CA7" w:rsidRDefault="00370030" w:rsidP="00851CA7">
            <w:pPr>
              <w:keepLines/>
              <w:spacing w:line="360" w:lineRule="auto"/>
              <w:jc w:val="center"/>
              <w:rPr>
                <w:sz w:val="20"/>
                <w:szCs w:val="20"/>
              </w:rPr>
            </w:pPr>
            <w:r w:rsidRPr="00851CA7">
              <w:rPr>
                <w:rFonts w:eastAsia="Arial"/>
                <w:color w:val="000000"/>
                <w:sz w:val="20"/>
                <w:szCs w:val="20"/>
              </w:rPr>
              <w:t>9.2 ± 1.4</w:t>
            </w:r>
          </w:p>
        </w:tc>
        <w:tc>
          <w:tcPr>
            <w:tcW w:w="1623" w:type="dxa"/>
          </w:tcPr>
          <w:p w14:paraId="004F8BCF" w14:textId="77777777" w:rsidR="00A86074" w:rsidRPr="00851CA7" w:rsidRDefault="00370030" w:rsidP="00851CA7">
            <w:pPr>
              <w:keepLines/>
              <w:spacing w:line="360" w:lineRule="auto"/>
              <w:jc w:val="center"/>
              <w:rPr>
                <w:sz w:val="20"/>
                <w:szCs w:val="20"/>
              </w:rPr>
            </w:pPr>
            <w:r w:rsidRPr="00851CA7">
              <w:rPr>
                <w:rFonts w:eastAsia="Arial"/>
                <w:color w:val="000000"/>
                <w:sz w:val="20"/>
                <w:szCs w:val="20"/>
              </w:rPr>
              <w:t>9.1 ± 1.4</w:t>
            </w:r>
          </w:p>
        </w:tc>
        <w:tc>
          <w:tcPr>
            <w:tcW w:w="973" w:type="dxa"/>
          </w:tcPr>
          <w:p w14:paraId="06B327A5" w14:textId="77777777" w:rsidR="00A86074" w:rsidRPr="00851CA7" w:rsidRDefault="00370030" w:rsidP="00851CA7">
            <w:pPr>
              <w:keepLines/>
              <w:spacing w:line="360" w:lineRule="auto"/>
              <w:jc w:val="center"/>
              <w:rPr>
                <w:sz w:val="20"/>
                <w:szCs w:val="20"/>
              </w:rPr>
            </w:pPr>
            <w:r w:rsidRPr="00851CA7">
              <w:rPr>
                <w:rFonts w:eastAsia="Arial"/>
                <w:color w:val="000000"/>
                <w:sz w:val="20"/>
                <w:szCs w:val="20"/>
              </w:rPr>
              <w:t>0.189†</w:t>
            </w:r>
          </w:p>
        </w:tc>
      </w:tr>
      <w:tr w:rsidR="00A86074" w:rsidRPr="00851CA7" w14:paraId="33CBCD64" w14:textId="77777777" w:rsidTr="00851CA7">
        <w:tc>
          <w:tcPr>
            <w:tcW w:w="2488" w:type="dxa"/>
          </w:tcPr>
          <w:p w14:paraId="24DC867C" w14:textId="77777777" w:rsidR="00A86074" w:rsidRPr="00851CA7" w:rsidRDefault="00370030" w:rsidP="00851CA7">
            <w:pPr>
              <w:keepLines/>
              <w:spacing w:line="360" w:lineRule="auto"/>
              <w:rPr>
                <w:sz w:val="20"/>
                <w:szCs w:val="20"/>
              </w:rPr>
            </w:pPr>
            <w:r w:rsidRPr="00851CA7">
              <w:rPr>
                <w:rFonts w:eastAsia="Arial"/>
                <w:color w:val="000000"/>
                <w:sz w:val="20"/>
                <w:szCs w:val="20"/>
              </w:rPr>
              <w:t>Severity of anaemia*</w:t>
            </w:r>
          </w:p>
        </w:tc>
        <w:tc>
          <w:tcPr>
            <w:tcW w:w="1082" w:type="dxa"/>
          </w:tcPr>
          <w:p w14:paraId="3B1FF9C8" w14:textId="77777777" w:rsidR="00A86074" w:rsidRPr="00851CA7" w:rsidRDefault="00370030" w:rsidP="00851CA7">
            <w:pPr>
              <w:keepLines/>
              <w:spacing w:line="360" w:lineRule="auto"/>
              <w:rPr>
                <w:sz w:val="20"/>
                <w:szCs w:val="20"/>
              </w:rPr>
            </w:pPr>
            <w:r w:rsidRPr="00851CA7">
              <w:rPr>
                <w:rFonts w:eastAsia="Arial"/>
                <w:color w:val="000000"/>
                <w:sz w:val="20"/>
                <w:szCs w:val="20"/>
              </w:rPr>
              <w:t>Mild</w:t>
            </w:r>
          </w:p>
        </w:tc>
        <w:tc>
          <w:tcPr>
            <w:tcW w:w="1623" w:type="dxa"/>
          </w:tcPr>
          <w:p w14:paraId="54BE4EBA" w14:textId="77777777" w:rsidR="00A86074" w:rsidRPr="00851CA7" w:rsidRDefault="00370030" w:rsidP="00851CA7">
            <w:pPr>
              <w:keepLines/>
              <w:spacing w:line="360" w:lineRule="auto"/>
              <w:jc w:val="center"/>
              <w:rPr>
                <w:sz w:val="20"/>
                <w:szCs w:val="20"/>
              </w:rPr>
            </w:pPr>
            <w:r w:rsidRPr="00851CA7">
              <w:rPr>
                <w:rFonts w:eastAsia="Arial"/>
                <w:color w:val="000000"/>
                <w:sz w:val="20"/>
                <w:szCs w:val="20"/>
              </w:rPr>
              <w:t>15 (9.9)</w:t>
            </w:r>
          </w:p>
        </w:tc>
        <w:tc>
          <w:tcPr>
            <w:tcW w:w="1623" w:type="dxa"/>
          </w:tcPr>
          <w:p w14:paraId="23DF084B" w14:textId="77777777" w:rsidR="00A86074" w:rsidRPr="00851CA7" w:rsidRDefault="00370030" w:rsidP="00851CA7">
            <w:pPr>
              <w:keepLines/>
              <w:spacing w:line="360" w:lineRule="auto"/>
              <w:jc w:val="center"/>
              <w:rPr>
                <w:sz w:val="20"/>
                <w:szCs w:val="20"/>
              </w:rPr>
            </w:pPr>
            <w:r w:rsidRPr="00851CA7">
              <w:rPr>
                <w:rFonts w:eastAsia="Arial"/>
                <w:color w:val="000000"/>
                <w:sz w:val="20"/>
                <w:szCs w:val="20"/>
              </w:rPr>
              <w:t>10 (11.4)</w:t>
            </w:r>
          </w:p>
        </w:tc>
        <w:tc>
          <w:tcPr>
            <w:tcW w:w="1623" w:type="dxa"/>
          </w:tcPr>
          <w:p w14:paraId="3E4DED1A" w14:textId="77777777" w:rsidR="00A86074" w:rsidRPr="00851CA7" w:rsidRDefault="00370030" w:rsidP="00851CA7">
            <w:pPr>
              <w:keepLines/>
              <w:spacing w:line="360" w:lineRule="auto"/>
              <w:jc w:val="center"/>
              <w:rPr>
                <w:sz w:val="20"/>
                <w:szCs w:val="20"/>
              </w:rPr>
            </w:pPr>
            <w:r w:rsidRPr="00851CA7">
              <w:rPr>
                <w:rFonts w:eastAsia="Arial"/>
                <w:color w:val="000000"/>
                <w:sz w:val="20"/>
                <w:szCs w:val="20"/>
              </w:rPr>
              <w:t>25 (10.4)</w:t>
            </w:r>
          </w:p>
        </w:tc>
        <w:tc>
          <w:tcPr>
            <w:tcW w:w="973" w:type="dxa"/>
          </w:tcPr>
          <w:p w14:paraId="4E8DDFB4" w14:textId="77777777" w:rsidR="00A86074" w:rsidRPr="00851CA7" w:rsidRDefault="00370030" w:rsidP="00851CA7">
            <w:pPr>
              <w:keepLines/>
              <w:spacing w:line="360" w:lineRule="auto"/>
              <w:jc w:val="center"/>
              <w:rPr>
                <w:sz w:val="20"/>
                <w:szCs w:val="20"/>
              </w:rPr>
            </w:pPr>
            <w:r w:rsidRPr="00851CA7">
              <w:rPr>
                <w:rFonts w:eastAsia="Arial"/>
                <w:color w:val="000000"/>
                <w:sz w:val="20"/>
                <w:szCs w:val="20"/>
              </w:rPr>
              <w:t>0.934‡</w:t>
            </w:r>
          </w:p>
        </w:tc>
      </w:tr>
      <w:tr w:rsidR="00A86074" w:rsidRPr="00851CA7" w14:paraId="780B4051" w14:textId="77777777" w:rsidTr="00851CA7">
        <w:tc>
          <w:tcPr>
            <w:tcW w:w="2488" w:type="dxa"/>
          </w:tcPr>
          <w:p w14:paraId="2C93365E" w14:textId="77777777" w:rsidR="00A86074" w:rsidRPr="00851CA7" w:rsidRDefault="00A86074" w:rsidP="00851CA7">
            <w:pPr>
              <w:keepLines/>
              <w:spacing w:line="360" w:lineRule="auto"/>
              <w:rPr>
                <w:sz w:val="20"/>
                <w:szCs w:val="20"/>
              </w:rPr>
            </w:pPr>
          </w:p>
        </w:tc>
        <w:tc>
          <w:tcPr>
            <w:tcW w:w="1082" w:type="dxa"/>
          </w:tcPr>
          <w:p w14:paraId="2699811A" w14:textId="77777777" w:rsidR="00A86074" w:rsidRPr="00851CA7" w:rsidRDefault="00370030" w:rsidP="00851CA7">
            <w:pPr>
              <w:keepLines/>
              <w:spacing w:line="360" w:lineRule="auto"/>
              <w:rPr>
                <w:sz w:val="20"/>
                <w:szCs w:val="20"/>
              </w:rPr>
            </w:pPr>
            <w:r w:rsidRPr="00851CA7">
              <w:rPr>
                <w:rFonts w:eastAsia="Arial"/>
                <w:color w:val="000000"/>
                <w:sz w:val="20"/>
                <w:szCs w:val="20"/>
              </w:rPr>
              <w:t>Moderate</w:t>
            </w:r>
          </w:p>
        </w:tc>
        <w:tc>
          <w:tcPr>
            <w:tcW w:w="1623" w:type="dxa"/>
          </w:tcPr>
          <w:p w14:paraId="69FA8AD3" w14:textId="77777777" w:rsidR="00A86074" w:rsidRPr="00851CA7" w:rsidRDefault="00370030" w:rsidP="00851CA7">
            <w:pPr>
              <w:keepLines/>
              <w:spacing w:line="360" w:lineRule="auto"/>
              <w:jc w:val="center"/>
              <w:rPr>
                <w:sz w:val="20"/>
                <w:szCs w:val="20"/>
              </w:rPr>
            </w:pPr>
            <w:r w:rsidRPr="00851CA7">
              <w:rPr>
                <w:rFonts w:eastAsia="Arial"/>
                <w:color w:val="000000"/>
                <w:sz w:val="20"/>
                <w:szCs w:val="20"/>
              </w:rPr>
              <w:t>104 (68.4)</w:t>
            </w:r>
          </w:p>
        </w:tc>
        <w:tc>
          <w:tcPr>
            <w:tcW w:w="1623" w:type="dxa"/>
          </w:tcPr>
          <w:p w14:paraId="4BACAC53" w14:textId="77777777" w:rsidR="00A86074" w:rsidRPr="00851CA7" w:rsidRDefault="00370030" w:rsidP="00851CA7">
            <w:pPr>
              <w:keepLines/>
              <w:spacing w:line="360" w:lineRule="auto"/>
              <w:jc w:val="center"/>
              <w:rPr>
                <w:sz w:val="20"/>
                <w:szCs w:val="20"/>
              </w:rPr>
            </w:pPr>
            <w:r w:rsidRPr="00851CA7">
              <w:rPr>
                <w:rFonts w:eastAsia="Arial"/>
                <w:color w:val="000000"/>
                <w:sz w:val="20"/>
                <w:szCs w:val="20"/>
              </w:rPr>
              <w:t>59 (67.0)</w:t>
            </w:r>
          </w:p>
        </w:tc>
        <w:tc>
          <w:tcPr>
            <w:tcW w:w="1623" w:type="dxa"/>
          </w:tcPr>
          <w:p w14:paraId="3A5BC6AB" w14:textId="77777777" w:rsidR="00A86074" w:rsidRPr="00851CA7" w:rsidRDefault="00370030" w:rsidP="00851CA7">
            <w:pPr>
              <w:keepLines/>
              <w:spacing w:line="360" w:lineRule="auto"/>
              <w:jc w:val="center"/>
              <w:rPr>
                <w:sz w:val="20"/>
                <w:szCs w:val="20"/>
              </w:rPr>
            </w:pPr>
            <w:r w:rsidRPr="00851CA7">
              <w:rPr>
                <w:rFonts w:eastAsia="Arial"/>
                <w:color w:val="000000"/>
                <w:sz w:val="20"/>
                <w:szCs w:val="20"/>
              </w:rPr>
              <w:t>163 (67.9)</w:t>
            </w:r>
          </w:p>
        </w:tc>
        <w:tc>
          <w:tcPr>
            <w:tcW w:w="973" w:type="dxa"/>
          </w:tcPr>
          <w:p w14:paraId="6DE151C7" w14:textId="77777777" w:rsidR="00A86074" w:rsidRPr="00851CA7" w:rsidRDefault="00A86074" w:rsidP="00851CA7">
            <w:pPr>
              <w:keepLines/>
              <w:spacing w:line="360" w:lineRule="auto"/>
              <w:jc w:val="center"/>
              <w:rPr>
                <w:sz w:val="20"/>
                <w:szCs w:val="20"/>
              </w:rPr>
            </w:pPr>
          </w:p>
        </w:tc>
      </w:tr>
      <w:tr w:rsidR="00A86074" w:rsidRPr="00851CA7" w14:paraId="40CF2557" w14:textId="77777777" w:rsidTr="00851CA7">
        <w:tc>
          <w:tcPr>
            <w:tcW w:w="2488" w:type="dxa"/>
          </w:tcPr>
          <w:p w14:paraId="62AF5B89" w14:textId="77777777" w:rsidR="00A86074" w:rsidRPr="00851CA7" w:rsidRDefault="00A86074" w:rsidP="00851CA7">
            <w:pPr>
              <w:keepLines/>
              <w:spacing w:line="360" w:lineRule="auto"/>
              <w:rPr>
                <w:sz w:val="20"/>
                <w:szCs w:val="20"/>
              </w:rPr>
            </w:pPr>
          </w:p>
        </w:tc>
        <w:tc>
          <w:tcPr>
            <w:tcW w:w="1082" w:type="dxa"/>
          </w:tcPr>
          <w:p w14:paraId="7C577733" w14:textId="77777777" w:rsidR="00A86074" w:rsidRPr="00851CA7" w:rsidRDefault="00370030" w:rsidP="00851CA7">
            <w:pPr>
              <w:keepLines/>
              <w:spacing w:line="360" w:lineRule="auto"/>
              <w:rPr>
                <w:sz w:val="20"/>
                <w:szCs w:val="20"/>
              </w:rPr>
            </w:pPr>
            <w:r w:rsidRPr="00851CA7">
              <w:rPr>
                <w:rFonts w:eastAsia="Arial"/>
                <w:color w:val="000000"/>
                <w:sz w:val="20"/>
                <w:szCs w:val="20"/>
              </w:rPr>
              <w:t>Severe</w:t>
            </w:r>
          </w:p>
        </w:tc>
        <w:tc>
          <w:tcPr>
            <w:tcW w:w="1623" w:type="dxa"/>
          </w:tcPr>
          <w:p w14:paraId="4284D6F7" w14:textId="77777777" w:rsidR="00A86074" w:rsidRPr="00851CA7" w:rsidRDefault="00370030" w:rsidP="00851CA7">
            <w:pPr>
              <w:keepLines/>
              <w:spacing w:line="360" w:lineRule="auto"/>
              <w:jc w:val="center"/>
              <w:rPr>
                <w:sz w:val="20"/>
                <w:szCs w:val="20"/>
              </w:rPr>
            </w:pPr>
            <w:r w:rsidRPr="00851CA7">
              <w:rPr>
                <w:rFonts w:eastAsia="Arial"/>
                <w:color w:val="000000"/>
                <w:sz w:val="20"/>
                <w:szCs w:val="20"/>
              </w:rPr>
              <w:t>33 (21.7)</w:t>
            </w:r>
          </w:p>
        </w:tc>
        <w:tc>
          <w:tcPr>
            <w:tcW w:w="1623" w:type="dxa"/>
          </w:tcPr>
          <w:p w14:paraId="7D3789E2" w14:textId="77777777" w:rsidR="00A86074" w:rsidRPr="00851CA7" w:rsidRDefault="00370030" w:rsidP="00851CA7">
            <w:pPr>
              <w:keepLines/>
              <w:spacing w:line="360" w:lineRule="auto"/>
              <w:jc w:val="center"/>
              <w:rPr>
                <w:sz w:val="20"/>
                <w:szCs w:val="20"/>
              </w:rPr>
            </w:pPr>
            <w:r w:rsidRPr="00851CA7">
              <w:rPr>
                <w:rFonts w:eastAsia="Arial"/>
                <w:color w:val="000000"/>
                <w:sz w:val="20"/>
                <w:szCs w:val="20"/>
              </w:rPr>
              <w:t>19 (21.6)</w:t>
            </w:r>
          </w:p>
        </w:tc>
        <w:tc>
          <w:tcPr>
            <w:tcW w:w="1623" w:type="dxa"/>
          </w:tcPr>
          <w:p w14:paraId="56B1A03B" w14:textId="77777777" w:rsidR="00A86074" w:rsidRPr="00851CA7" w:rsidRDefault="00370030" w:rsidP="00851CA7">
            <w:pPr>
              <w:keepLines/>
              <w:spacing w:line="360" w:lineRule="auto"/>
              <w:jc w:val="center"/>
              <w:rPr>
                <w:sz w:val="20"/>
                <w:szCs w:val="20"/>
              </w:rPr>
            </w:pPr>
            <w:r w:rsidRPr="00851CA7">
              <w:rPr>
                <w:rFonts w:eastAsia="Arial"/>
                <w:color w:val="000000"/>
                <w:sz w:val="20"/>
                <w:szCs w:val="20"/>
              </w:rPr>
              <w:t>52 (21.7)</w:t>
            </w:r>
          </w:p>
        </w:tc>
        <w:tc>
          <w:tcPr>
            <w:tcW w:w="973" w:type="dxa"/>
          </w:tcPr>
          <w:p w14:paraId="775CDE75" w14:textId="77777777" w:rsidR="00A86074" w:rsidRPr="00851CA7" w:rsidRDefault="00A86074" w:rsidP="00851CA7">
            <w:pPr>
              <w:keepLines/>
              <w:spacing w:line="360" w:lineRule="auto"/>
              <w:jc w:val="center"/>
              <w:rPr>
                <w:sz w:val="20"/>
                <w:szCs w:val="20"/>
              </w:rPr>
            </w:pPr>
          </w:p>
        </w:tc>
      </w:tr>
      <w:tr w:rsidR="00A86074" w:rsidRPr="00851CA7" w14:paraId="415AEE53" w14:textId="77777777" w:rsidTr="00851CA7">
        <w:tc>
          <w:tcPr>
            <w:tcW w:w="2488" w:type="dxa"/>
          </w:tcPr>
          <w:p w14:paraId="65D857BD" w14:textId="77777777" w:rsidR="00A86074" w:rsidRPr="00851CA7" w:rsidRDefault="00370030" w:rsidP="00851CA7">
            <w:pPr>
              <w:keepNext/>
              <w:keepLines/>
              <w:spacing w:line="360" w:lineRule="auto"/>
              <w:rPr>
                <w:sz w:val="20"/>
                <w:szCs w:val="20"/>
              </w:rPr>
            </w:pPr>
            <w:r w:rsidRPr="00851CA7">
              <w:rPr>
                <w:rFonts w:eastAsia="Arial"/>
                <w:b/>
                <w:bCs/>
                <w:color w:val="000000"/>
                <w:sz w:val="20"/>
                <w:szCs w:val="20"/>
              </w:rPr>
              <w:t>Total</w:t>
            </w:r>
          </w:p>
        </w:tc>
        <w:tc>
          <w:tcPr>
            <w:tcW w:w="1082" w:type="dxa"/>
          </w:tcPr>
          <w:p w14:paraId="37AAE565" w14:textId="77777777" w:rsidR="00A86074" w:rsidRPr="00851CA7" w:rsidRDefault="00A86074" w:rsidP="00851CA7">
            <w:pPr>
              <w:keepNext/>
              <w:keepLines/>
              <w:spacing w:line="360" w:lineRule="auto"/>
              <w:rPr>
                <w:sz w:val="20"/>
                <w:szCs w:val="20"/>
              </w:rPr>
            </w:pPr>
          </w:p>
        </w:tc>
        <w:tc>
          <w:tcPr>
            <w:tcW w:w="1623" w:type="dxa"/>
          </w:tcPr>
          <w:p w14:paraId="322F3792" w14:textId="77777777" w:rsidR="00A86074" w:rsidRPr="00851CA7" w:rsidRDefault="00370030" w:rsidP="00851CA7">
            <w:pPr>
              <w:keepNext/>
              <w:keepLines/>
              <w:spacing w:line="360" w:lineRule="auto"/>
              <w:jc w:val="center"/>
              <w:rPr>
                <w:sz w:val="20"/>
                <w:szCs w:val="20"/>
              </w:rPr>
            </w:pPr>
            <w:r w:rsidRPr="00851CA7">
              <w:rPr>
                <w:rFonts w:eastAsia="Arial"/>
                <w:b/>
                <w:bCs/>
                <w:color w:val="000000"/>
                <w:sz w:val="20"/>
                <w:szCs w:val="20"/>
              </w:rPr>
              <w:t>152 (63.3)</w:t>
            </w:r>
          </w:p>
        </w:tc>
        <w:tc>
          <w:tcPr>
            <w:tcW w:w="1623" w:type="dxa"/>
          </w:tcPr>
          <w:p w14:paraId="5873BABF" w14:textId="77777777" w:rsidR="00A86074" w:rsidRPr="00851CA7" w:rsidRDefault="00370030" w:rsidP="00851CA7">
            <w:pPr>
              <w:keepNext/>
              <w:keepLines/>
              <w:spacing w:line="360" w:lineRule="auto"/>
              <w:jc w:val="center"/>
              <w:rPr>
                <w:sz w:val="20"/>
                <w:szCs w:val="20"/>
              </w:rPr>
            </w:pPr>
            <w:r w:rsidRPr="00851CA7">
              <w:rPr>
                <w:rFonts w:eastAsia="Arial"/>
                <w:b/>
                <w:bCs/>
                <w:color w:val="000000"/>
                <w:sz w:val="20"/>
                <w:szCs w:val="20"/>
              </w:rPr>
              <w:t>88 (36.7)</w:t>
            </w:r>
          </w:p>
        </w:tc>
        <w:tc>
          <w:tcPr>
            <w:tcW w:w="1623" w:type="dxa"/>
          </w:tcPr>
          <w:p w14:paraId="6AD02200" w14:textId="77777777" w:rsidR="00A86074" w:rsidRPr="00851CA7" w:rsidRDefault="00370030" w:rsidP="00851CA7">
            <w:pPr>
              <w:keepNext/>
              <w:keepLines/>
              <w:spacing w:line="360" w:lineRule="auto"/>
              <w:jc w:val="center"/>
              <w:rPr>
                <w:sz w:val="20"/>
                <w:szCs w:val="20"/>
              </w:rPr>
            </w:pPr>
            <w:r w:rsidRPr="00851CA7">
              <w:rPr>
                <w:rFonts w:eastAsia="Arial"/>
                <w:b/>
                <w:bCs/>
                <w:color w:val="000000"/>
                <w:sz w:val="20"/>
                <w:szCs w:val="20"/>
              </w:rPr>
              <w:t>240 (100.0)</w:t>
            </w:r>
          </w:p>
        </w:tc>
        <w:tc>
          <w:tcPr>
            <w:tcW w:w="973" w:type="dxa"/>
          </w:tcPr>
          <w:p w14:paraId="4DB55A6D" w14:textId="77777777" w:rsidR="00A86074" w:rsidRPr="00851CA7" w:rsidRDefault="00A86074" w:rsidP="00851CA7">
            <w:pPr>
              <w:keepNext/>
              <w:keepLines/>
              <w:spacing w:line="360" w:lineRule="auto"/>
              <w:jc w:val="center"/>
              <w:rPr>
                <w:sz w:val="20"/>
                <w:szCs w:val="20"/>
              </w:rPr>
            </w:pPr>
          </w:p>
        </w:tc>
      </w:tr>
    </w:tbl>
    <w:p w14:paraId="5875C11D" w14:textId="77777777" w:rsidR="00A86074" w:rsidRPr="00851CA7" w:rsidRDefault="00370030" w:rsidP="00851CA7">
      <w:pPr>
        <w:keepNext/>
        <w:spacing w:line="360" w:lineRule="auto"/>
        <w:rPr>
          <w:sz w:val="20"/>
          <w:szCs w:val="20"/>
        </w:rPr>
      </w:pPr>
      <w:r w:rsidRPr="00851CA7">
        <w:rPr>
          <w:rFonts w:eastAsia="Arial"/>
          <w:color w:val="000000"/>
          <w:sz w:val="20"/>
          <w:szCs w:val="20"/>
        </w:rPr>
        <w:t>Values are n (%) unless stated otherwise; percentages are column percentages. SD, standard deviation.</w:t>
      </w:r>
    </w:p>
    <w:p w14:paraId="387E6302" w14:textId="77777777" w:rsidR="00A86074" w:rsidRPr="00851CA7" w:rsidRDefault="00370030" w:rsidP="00851CA7">
      <w:pPr>
        <w:keepNext/>
        <w:spacing w:line="360" w:lineRule="auto"/>
        <w:rPr>
          <w:sz w:val="20"/>
          <w:szCs w:val="20"/>
        </w:rPr>
      </w:pPr>
      <w:r w:rsidRPr="00851CA7">
        <w:rPr>
          <w:rFonts w:eastAsia="Arial"/>
          <w:color w:val="000000"/>
          <w:sz w:val="20"/>
          <w:szCs w:val="20"/>
        </w:rPr>
        <w:t>*WHO grading for non-pregnant adults: mild, 11.0–11.9 g/dL (women) or 11.0–12.9 g/dL (men); moderate, 8.0–10.9 g/dL; severe, &lt;8.0 g/dL [</w:t>
      </w:r>
      <w:hyperlink w:anchor="ref1" w:history="1">
        <w:r w:rsidRPr="00851CA7">
          <w:rPr>
            <w:rFonts w:eastAsia="Arial"/>
            <w:color w:val="1F4E79"/>
            <w:sz w:val="20"/>
            <w:szCs w:val="20"/>
          </w:rPr>
          <w:t>1</w:t>
        </w:r>
      </w:hyperlink>
      <w:r w:rsidRPr="00851CA7">
        <w:rPr>
          <w:rFonts w:eastAsia="Arial"/>
          <w:color w:val="000000"/>
          <w:sz w:val="20"/>
          <w:szCs w:val="20"/>
        </w:rPr>
        <w:t>].</w:t>
      </w:r>
    </w:p>
    <w:p w14:paraId="63A905A9" w14:textId="77777777" w:rsidR="00A86074" w:rsidRPr="00851CA7" w:rsidRDefault="00370030" w:rsidP="00851CA7">
      <w:pPr>
        <w:spacing w:line="360" w:lineRule="auto"/>
        <w:rPr>
          <w:sz w:val="20"/>
          <w:szCs w:val="20"/>
        </w:rPr>
      </w:pPr>
      <w:r w:rsidRPr="00851CA7">
        <w:rPr>
          <w:rFonts w:eastAsia="Arial"/>
          <w:color w:val="000000"/>
          <w:sz w:val="20"/>
          <w:szCs w:val="20"/>
        </w:rPr>
        <w:t>†Mann–Whitney U test. ‡Chi-square test.</w:t>
      </w:r>
    </w:p>
    <w:p w14:paraId="664B1E9A" w14:textId="77777777" w:rsidR="00A86074" w:rsidRPr="00851CA7" w:rsidRDefault="00370030" w:rsidP="00851CA7">
      <w:pPr>
        <w:spacing w:line="360" w:lineRule="auto"/>
        <w:jc w:val="both"/>
        <w:rPr>
          <w:sz w:val="20"/>
          <w:szCs w:val="20"/>
        </w:rPr>
      </w:pPr>
      <w:r w:rsidRPr="00851CA7">
        <w:rPr>
          <w:color w:val="000000"/>
          <w:sz w:val="20"/>
          <w:szCs w:val="20"/>
        </w:rPr>
        <w:t>On peripheral smear examination, microcytic hypochromic anaemia was the predominant pattern (118; 49.2%, 95% CI 42.9–55.5), followed by normocytic normochromic (72; 30.0%), dimorphic (28; 11.7%) and macrocytic (22; 9.2%) pictures (</w:t>
      </w:r>
      <w:hyperlink w:anchor="tab2" w:history="1">
        <w:r w:rsidRPr="00851CA7">
          <w:rPr>
            <w:color w:val="1F4E79"/>
            <w:sz w:val="20"/>
            <w:szCs w:val="20"/>
          </w:rPr>
          <w:t>Table 2</w:t>
        </w:r>
      </w:hyperlink>
      <w:r w:rsidRPr="00851CA7">
        <w:rPr>
          <w:color w:val="000000"/>
          <w:sz w:val="20"/>
          <w:szCs w:val="20"/>
        </w:rPr>
        <w:t xml:space="preserve">). The distribution by sex is shown in </w:t>
      </w:r>
      <w:hyperlink w:anchor="fig1" w:history="1">
        <w:r w:rsidRPr="00851CA7">
          <w:rPr>
            <w:color w:val="1F4E79"/>
            <w:sz w:val="20"/>
            <w:szCs w:val="20"/>
          </w:rPr>
          <w:t>Figure 1</w:t>
        </w:r>
      </w:hyperlink>
      <w:r w:rsidRPr="00851CA7">
        <w:rPr>
          <w:color w:val="000000"/>
          <w:sz w:val="20"/>
          <w:szCs w:val="20"/>
        </w:rPr>
        <w:t>. Women accounted for most of the microcytic group, whereas the macrocytic group was more evenly divided.</w:t>
      </w:r>
    </w:p>
    <w:p w14:paraId="6AE1DD99" w14:textId="77777777" w:rsidR="00A86074" w:rsidRPr="00851CA7" w:rsidRDefault="00370030" w:rsidP="00851CA7">
      <w:pPr>
        <w:keepNext/>
        <w:spacing w:line="360" w:lineRule="auto"/>
        <w:jc w:val="center"/>
        <w:rPr>
          <w:sz w:val="20"/>
          <w:szCs w:val="20"/>
        </w:rPr>
      </w:pPr>
      <w:r w:rsidRPr="00851CA7">
        <w:rPr>
          <w:noProof/>
          <w:color w:val="000000"/>
          <w:sz w:val="20"/>
          <w:szCs w:val="20"/>
          <w:lang w:val="en-US" w:eastAsia="en-US"/>
        </w:rPr>
        <w:drawing>
          <wp:inline distT="0" distB="0" distL="0" distR="0" wp14:anchorId="268B1638" wp14:editId="40E0319E">
            <wp:extent cx="5762625" cy="2743200"/>
            <wp:effectExtent l="0" t="0" r="0" b="0"/>
            <wp:docPr id="1" name="Figure 1" descr="Distribution of peripheral smear morphological types by sex (simulated data, N = 240). Numbers above the bars are case cou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cstate="print"/>
                    <a:srcRect/>
                    <a:stretch>
                      <a:fillRect/>
                    </a:stretch>
                  </pic:blipFill>
                  <pic:spPr bwMode="auto">
                    <a:xfrm>
                      <a:off x="0" y="0"/>
                      <a:ext cx="5762625" cy="2743200"/>
                    </a:xfrm>
                    <a:prstGeom prst="rect">
                      <a:avLst/>
                    </a:prstGeom>
                  </pic:spPr>
                </pic:pic>
              </a:graphicData>
            </a:graphic>
          </wp:inline>
        </w:drawing>
      </w:r>
    </w:p>
    <w:p w14:paraId="75FF26BF" w14:textId="77777777" w:rsidR="00A86074" w:rsidRPr="00851CA7" w:rsidRDefault="00370030" w:rsidP="00851CA7">
      <w:pPr>
        <w:spacing w:line="360" w:lineRule="auto"/>
        <w:jc w:val="both"/>
        <w:rPr>
          <w:sz w:val="20"/>
          <w:szCs w:val="20"/>
        </w:rPr>
      </w:pPr>
      <w:bookmarkStart w:id="16" w:name="fig1"/>
      <w:r w:rsidRPr="00851CA7">
        <w:rPr>
          <w:rFonts w:eastAsia="Arial"/>
          <w:b/>
          <w:bCs/>
          <w:color w:val="000000"/>
          <w:sz w:val="20"/>
          <w:szCs w:val="20"/>
        </w:rPr>
        <w:t xml:space="preserve">Figure 1. </w:t>
      </w:r>
      <w:bookmarkEnd w:id="16"/>
      <w:r w:rsidRPr="00851CA7">
        <w:rPr>
          <w:rFonts w:eastAsia="Arial"/>
          <w:color w:val="000000"/>
          <w:sz w:val="20"/>
          <w:szCs w:val="20"/>
        </w:rPr>
        <w:t xml:space="preserve">Distribution of peripheral smear morphological types by sex </w:t>
      </w:r>
      <w:proofErr w:type="gramStart"/>
      <w:r w:rsidR="0078537B" w:rsidRPr="00851CA7">
        <w:rPr>
          <w:rFonts w:eastAsia="Arial"/>
          <w:color w:val="000000"/>
          <w:sz w:val="20"/>
          <w:szCs w:val="20"/>
        </w:rPr>
        <w:t>(</w:t>
      </w:r>
      <w:r w:rsidRPr="00851CA7">
        <w:rPr>
          <w:rFonts w:eastAsia="Arial"/>
          <w:color w:val="000000"/>
          <w:sz w:val="20"/>
          <w:szCs w:val="20"/>
        </w:rPr>
        <w:t xml:space="preserve"> N</w:t>
      </w:r>
      <w:proofErr w:type="gramEnd"/>
      <w:r w:rsidRPr="00851CA7">
        <w:rPr>
          <w:rFonts w:eastAsia="Arial"/>
          <w:color w:val="000000"/>
          <w:sz w:val="20"/>
          <w:szCs w:val="20"/>
        </w:rPr>
        <w:t xml:space="preserve"> = 240). Numbers above the bars are case counts.</w:t>
      </w:r>
    </w:p>
    <w:p w14:paraId="587E6A71" w14:textId="77777777" w:rsidR="00A86074" w:rsidRPr="00851CA7" w:rsidRDefault="00370030" w:rsidP="00851CA7">
      <w:pPr>
        <w:spacing w:line="360" w:lineRule="auto"/>
        <w:jc w:val="both"/>
        <w:rPr>
          <w:sz w:val="20"/>
          <w:szCs w:val="20"/>
        </w:rPr>
      </w:pPr>
      <w:r w:rsidRPr="00851CA7">
        <w:rPr>
          <w:color w:val="000000"/>
          <w:sz w:val="20"/>
          <w:szCs w:val="20"/>
        </w:rPr>
        <w:t>Haematological indices differed significantly among the four morphological types (</w:t>
      </w:r>
      <w:hyperlink w:anchor="tab2" w:history="1">
        <w:r w:rsidRPr="00851CA7">
          <w:rPr>
            <w:color w:val="1F4E79"/>
            <w:sz w:val="20"/>
            <w:szCs w:val="20"/>
          </w:rPr>
          <w:t>Table 2</w:t>
        </w:r>
      </w:hyperlink>
      <w:r w:rsidRPr="00851CA7">
        <w:rPr>
          <w:color w:val="000000"/>
          <w:sz w:val="20"/>
          <w:szCs w:val="20"/>
        </w:rPr>
        <w:t xml:space="preserve">). MCV and MCH were lowest in the microcytic group and highest in the macrocytic group (both p &lt;0.001). Mean haemoglobin was lowest </w:t>
      </w:r>
      <w:r w:rsidRPr="00851CA7">
        <w:rPr>
          <w:color w:val="000000"/>
          <w:sz w:val="20"/>
          <w:szCs w:val="20"/>
        </w:rPr>
        <w:lastRenderedPageBreak/>
        <w:t>in dimorphic anaemia (8.3 ± 1.6 g/dL). RDW-CV was raised in every group except normocytic normochromic anaemia and was highest in the dimorphic group (21.4 ± 2.4%).</w:t>
      </w:r>
    </w:p>
    <w:p w14:paraId="04C6510A" w14:textId="77777777" w:rsidR="00A86074" w:rsidRPr="00851CA7" w:rsidRDefault="00370030" w:rsidP="00851CA7">
      <w:pPr>
        <w:keepNext/>
        <w:keepLines/>
        <w:spacing w:line="360" w:lineRule="auto"/>
        <w:rPr>
          <w:sz w:val="20"/>
          <w:szCs w:val="20"/>
        </w:rPr>
      </w:pPr>
      <w:bookmarkStart w:id="17" w:name="tab2"/>
      <w:r w:rsidRPr="00851CA7">
        <w:rPr>
          <w:rFonts w:eastAsia="Arial"/>
          <w:b/>
          <w:bCs/>
          <w:color w:val="000000"/>
          <w:sz w:val="20"/>
          <w:szCs w:val="20"/>
        </w:rPr>
        <w:t xml:space="preserve">Table 2. </w:t>
      </w:r>
      <w:bookmarkEnd w:id="17"/>
      <w:r w:rsidRPr="00851CA7">
        <w:rPr>
          <w:rFonts w:eastAsia="Arial"/>
          <w:b/>
          <w:bCs/>
          <w:color w:val="000000"/>
          <w:sz w:val="20"/>
          <w:szCs w:val="20"/>
        </w:rPr>
        <w:t>Distribution of peripheral smear morphological types and their haematological indices</w:t>
      </w:r>
    </w:p>
    <w:tbl>
      <w:tblPr>
        <w:tblStyle w:val="TableGrid"/>
        <w:tblW w:w="9412" w:type="dxa"/>
        <w:tblLayout w:type="fixed"/>
        <w:tblLook w:val="04A0" w:firstRow="1" w:lastRow="0" w:firstColumn="1" w:lastColumn="0" w:noHBand="0" w:noVBand="1"/>
      </w:tblPr>
      <w:tblGrid>
        <w:gridCol w:w="2530"/>
        <w:gridCol w:w="1316"/>
        <w:gridCol w:w="1417"/>
        <w:gridCol w:w="1417"/>
        <w:gridCol w:w="1417"/>
        <w:gridCol w:w="1315"/>
      </w:tblGrid>
      <w:tr w:rsidR="00A86074" w:rsidRPr="00851CA7" w14:paraId="705611CD" w14:textId="77777777" w:rsidTr="00851CA7">
        <w:tc>
          <w:tcPr>
            <w:tcW w:w="2530" w:type="dxa"/>
          </w:tcPr>
          <w:p w14:paraId="471F93E5" w14:textId="77777777" w:rsidR="00A86074" w:rsidRPr="00851CA7" w:rsidRDefault="00370030" w:rsidP="00851CA7">
            <w:pPr>
              <w:keepNext/>
              <w:keepLines/>
              <w:spacing w:line="360" w:lineRule="auto"/>
              <w:rPr>
                <w:sz w:val="20"/>
                <w:szCs w:val="20"/>
              </w:rPr>
            </w:pPr>
            <w:r w:rsidRPr="00851CA7">
              <w:rPr>
                <w:rFonts w:eastAsia="Arial"/>
                <w:b/>
                <w:bCs/>
                <w:color w:val="000000"/>
                <w:sz w:val="20"/>
                <w:szCs w:val="20"/>
              </w:rPr>
              <w:t>Smear morphology</w:t>
            </w:r>
          </w:p>
        </w:tc>
        <w:tc>
          <w:tcPr>
            <w:tcW w:w="1316" w:type="dxa"/>
          </w:tcPr>
          <w:p w14:paraId="217998ED" w14:textId="77777777" w:rsidR="00A86074" w:rsidRPr="00851CA7" w:rsidRDefault="00370030" w:rsidP="00851CA7">
            <w:pPr>
              <w:keepNext/>
              <w:keepLines/>
              <w:spacing w:line="360" w:lineRule="auto"/>
              <w:jc w:val="center"/>
              <w:rPr>
                <w:sz w:val="20"/>
                <w:szCs w:val="20"/>
              </w:rPr>
            </w:pPr>
            <w:r w:rsidRPr="00851CA7">
              <w:rPr>
                <w:rFonts w:eastAsia="Arial"/>
                <w:b/>
                <w:bCs/>
                <w:color w:val="000000"/>
                <w:sz w:val="20"/>
                <w:szCs w:val="20"/>
              </w:rPr>
              <w:t>n (%)</w:t>
            </w:r>
          </w:p>
        </w:tc>
        <w:tc>
          <w:tcPr>
            <w:tcW w:w="1417" w:type="dxa"/>
          </w:tcPr>
          <w:p w14:paraId="50EC82AE" w14:textId="77777777" w:rsidR="00A86074" w:rsidRPr="00851CA7" w:rsidRDefault="00370030" w:rsidP="00851CA7">
            <w:pPr>
              <w:keepNext/>
              <w:keepLines/>
              <w:spacing w:line="360" w:lineRule="auto"/>
              <w:jc w:val="center"/>
              <w:rPr>
                <w:sz w:val="20"/>
                <w:szCs w:val="20"/>
              </w:rPr>
            </w:pPr>
            <w:r w:rsidRPr="00851CA7">
              <w:rPr>
                <w:rFonts w:eastAsia="Arial"/>
                <w:b/>
                <w:bCs/>
                <w:color w:val="000000"/>
                <w:sz w:val="20"/>
                <w:szCs w:val="20"/>
              </w:rPr>
              <w:t>Hb (g/dL)</w:t>
            </w:r>
          </w:p>
        </w:tc>
        <w:tc>
          <w:tcPr>
            <w:tcW w:w="1417" w:type="dxa"/>
          </w:tcPr>
          <w:p w14:paraId="1C5E2B19" w14:textId="77777777" w:rsidR="00A86074" w:rsidRPr="00851CA7" w:rsidRDefault="00370030" w:rsidP="00851CA7">
            <w:pPr>
              <w:keepNext/>
              <w:keepLines/>
              <w:spacing w:line="360" w:lineRule="auto"/>
              <w:jc w:val="center"/>
              <w:rPr>
                <w:sz w:val="20"/>
                <w:szCs w:val="20"/>
              </w:rPr>
            </w:pPr>
            <w:r w:rsidRPr="00851CA7">
              <w:rPr>
                <w:rFonts w:eastAsia="Arial"/>
                <w:b/>
                <w:bCs/>
                <w:color w:val="000000"/>
                <w:sz w:val="20"/>
                <w:szCs w:val="20"/>
              </w:rPr>
              <w:t>MCV (</w:t>
            </w:r>
            <w:proofErr w:type="spellStart"/>
            <w:r w:rsidRPr="00851CA7">
              <w:rPr>
                <w:rFonts w:eastAsia="Arial"/>
                <w:b/>
                <w:bCs/>
                <w:color w:val="000000"/>
                <w:sz w:val="20"/>
                <w:szCs w:val="20"/>
              </w:rPr>
              <w:t>fL</w:t>
            </w:r>
            <w:proofErr w:type="spellEnd"/>
            <w:r w:rsidRPr="00851CA7">
              <w:rPr>
                <w:rFonts w:eastAsia="Arial"/>
                <w:b/>
                <w:bCs/>
                <w:color w:val="000000"/>
                <w:sz w:val="20"/>
                <w:szCs w:val="20"/>
              </w:rPr>
              <w:t>)</w:t>
            </w:r>
          </w:p>
        </w:tc>
        <w:tc>
          <w:tcPr>
            <w:tcW w:w="1417" w:type="dxa"/>
          </w:tcPr>
          <w:p w14:paraId="63A82869" w14:textId="77777777" w:rsidR="00A86074" w:rsidRPr="00851CA7" w:rsidRDefault="00370030" w:rsidP="00851CA7">
            <w:pPr>
              <w:keepNext/>
              <w:keepLines/>
              <w:spacing w:line="360" w:lineRule="auto"/>
              <w:jc w:val="center"/>
              <w:rPr>
                <w:sz w:val="20"/>
                <w:szCs w:val="20"/>
              </w:rPr>
            </w:pPr>
            <w:r w:rsidRPr="00851CA7">
              <w:rPr>
                <w:rFonts w:eastAsia="Arial"/>
                <w:b/>
                <w:bCs/>
                <w:color w:val="000000"/>
                <w:sz w:val="20"/>
                <w:szCs w:val="20"/>
              </w:rPr>
              <w:t>MCH (pg)</w:t>
            </w:r>
          </w:p>
        </w:tc>
        <w:tc>
          <w:tcPr>
            <w:tcW w:w="1315" w:type="dxa"/>
          </w:tcPr>
          <w:p w14:paraId="4523252D" w14:textId="77777777" w:rsidR="00A86074" w:rsidRPr="00851CA7" w:rsidRDefault="00370030" w:rsidP="00851CA7">
            <w:pPr>
              <w:keepNext/>
              <w:keepLines/>
              <w:spacing w:line="360" w:lineRule="auto"/>
              <w:jc w:val="center"/>
              <w:rPr>
                <w:sz w:val="20"/>
                <w:szCs w:val="20"/>
              </w:rPr>
            </w:pPr>
            <w:r w:rsidRPr="00851CA7">
              <w:rPr>
                <w:rFonts w:eastAsia="Arial"/>
                <w:b/>
                <w:bCs/>
                <w:color w:val="000000"/>
                <w:sz w:val="20"/>
                <w:szCs w:val="20"/>
              </w:rPr>
              <w:t>RDW-CV (%)</w:t>
            </w:r>
          </w:p>
        </w:tc>
      </w:tr>
      <w:tr w:rsidR="00A86074" w:rsidRPr="00851CA7" w14:paraId="6645AF68" w14:textId="77777777" w:rsidTr="00851CA7">
        <w:tc>
          <w:tcPr>
            <w:tcW w:w="2530" w:type="dxa"/>
          </w:tcPr>
          <w:p w14:paraId="30F5D93D" w14:textId="77777777" w:rsidR="00A86074" w:rsidRPr="00851CA7" w:rsidRDefault="00370030" w:rsidP="00851CA7">
            <w:pPr>
              <w:keepNext/>
              <w:keepLines/>
              <w:spacing w:line="360" w:lineRule="auto"/>
              <w:rPr>
                <w:sz w:val="20"/>
                <w:szCs w:val="20"/>
              </w:rPr>
            </w:pPr>
            <w:r w:rsidRPr="00851CA7">
              <w:rPr>
                <w:rFonts w:eastAsia="Arial"/>
                <w:color w:val="000000"/>
                <w:sz w:val="20"/>
                <w:szCs w:val="20"/>
              </w:rPr>
              <w:t>Microcytic hypochromic</w:t>
            </w:r>
          </w:p>
        </w:tc>
        <w:tc>
          <w:tcPr>
            <w:tcW w:w="1316" w:type="dxa"/>
          </w:tcPr>
          <w:p w14:paraId="629BC510" w14:textId="77777777" w:rsidR="00A86074" w:rsidRPr="00851CA7" w:rsidRDefault="00370030" w:rsidP="00851CA7">
            <w:pPr>
              <w:keepNext/>
              <w:keepLines/>
              <w:spacing w:line="360" w:lineRule="auto"/>
              <w:jc w:val="center"/>
              <w:rPr>
                <w:sz w:val="20"/>
                <w:szCs w:val="20"/>
              </w:rPr>
            </w:pPr>
            <w:r w:rsidRPr="00851CA7">
              <w:rPr>
                <w:rFonts w:eastAsia="Arial"/>
                <w:color w:val="000000"/>
                <w:sz w:val="20"/>
                <w:szCs w:val="20"/>
              </w:rPr>
              <w:t>118 (49.2)</w:t>
            </w:r>
          </w:p>
        </w:tc>
        <w:tc>
          <w:tcPr>
            <w:tcW w:w="1417" w:type="dxa"/>
          </w:tcPr>
          <w:p w14:paraId="0CE3D0BB" w14:textId="77777777" w:rsidR="00A86074" w:rsidRPr="00851CA7" w:rsidRDefault="00370030" w:rsidP="00851CA7">
            <w:pPr>
              <w:keepNext/>
              <w:keepLines/>
              <w:spacing w:line="360" w:lineRule="auto"/>
              <w:jc w:val="center"/>
              <w:rPr>
                <w:sz w:val="20"/>
                <w:szCs w:val="20"/>
              </w:rPr>
            </w:pPr>
            <w:r w:rsidRPr="00851CA7">
              <w:rPr>
                <w:rFonts w:eastAsia="Arial"/>
                <w:color w:val="000000"/>
                <w:sz w:val="20"/>
                <w:szCs w:val="20"/>
              </w:rPr>
              <w:t>8.8 ± 1.3</w:t>
            </w:r>
          </w:p>
        </w:tc>
        <w:tc>
          <w:tcPr>
            <w:tcW w:w="1417" w:type="dxa"/>
          </w:tcPr>
          <w:p w14:paraId="1ACB4837" w14:textId="77777777" w:rsidR="00A86074" w:rsidRPr="00851CA7" w:rsidRDefault="00370030" w:rsidP="00851CA7">
            <w:pPr>
              <w:keepNext/>
              <w:keepLines/>
              <w:spacing w:line="360" w:lineRule="auto"/>
              <w:jc w:val="center"/>
              <w:rPr>
                <w:sz w:val="20"/>
                <w:szCs w:val="20"/>
              </w:rPr>
            </w:pPr>
            <w:r w:rsidRPr="00851CA7">
              <w:rPr>
                <w:rFonts w:eastAsia="Arial"/>
                <w:color w:val="000000"/>
                <w:sz w:val="20"/>
                <w:szCs w:val="20"/>
              </w:rPr>
              <w:t>71.4 ± 5.3</w:t>
            </w:r>
          </w:p>
        </w:tc>
        <w:tc>
          <w:tcPr>
            <w:tcW w:w="1417" w:type="dxa"/>
          </w:tcPr>
          <w:p w14:paraId="039E14E4" w14:textId="77777777" w:rsidR="00A86074" w:rsidRPr="00851CA7" w:rsidRDefault="00370030" w:rsidP="00851CA7">
            <w:pPr>
              <w:keepNext/>
              <w:keepLines/>
              <w:spacing w:line="360" w:lineRule="auto"/>
              <w:jc w:val="center"/>
              <w:rPr>
                <w:sz w:val="20"/>
                <w:szCs w:val="20"/>
              </w:rPr>
            </w:pPr>
            <w:r w:rsidRPr="00851CA7">
              <w:rPr>
                <w:rFonts w:eastAsia="Arial"/>
                <w:color w:val="000000"/>
                <w:sz w:val="20"/>
                <w:szCs w:val="20"/>
              </w:rPr>
              <w:t>21.9 ± 3.0</w:t>
            </w:r>
          </w:p>
        </w:tc>
        <w:tc>
          <w:tcPr>
            <w:tcW w:w="1315" w:type="dxa"/>
          </w:tcPr>
          <w:p w14:paraId="62941710" w14:textId="77777777" w:rsidR="00A86074" w:rsidRPr="00851CA7" w:rsidRDefault="00370030" w:rsidP="00851CA7">
            <w:pPr>
              <w:keepNext/>
              <w:keepLines/>
              <w:spacing w:line="360" w:lineRule="auto"/>
              <w:jc w:val="center"/>
              <w:rPr>
                <w:sz w:val="20"/>
                <w:szCs w:val="20"/>
              </w:rPr>
            </w:pPr>
            <w:r w:rsidRPr="00851CA7">
              <w:rPr>
                <w:rFonts w:eastAsia="Arial"/>
                <w:color w:val="000000"/>
                <w:sz w:val="20"/>
                <w:szCs w:val="20"/>
              </w:rPr>
              <w:t>18.0 ± 2.1</w:t>
            </w:r>
          </w:p>
        </w:tc>
      </w:tr>
      <w:tr w:rsidR="00A86074" w:rsidRPr="00851CA7" w14:paraId="0621D203" w14:textId="77777777" w:rsidTr="00851CA7">
        <w:tc>
          <w:tcPr>
            <w:tcW w:w="2530" w:type="dxa"/>
          </w:tcPr>
          <w:p w14:paraId="1A670685" w14:textId="77777777" w:rsidR="00A86074" w:rsidRPr="00851CA7" w:rsidRDefault="00370030" w:rsidP="00851CA7">
            <w:pPr>
              <w:keepNext/>
              <w:keepLines/>
              <w:spacing w:line="360" w:lineRule="auto"/>
              <w:rPr>
                <w:sz w:val="20"/>
                <w:szCs w:val="20"/>
              </w:rPr>
            </w:pPr>
            <w:r w:rsidRPr="00851CA7">
              <w:rPr>
                <w:rFonts w:eastAsia="Arial"/>
                <w:color w:val="000000"/>
                <w:sz w:val="20"/>
                <w:szCs w:val="20"/>
              </w:rPr>
              <w:t>Normocytic normochromic</w:t>
            </w:r>
          </w:p>
        </w:tc>
        <w:tc>
          <w:tcPr>
            <w:tcW w:w="1316" w:type="dxa"/>
          </w:tcPr>
          <w:p w14:paraId="7D71D8B5" w14:textId="77777777" w:rsidR="00A86074" w:rsidRPr="00851CA7" w:rsidRDefault="00370030" w:rsidP="00851CA7">
            <w:pPr>
              <w:keepNext/>
              <w:keepLines/>
              <w:spacing w:line="360" w:lineRule="auto"/>
              <w:jc w:val="center"/>
              <w:rPr>
                <w:sz w:val="20"/>
                <w:szCs w:val="20"/>
              </w:rPr>
            </w:pPr>
            <w:r w:rsidRPr="00851CA7">
              <w:rPr>
                <w:rFonts w:eastAsia="Arial"/>
                <w:color w:val="000000"/>
                <w:sz w:val="20"/>
                <w:szCs w:val="20"/>
              </w:rPr>
              <w:t>72 (30.0)</w:t>
            </w:r>
          </w:p>
        </w:tc>
        <w:tc>
          <w:tcPr>
            <w:tcW w:w="1417" w:type="dxa"/>
          </w:tcPr>
          <w:p w14:paraId="13938108" w14:textId="77777777" w:rsidR="00A86074" w:rsidRPr="00851CA7" w:rsidRDefault="00370030" w:rsidP="00851CA7">
            <w:pPr>
              <w:keepNext/>
              <w:keepLines/>
              <w:spacing w:line="360" w:lineRule="auto"/>
              <w:jc w:val="center"/>
              <w:rPr>
                <w:sz w:val="20"/>
                <w:szCs w:val="20"/>
              </w:rPr>
            </w:pPr>
            <w:r w:rsidRPr="00851CA7">
              <w:rPr>
                <w:rFonts w:eastAsia="Arial"/>
                <w:color w:val="000000"/>
                <w:sz w:val="20"/>
                <w:szCs w:val="20"/>
              </w:rPr>
              <w:t>9.9 ± 1.2</w:t>
            </w:r>
          </w:p>
        </w:tc>
        <w:tc>
          <w:tcPr>
            <w:tcW w:w="1417" w:type="dxa"/>
          </w:tcPr>
          <w:p w14:paraId="1CC9CB54" w14:textId="77777777" w:rsidR="00A86074" w:rsidRPr="00851CA7" w:rsidRDefault="00370030" w:rsidP="00851CA7">
            <w:pPr>
              <w:keepNext/>
              <w:keepLines/>
              <w:spacing w:line="360" w:lineRule="auto"/>
              <w:jc w:val="center"/>
              <w:rPr>
                <w:sz w:val="20"/>
                <w:szCs w:val="20"/>
              </w:rPr>
            </w:pPr>
            <w:r w:rsidRPr="00851CA7">
              <w:rPr>
                <w:rFonts w:eastAsia="Arial"/>
                <w:color w:val="000000"/>
                <w:sz w:val="20"/>
                <w:szCs w:val="20"/>
              </w:rPr>
              <w:t>88.1 ± 5.6</w:t>
            </w:r>
          </w:p>
        </w:tc>
        <w:tc>
          <w:tcPr>
            <w:tcW w:w="1417" w:type="dxa"/>
          </w:tcPr>
          <w:p w14:paraId="048A0A92" w14:textId="77777777" w:rsidR="00A86074" w:rsidRPr="00851CA7" w:rsidRDefault="00370030" w:rsidP="00851CA7">
            <w:pPr>
              <w:keepNext/>
              <w:keepLines/>
              <w:spacing w:line="360" w:lineRule="auto"/>
              <w:jc w:val="center"/>
              <w:rPr>
                <w:sz w:val="20"/>
                <w:szCs w:val="20"/>
              </w:rPr>
            </w:pPr>
            <w:r w:rsidRPr="00851CA7">
              <w:rPr>
                <w:rFonts w:eastAsia="Arial"/>
                <w:color w:val="000000"/>
                <w:sz w:val="20"/>
                <w:szCs w:val="20"/>
              </w:rPr>
              <w:t>28.7 ± 1.8</w:t>
            </w:r>
          </w:p>
        </w:tc>
        <w:tc>
          <w:tcPr>
            <w:tcW w:w="1315" w:type="dxa"/>
          </w:tcPr>
          <w:p w14:paraId="3EC4273B" w14:textId="77777777" w:rsidR="00A86074" w:rsidRPr="00851CA7" w:rsidRDefault="00370030" w:rsidP="00851CA7">
            <w:pPr>
              <w:keepNext/>
              <w:keepLines/>
              <w:spacing w:line="360" w:lineRule="auto"/>
              <w:jc w:val="center"/>
              <w:rPr>
                <w:sz w:val="20"/>
                <w:szCs w:val="20"/>
              </w:rPr>
            </w:pPr>
            <w:r w:rsidRPr="00851CA7">
              <w:rPr>
                <w:rFonts w:eastAsia="Arial"/>
                <w:color w:val="000000"/>
                <w:sz w:val="20"/>
                <w:szCs w:val="20"/>
              </w:rPr>
              <w:t>14.7 ± 1.1</w:t>
            </w:r>
          </w:p>
        </w:tc>
      </w:tr>
      <w:tr w:rsidR="00A86074" w:rsidRPr="00851CA7" w14:paraId="57DD0255" w14:textId="77777777" w:rsidTr="00851CA7">
        <w:tc>
          <w:tcPr>
            <w:tcW w:w="2530" w:type="dxa"/>
          </w:tcPr>
          <w:p w14:paraId="5A826CD1" w14:textId="77777777" w:rsidR="00A86074" w:rsidRPr="00851CA7" w:rsidRDefault="00370030" w:rsidP="00851CA7">
            <w:pPr>
              <w:keepNext/>
              <w:keepLines/>
              <w:spacing w:line="360" w:lineRule="auto"/>
              <w:rPr>
                <w:sz w:val="20"/>
                <w:szCs w:val="20"/>
              </w:rPr>
            </w:pPr>
            <w:r w:rsidRPr="00851CA7">
              <w:rPr>
                <w:rFonts w:eastAsia="Arial"/>
                <w:color w:val="000000"/>
                <w:sz w:val="20"/>
                <w:szCs w:val="20"/>
              </w:rPr>
              <w:t>Macrocytic</w:t>
            </w:r>
          </w:p>
        </w:tc>
        <w:tc>
          <w:tcPr>
            <w:tcW w:w="1316" w:type="dxa"/>
          </w:tcPr>
          <w:p w14:paraId="589582D0" w14:textId="77777777" w:rsidR="00A86074" w:rsidRPr="00851CA7" w:rsidRDefault="00370030" w:rsidP="00851CA7">
            <w:pPr>
              <w:keepNext/>
              <w:keepLines/>
              <w:spacing w:line="360" w:lineRule="auto"/>
              <w:jc w:val="center"/>
              <w:rPr>
                <w:sz w:val="20"/>
                <w:szCs w:val="20"/>
              </w:rPr>
            </w:pPr>
            <w:r w:rsidRPr="00851CA7">
              <w:rPr>
                <w:rFonts w:eastAsia="Arial"/>
                <w:color w:val="000000"/>
                <w:sz w:val="20"/>
                <w:szCs w:val="20"/>
              </w:rPr>
              <w:t>22 (9.2)</w:t>
            </w:r>
          </w:p>
        </w:tc>
        <w:tc>
          <w:tcPr>
            <w:tcW w:w="1417" w:type="dxa"/>
          </w:tcPr>
          <w:p w14:paraId="7AC84D2F" w14:textId="77777777" w:rsidR="00A86074" w:rsidRPr="00851CA7" w:rsidRDefault="00370030" w:rsidP="00851CA7">
            <w:pPr>
              <w:keepNext/>
              <w:keepLines/>
              <w:spacing w:line="360" w:lineRule="auto"/>
              <w:jc w:val="center"/>
              <w:rPr>
                <w:sz w:val="20"/>
                <w:szCs w:val="20"/>
              </w:rPr>
            </w:pPr>
            <w:r w:rsidRPr="00851CA7">
              <w:rPr>
                <w:rFonts w:eastAsia="Arial"/>
                <w:color w:val="000000"/>
                <w:sz w:val="20"/>
                <w:szCs w:val="20"/>
              </w:rPr>
              <w:t>8.6 ± 1.8</w:t>
            </w:r>
          </w:p>
        </w:tc>
        <w:tc>
          <w:tcPr>
            <w:tcW w:w="1417" w:type="dxa"/>
          </w:tcPr>
          <w:p w14:paraId="71460C4B" w14:textId="77777777" w:rsidR="00A86074" w:rsidRPr="00851CA7" w:rsidRDefault="00370030" w:rsidP="00851CA7">
            <w:pPr>
              <w:keepNext/>
              <w:keepLines/>
              <w:spacing w:line="360" w:lineRule="auto"/>
              <w:jc w:val="center"/>
              <w:rPr>
                <w:sz w:val="20"/>
                <w:szCs w:val="20"/>
              </w:rPr>
            </w:pPr>
            <w:r w:rsidRPr="00851CA7">
              <w:rPr>
                <w:rFonts w:eastAsia="Arial"/>
                <w:color w:val="000000"/>
                <w:sz w:val="20"/>
                <w:szCs w:val="20"/>
              </w:rPr>
              <w:t>107.5 ± 7.2</w:t>
            </w:r>
          </w:p>
        </w:tc>
        <w:tc>
          <w:tcPr>
            <w:tcW w:w="1417" w:type="dxa"/>
          </w:tcPr>
          <w:p w14:paraId="27527BC7" w14:textId="77777777" w:rsidR="00A86074" w:rsidRPr="00851CA7" w:rsidRDefault="00370030" w:rsidP="00851CA7">
            <w:pPr>
              <w:keepNext/>
              <w:keepLines/>
              <w:spacing w:line="360" w:lineRule="auto"/>
              <w:jc w:val="center"/>
              <w:rPr>
                <w:sz w:val="20"/>
                <w:szCs w:val="20"/>
              </w:rPr>
            </w:pPr>
            <w:r w:rsidRPr="00851CA7">
              <w:rPr>
                <w:rFonts w:eastAsia="Arial"/>
                <w:color w:val="000000"/>
                <w:sz w:val="20"/>
                <w:szCs w:val="20"/>
              </w:rPr>
              <w:t>34.7 ± 2.2</w:t>
            </w:r>
          </w:p>
        </w:tc>
        <w:tc>
          <w:tcPr>
            <w:tcW w:w="1315" w:type="dxa"/>
          </w:tcPr>
          <w:p w14:paraId="226355BD" w14:textId="77777777" w:rsidR="00A86074" w:rsidRPr="00851CA7" w:rsidRDefault="00370030" w:rsidP="00851CA7">
            <w:pPr>
              <w:keepNext/>
              <w:keepLines/>
              <w:spacing w:line="360" w:lineRule="auto"/>
              <w:jc w:val="center"/>
              <w:rPr>
                <w:sz w:val="20"/>
                <w:szCs w:val="20"/>
              </w:rPr>
            </w:pPr>
            <w:r w:rsidRPr="00851CA7">
              <w:rPr>
                <w:rFonts w:eastAsia="Arial"/>
                <w:color w:val="000000"/>
                <w:sz w:val="20"/>
                <w:szCs w:val="20"/>
              </w:rPr>
              <w:t>17.1 ± 2.2</w:t>
            </w:r>
          </w:p>
        </w:tc>
      </w:tr>
      <w:tr w:rsidR="00A86074" w:rsidRPr="00851CA7" w14:paraId="32A9F725" w14:textId="77777777" w:rsidTr="00851CA7">
        <w:tc>
          <w:tcPr>
            <w:tcW w:w="2530" w:type="dxa"/>
          </w:tcPr>
          <w:p w14:paraId="54AF6C71" w14:textId="77777777" w:rsidR="00A86074" w:rsidRPr="00851CA7" w:rsidRDefault="00370030" w:rsidP="00851CA7">
            <w:pPr>
              <w:keepNext/>
              <w:keepLines/>
              <w:spacing w:line="360" w:lineRule="auto"/>
              <w:rPr>
                <w:sz w:val="20"/>
                <w:szCs w:val="20"/>
              </w:rPr>
            </w:pPr>
            <w:r w:rsidRPr="00851CA7">
              <w:rPr>
                <w:rFonts w:eastAsia="Arial"/>
                <w:color w:val="000000"/>
                <w:sz w:val="20"/>
                <w:szCs w:val="20"/>
              </w:rPr>
              <w:t>Dimorphic</w:t>
            </w:r>
          </w:p>
        </w:tc>
        <w:tc>
          <w:tcPr>
            <w:tcW w:w="1316" w:type="dxa"/>
          </w:tcPr>
          <w:p w14:paraId="68E004AA" w14:textId="77777777" w:rsidR="00A86074" w:rsidRPr="00851CA7" w:rsidRDefault="00370030" w:rsidP="00851CA7">
            <w:pPr>
              <w:keepNext/>
              <w:keepLines/>
              <w:spacing w:line="360" w:lineRule="auto"/>
              <w:jc w:val="center"/>
              <w:rPr>
                <w:sz w:val="20"/>
                <w:szCs w:val="20"/>
              </w:rPr>
            </w:pPr>
            <w:r w:rsidRPr="00851CA7">
              <w:rPr>
                <w:rFonts w:eastAsia="Arial"/>
                <w:color w:val="000000"/>
                <w:sz w:val="20"/>
                <w:szCs w:val="20"/>
              </w:rPr>
              <w:t>28 (11.7)</w:t>
            </w:r>
          </w:p>
        </w:tc>
        <w:tc>
          <w:tcPr>
            <w:tcW w:w="1417" w:type="dxa"/>
          </w:tcPr>
          <w:p w14:paraId="751FD0E3" w14:textId="77777777" w:rsidR="00A86074" w:rsidRPr="00851CA7" w:rsidRDefault="00370030" w:rsidP="00851CA7">
            <w:pPr>
              <w:keepNext/>
              <w:keepLines/>
              <w:spacing w:line="360" w:lineRule="auto"/>
              <w:jc w:val="center"/>
              <w:rPr>
                <w:sz w:val="20"/>
                <w:szCs w:val="20"/>
              </w:rPr>
            </w:pPr>
            <w:r w:rsidRPr="00851CA7">
              <w:rPr>
                <w:rFonts w:eastAsia="Arial"/>
                <w:color w:val="000000"/>
                <w:sz w:val="20"/>
                <w:szCs w:val="20"/>
              </w:rPr>
              <w:t>8.3 ± 1.6</w:t>
            </w:r>
          </w:p>
        </w:tc>
        <w:tc>
          <w:tcPr>
            <w:tcW w:w="1417" w:type="dxa"/>
          </w:tcPr>
          <w:p w14:paraId="609D7A37" w14:textId="77777777" w:rsidR="00A86074" w:rsidRPr="00851CA7" w:rsidRDefault="00370030" w:rsidP="00851CA7">
            <w:pPr>
              <w:keepNext/>
              <w:keepLines/>
              <w:spacing w:line="360" w:lineRule="auto"/>
              <w:jc w:val="center"/>
              <w:rPr>
                <w:sz w:val="20"/>
                <w:szCs w:val="20"/>
              </w:rPr>
            </w:pPr>
            <w:r w:rsidRPr="00851CA7">
              <w:rPr>
                <w:rFonts w:eastAsia="Arial"/>
                <w:color w:val="000000"/>
                <w:sz w:val="20"/>
                <w:szCs w:val="20"/>
              </w:rPr>
              <w:t>88.2 ± 7.6</w:t>
            </w:r>
          </w:p>
        </w:tc>
        <w:tc>
          <w:tcPr>
            <w:tcW w:w="1417" w:type="dxa"/>
          </w:tcPr>
          <w:p w14:paraId="14668399" w14:textId="77777777" w:rsidR="00A86074" w:rsidRPr="00851CA7" w:rsidRDefault="00370030" w:rsidP="00851CA7">
            <w:pPr>
              <w:keepNext/>
              <w:keepLines/>
              <w:spacing w:line="360" w:lineRule="auto"/>
              <w:jc w:val="center"/>
              <w:rPr>
                <w:sz w:val="20"/>
                <w:szCs w:val="20"/>
              </w:rPr>
            </w:pPr>
            <w:r w:rsidRPr="00851CA7">
              <w:rPr>
                <w:rFonts w:eastAsia="Arial"/>
                <w:color w:val="000000"/>
                <w:sz w:val="20"/>
                <w:szCs w:val="20"/>
              </w:rPr>
              <w:t>27.5 ± 3.5</w:t>
            </w:r>
          </w:p>
        </w:tc>
        <w:tc>
          <w:tcPr>
            <w:tcW w:w="1315" w:type="dxa"/>
          </w:tcPr>
          <w:p w14:paraId="3BD34279" w14:textId="77777777" w:rsidR="00A86074" w:rsidRPr="00851CA7" w:rsidRDefault="00370030" w:rsidP="00851CA7">
            <w:pPr>
              <w:keepNext/>
              <w:keepLines/>
              <w:spacing w:line="360" w:lineRule="auto"/>
              <w:jc w:val="center"/>
              <w:rPr>
                <w:sz w:val="20"/>
                <w:szCs w:val="20"/>
              </w:rPr>
            </w:pPr>
            <w:r w:rsidRPr="00851CA7">
              <w:rPr>
                <w:rFonts w:eastAsia="Arial"/>
                <w:color w:val="000000"/>
                <w:sz w:val="20"/>
                <w:szCs w:val="20"/>
              </w:rPr>
              <w:t>21.4 ± 2.4</w:t>
            </w:r>
          </w:p>
        </w:tc>
      </w:tr>
      <w:tr w:rsidR="00A86074" w:rsidRPr="00851CA7" w14:paraId="3C1BDDA6" w14:textId="77777777" w:rsidTr="00851CA7">
        <w:tc>
          <w:tcPr>
            <w:tcW w:w="2530" w:type="dxa"/>
          </w:tcPr>
          <w:p w14:paraId="3D7B2274" w14:textId="77777777" w:rsidR="00A86074" w:rsidRPr="00851CA7" w:rsidRDefault="00370030" w:rsidP="00851CA7">
            <w:pPr>
              <w:keepNext/>
              <w:keepLines/>
              <w:spacing w:line="360" w:lineRule="auto"/>
              <w:rPr>
                <w:sz w:val="20"/>
                <w:szCs w:val="20"/>
              </w:rPr>
            </w:pPr>
            <w:r w:rsidRPr="00851CA7">
              <w:rPr>
                <w:rFonts w:eastAsia="Arial"/>
                <w:b/>
                <w:bCs/>
                <w:color w:val="000000"/>
                <w:sz w:val="20"/>
                <w:szCs w:val="20"/>
              </w:rPr>
              <w:t>p value*</w:t>
            </w:r>
          </w:p>
        </w:tc>
        <w:tc>
          <w:tcPr>
            <w:tcW w:w="1316" w:type="dxa"/>
          </w:tcPr>
          <w:p w14:paraId="37E59814" w14:textId="77777777" w:rsidR="00A86074" w:rsidRPr="00851CA7" w:rsidRDefault="00A86074" w:rsidP="00851CA7">
            <w:pPr>
              <w:keepNext/>
              <w:keepLines/>
              <w:spacing w:line="360" w:lineRule="auto"/>
              <w:jc w:val="center"/>
              <w:rPr>
                <w:sz w:val="20"/>
                <w:szCs w:val="20"/>
              </w:rPr>
            </w:pPr>
          </w:p>
        </w:tc>
        <w:tc>
          <w:tcPr>
            <w:tcW w:w="1417" w:type="dxa"/>
          </w:tcPr>
          <w:p w14:paraId="7E080C3B" w14:textId="77777777" w:rsidR="00A86074" w:rsidRPr="00851CA7" w:rsidRDefault="00370030" w:rsidP="00851CA7">
            <w:pPr>
              <w:keepNext/>
              <w:keepLines/>
              <w:spacing w:line="360" w:lineRule="auto"/>
              <w:jc w:val="center"/>
              <w:rPr>
                <w:sz w:val="20"/>
                <w:szCs w:val="20"/>
              </w:rPr>
            </w:pPr>
            <w:r w:rsidRPr="00851CA7">
              <w:rPr>
                <w:rFonts w:eastAsia="Arial"/>
                <w:b/>
                <w:bCs/>
                <w:color w:val="000000"/>
                <w:sz w:val="20"/>
                <w:szCs w:val="20"/>
              </w:rPr>
              <w:t>&lt;0.001</w:t>
            </w:r>
          </w:p>
        </w:tc>
        <w:tc>
          <w:tcPr>
            <w:tcW w:w="1417" w:type="dxa"/>
          </w:tcPr>
          <w:p w14:paraId="15CA32E4" w14:textId="77777777" w:rsidR="00A86074" w:rsidRPr="00851CA7" w:rsidRDefault="00370030" w:rsidP="00851CA7">
            <w:pPr>
              <w:keepNext/>
              <w:keepLines/>
              <w:spacing w:line="360" w:lineRule="auto"/>
              <w:jc w:val="center"/>
              <w:rPr>
                <w:sz w:val="20"/>
                <w:szCs w:val="20"/>
              </w:rPr>
            </w:pPr>
            <w:r w:rsidRPr="00851CA7">
              <w:rPr>
                <w:rFonts w:eastAsia="Arial"/>
                <w:b/>
                <w:bCs/>
                <w:color w:val="000000"/>
                <w:sz w:val="20"/>
                <w:szCs w:val="20"/>
              </w:rPr>
              <w:t>&lt;0.001</w:t>
            </w:r>
          </w:p>
        </w:tc>
        <w:tc>
          <w:tcPr>
            <w:tcW w:w="1417" w:type="dxa"/>
          </w:tcPr>
          <w:p w14:paraId="090F0742" w14:textId="77777777" w:rsidR="00A86074" w:rsidRPr="00851CA7" w:rsidRDefault="00370030" w:rsidP="00851CA7">
            <w:pPr>
              <w:keepNext/>
              <w:keepLines/>
              <w:spacing w:line="360" w:lineRule="auto"/>
              <w:jc w:val="center"/>
              <w:rPr>
                <w:sz w:val="20"/>
                <w:szCs w:val="20"/>
              </w:rPr>
            </w:pPr>
            <w:r w:rsidRPr="00851CA7">
              <w:rPr>
                <w:rFonts w:eastAsia="Arial"/>
                <w:b/>
                <w:bCs/>
                <w:color w:val="000000"/>
                <w:sz w:val="20"/>
                <w:szCs w:val="20"/>
              </w:rPr>
              <w:t>&lt;0.001</w:t>
            </w:r>
          </w:p>
        </w:tc>
        <w:tc>
          <w:tcPr>
            <w:tcW w:w="1315" w:type="dxa"/>
          </w:tcPr>
          <w:p w14:paraId="20962BD2" w14:textId="77777777" w:rsidR="00A86074" w:rsidRPr="00851CA7" w:rsidRDefault="00370030" w:rsidP="00851CA7">
            <w:pPr>
              <w:keepNext/>
              <w:keepLines/>
              <w:spacing w:line="360" w:lineRule="auto"/>
              <w:jc w:val="center"/>
              <w:rPr>
                <w:sz w:val="20"/>
                <w:szCs w:val="20"/>
              </w:rPr>
            </w:pPr>
            <w:r w:rsidRPr="00851CA7">
              <w:rPr>
                <w:rFonts w:eastAsia="Arial"/>
                <w:b/>
                <w:bCs/>
                <w:color w:val="000000"/>
                <w:sz w:val="20"/>
                <w:szCs w:val="20"/>
              </w:rPr>
              <w:t>&lt;0.001</w:t>
            </w:r>
          </w:p>
        </w:tc>
      </w:tr>
    </w:tbl>
    <w:p w14:paraId="1412F24A" w14:textId="77777777" w:rsidR="00A86074" w:rsidRPr="00851CA7" w:rsidRDefault="00370030" w:rsidP="00851CA7">
      <w:pPr>
        <w:keepNext/>
        <w:spacing w:line="360" w:lineRule="auto"/>
        <w:rPr>
          <w:sz w:val="20"/>
          <w:szCs w:val="20"/>
        </w:rPr>
      </w:pPr>
      <w:r w:rsidRPr="00851CA7">
        <w:rPr>
          <w:rFonts w:eastAsia="Arial"/>
          <w:color w:val="000000"/>
          <w:sz w:val="20"/>
          <w:szCs w:val="20"/>
        </w:rPr>
        <w:t>Indices are mean ± SD. Hb, haemoglobin; MCV, mean corpuscular volume; MCH, mean corpuscular haemoglobin; RDW-CV, red cell distribution width (coefficient of variation).</w:t>
      </w:r>
    </w:p>
    <w:p w14:paraId="35E5B136" w14:textId="77777777" w:rsidR="00A86074" w:rsidRPr="00851CA7" w:rsidRDefault="00370030" w:rsidP="00851CA7">
      <w:pPr>
        <w:spacing w:line="360" w:lineRule="auto"/>
        <w:rPr>
          <w:sz w:val="20"/>
          <w:szCs w:val="20"/>
        </w:rPr>
      </w:pPr>
      <w:r w:rsidRPr="00851CA7">
        <w:rPr>
          <w:rFonts w:eastAsia="Arial"/>
          <w:color w:val="000000"/>
          <w:sz w:val="20"/>
          <w:szCs w:val="20"/>
        </w:rPr>
        <w:t>*Kruskal–</w:t>
      </w:r>
      <w:proofErr w:type="gramStart"/>
      <w:r w:rsidRPr="00851CA7">
        <w:rPr>
          <w:rFonts w:eastAsia="Arial"/>
          <w:color w:val="000000"/>
          <w:sz w:val="20"/>
          <w:szCs w:val="20"/>
        </w:rPr>
        <w:t>Wallis</w:t>
      </w:r>
      <w:proofErr w:type="gramEnd"/>
      <w:r w:rsidRPr="00851CA7">
        <w:rPr>
          <w:rFonts w:eastAsia="Arial"/>
          <w:color w:val="000000"/>
          <w:sz w:val="20"/>
          <w:szCs w:val="20"/>
        </w:rPr>
        <w:t xml:space="preserve"> test across the four morphological types.</w:t>
      </w:r>
    </w:p>
    <w:p w14:paraId="47CC4486" w14:textId="77777777" w:rsidR="00A86074" w:rsidRPr="00851CA7" w:rsidRDefault="00370030" w:rsidP="00851CA7">
      <w:pPr>
        <w:spacing w:line="360" w:lineRule="auto"/>
        <w:jc w:val="both"/>
        <w:rPr>
          <w:sz w:val="20"/>
          <w:szCs w:val="20"/>
        </w:rPr>
      </w:pPr>
      <w:hyperlink w:anchor="tab3" w:history="1">
        <w:r w:rsidRPr="00851CA7">
          <w:rPr>
            <w:color w:val="1F4E79"/>
            <w:sz w:val="20"/>
            <w:szCs w:val="20"/>
          </w:rPr>
          <w:t>Table 3</w:t>
        </w:r>
      </w:hyperlink>
      <w:r w:rsidRPr="00851CA7">
        <w:rPr>
          <w:color w:val="000000"/>
          <w:sz w:val="20"/>
          <w:szCs w:val="20"/>
        </w:rPr>
        <w:t xml:space="preserve"> cross-tabulates smear morphology against MCV-based class. For the three monomorphic types, the two methods agreed in 194 of 212 cases (91.5%, 95% CI 87.0–94.6), giving κ = 0.85 (95% CI 0.78–0.92). Agreement was highest for microcytic hypochromic smears (94.1%) and lowest for normocytic normochromic smears (87.5%). Of the 18 discordant monomorphic cases, 7 microcytic smears had an MCV of 80.2–84.1 </w:t>
      </w:r>
      <w:proofErr w:type="spellStart"/>
      <w:r w:rsidRPr="00851CA7">
        <w:rPr>
          <w:color w:val="000000"/>
          <w:sz w:val="20"/>
          <w:szCs w:val="20"/>
        </w:rPr>
        <w:t>fL</w:t>
      </w:r>
      <w:proofErr w:type="spellEnd"/>
      <w:r w:rsidRPr="00851CA7">
        <w:rPr>
          <w:color w:val="000000"/>
          <w:sz w:val="20"/>
          <w:szCs w:val="20"/>
        </w:rPr>
        <w:t xml:space="preserve"> and 8 normocytic smears had an MCV of 72.9–79.8 </w:t>
      </w:r>
      <w:proofErr w:type="spellStart"/>
      <w:r w:rsidRPr="00851CA7">
        <w:rPr>
          <w:color w:val="000000"/>
          <w:sz w:val="20"/>
          <w:szCs w:val="20"/>
        </w:rPr>
        <w:t>fL</w:t>
      </w:r>
      <w:proofErr w:type="spellEnd"/>
      <w:r w:rsidRPr="00851CA7">
        <w:rPr>
          <w:color w:val="000000"/>
          <w:sz w:val="20"/>
          <w:szCs w:val="20"/>
        </w:rPr>
        <w:t xml:space="preserve">, most of them within 3 </w:t>
      </w:r>
      <w:proofErr w:type="spellStart"/>
      <w:r w:rsidRPr="00851CA7">
        <w:rPr>
          <w:color w:val="000000"/>
          <w:sz w:val="20"/>
          <w:szCs w:val="20"/>
        </w:rPr>
        <w:t>fL</w:t>
      </w:r>
      <w:proofErr w:type="spellEnd"/>
      <w:r w:rsidRPr="00851CA7">
        <w:rPr>
          <w:color w:val="000000"/>
          <w:sz w:val="20"/>
          <w:szCs w:val="20"/>
        </w:rPr>
        <w:t xml:space="preserve"> of the 80 </w:t>
      </w:r>
      <w:proofErr w:type="spellStart"/>
      <w:r w:rsidRPr="00851CA7">
        <w:rPr>
          <w:color w:val="000000"/>
          <w:sz w:val="20"/>
          <w:szCs w:val="20"/>
        </w:rPr>
        <w:t>fL</w:t>
      </w:r>
      <w:proofErr w:type="spellEnd"/>
      <w:r w:rsidRPr="00851CA7">
        <w:rPr>
          <w:color w:val="000000"/>
          <w:sz w:val="20"/>
          <w:szCs w:val="20"/>
        </w:rPr>
        <w:t xml:space="preserve"> cut-off.</w:t>
      </w:r>
    </w:p>
    <w:p w14:paraId="026DB5B4" w14:textId="77777777" w:rsidR="00A86074" w:rsidRPr="00851CA7" w:rsidRDefault="00370030" w:rsidP="00851CA7">
      <w:pPr>
        <w:keepNext/>
        <w:keepLines/>
        <w:spacing w:line="360" w:lineRule="auto"/>
        <w:rPr>
          <w:sz w:val="20"/>
          <w:szCs w:val="20"/>
        </w:rPr>
      </w:pPr>
      <w:bookmarkStart w:id="18" w:name="tab3"/>
      <w:r w:rsidRPr="00851CA7">
        <w:rPr>
          <w:rFonts w:eastAsia="Arial"/>
          <w:b/>
          <w:bCs/>
          <w:color w:val="000000"/>
          <w:sz w:val="20"/>
          <w:szCs w:val="20"/>
        </w:rPr>
        <w:t xml:space="preserve">Table 3. </w:t>
      </w:r>
      <w:bookmarkEnd w:id="18"/>
      <w:r w:rsidRPr="00851CA7">
        <w:rPr>
          <w:rFonts w:eastAsia="Arial"/>
          <w:b/>
          <w:bCs/>
          <w:color w:val="000000"/>
          <w:sz w:val="20"/>
          <w:szCs w:val="20"/>
        </w:rPr>
        <w:t>Cross-tabulation of peripheral smear morphology against MCV-based classification</w:t>
      </w:r>
    </w:p>
    <w:tbl>
      <w:tblPr>
        <w:tblStyle w:val="TableGrid"/>
        <w:tblW w:w="9412" w:type="dxa"/>
        <w:tblLayout w:type="fixed"/>
        <w:tblLook w:val="04A0" w:firstRow="1" w:lastRow="0" w:firstColumn="1" w:lastColumn="0" w:noHBand="0" w:noVBand="1"/>
      </w:tblPr>
      <w:tblGrid>
        <w:gridCol w:w="2558"/>
        <w:gridCol w:w="1330"/>
        <w:gridCol w:w="1483"/>
        <w:gridCol w:w="1330"/>
        <w:gridCol w:w="1074"/>
        <w:gridCol w:w="1637"/>
      </w:tblGrid>
      <w:tr w:rsidR="00A86074" w:rsidRPr="00851CA7" w14:paraId="7424BFE9" w14:textId="77777777" w:rsidTr="00851CA7">
        <w:tc>
          <w:tcPr>
            <w:tcW w:w="2558" w:type="dxa"/>
          </w:tcPr>
          <w:p w14:paraId="45E078E1" w14:textId="77777777" w:rsidR="00A86074" w:rsidRPr="00851CA7" w:rsidRDefault="00370030" w:rsidP="00851CA7">
            <w:pPr>
              <w:keepNext/>
              <w:keepLines/>
              <w:spacing w:line="360" w:lineRule="auto"/>
              <w:rPr>
                <w:sz w:val="20"/>
                <w:szCs w:val="20"/>
              </w:rPr>
            </w:pPr>
            <w:r w:rsidRPr="00851CA7">
              <w:rPr>
                <w:rFonts w:eastAsia="Arial"/>
                <w:b/>
                <w:bCs/>
                <w:color w:val="000000"/>
                <w:sz w:val="20"/>
                <w:szCs w:val="20"/>
              </w:rPr>
              <w:t>Smear morphology</w:t>
            </w:r>
          </w:p>
        </w:tc>
        <w:tc>
          <w:tcPr>
            <w:tcW w:w="1330" w:type="dxa"/>
          </w:tcPr>
          <w:p w14:paraId="4F8A3C50" w14:textId="77777777" w:rsidR="00A86074" w:rsidRPr="00851CA7" w:rsidRDefault="00370030" w:rsidP="00851CA7">
            <w:pPr>
              <w:keepNext/>
              <w:keepLines/>
              <w:spacing w:line="360" w:lineRule="auto"/>
              <w:jc w:val="center"/>
              <w:rPr>
                <w:sz w:val="20"/>
                <w:szCs w:val="20"/>
              </w:rPr>
            </w:pPr>
            <w:r w:rsidRPr="00851CA7">
              <w:rPr>
                <w:rFonts w:eastAsia="Arial"/>
                <w:b/>
                <w:bCs/>
                <w:color w:val="000000"/>
                <w:sz w:val="20"/>
                <w:szCs w:val="20"/>
              </w:rPr>
              <w:t xml:space="preserve">MCV &lt;80 </w:t>
            </w:r>
            <w:proofErr w:type="spellStart"/>
            <w:r w:rsidRPr="00851CA7">
              <w:rPr>
                <w:rFonts w:eastAsia="Arial"/>
                <w:b/>
                <w:bCs/>
                <w:color w:val="000000"/>
                <w:sz w:val="20"/>
                <w:szCs w:val="20"/>
              </w:rPr>
              <w:t>fL</w:t>
            </w:r>
            <w:proofErr w:type="spellEnd"/>
          </w:p>
        </w:tc>
        <w:tc>
          <w:tcPr>
            <w:tcW w:w="1483" w:type="dxa"/>
          </w:tcPr>
          <w:p w14:paraId="05389B1D" w14:textId="77777777" w:rsidR="00A86074" w:rsidRPr="00851CA7" w:rsidRDefault="00370030" w:rsidP="00851CA7">
            <w:pPr>
              <w:keepNext/>
              <w:keepLines/>
              <w:spacing w:line="360" w:lineRule="auto"/>
              <w:jc w:val="center"/>
              <w:rPr>
                <w:sz w:val="20"/>
                <w:szCs w:val="20"/>
              </w:rPr>
            </w:pPr>
            <w:r w:rsidRPr="00851CA7">
              <w:rPr>
                <w:rFonts w:eastAsia="Arial"/>
                <w:b/>
                <w:bCs/>
                <w:color w:val="000000"/>
                <w:sz w:val="20"/>
                <w:szCs w:val="20"/>
              </w:rPr>
              <w:t xml:space="preserve">MCV 80–100 </w:t>
            </w:r>
            <w:proofErr w:type="spellStart"/>
            <w:r w:rsidRPr="00851CA7">
              <w:rPr>
                <w:rFonts w:eastAsia="Arial"/>
                <w:b/>
                <w:bCs/>
                <w:color w:val="000000"/>
                <w:sz w:val="20"/>
                <w:szCs w:val="20"/>
              </w:rPr>
              <w:t>fL</w:t>
            </w:r>
            <w:proofErr w:type="spellEnd"/>
          </w:p>
        </w:tc>
        <w:tc>
          <w:tcPr>
            <w:tcW w:w="1330" w:type="dxa"/>
          </w:tcPr>
          <w:p w14:paraId="67A3570A" w14:textId="77777777" w:rsidR="00A86074" w:rsidRPr="00851CA7" w:rsidRDefault="00370030" w:rsidP="00851CA7">
            <w:pPr>
              <w:keepNext/>
              <w:keepLines/>
              <w:spacing w:line="360" w:lineRule="auto"/>
              <w:jc w:val="center"/>
              <w:rPr>
                <w:sz w:val="20"/>
                <w:szCs w:val="20"/>
              </w:rPr>
            </w:pPr>
            <w:r w:rsidRPr="00851CA7">
              <w:rPr>
                <w:rFonts w:eastAsia="Arial"/>
                <w:b/>
                <w:bCs/>
                <w:color w:val="000000"/>
                <w:sz w:val="20"/>
                <w:szCs w:val="20"/>
              </w:rPr>
              <w:t xml:space="preserve">MCV &gt;100 </w:t>
            </w:r>
            <w:proofErr w:type="spellStart"/>
            <w:r w:rsidRPr="00851CA7">
              <w:rPr>
                <w:rFonts w:eastAsia="Arial"/>
                <w:b/>
                <w:bCs/>
                <w:color w:val="000000"/>
                <w:sz w:val="20"/>
                <w:szCs w:val="20"/>
              </w:rPr>
              <w:t>fL</w:t>
            </w:r>
            <w:proofErr w:type="spellEnd"/>
          </w:p>
        </w:tc>
        <w:tc>
          <w:tcPr>
            <w:tcW w:w="1074" w:type="dxa"/>
          </w:tcPr>
          <w:p w14:paraId="004EFA9F" w14:textId="77777777" w:rsidR="00A86074" w:rsidRPr="00851CA7" w:rsidRDefault="00370030" w:rsidP="00851CA7">
            <w:pPr>
              <w:keepNext/>
              <w:keepLines/>
              <w:spacing w:line="360" w:lineRule="auto"/>
              <w:jc w:val="center"/>
              <w:rPr>
                <w:sz w:val="20"/>
                <w:szCs w:val="20"/>
              </w:rPr>
            </w:pPr>
            <w:r w:rsidRPr="00851CA7">
              <w:rPr>
                <w:rFonts w:eastAsia="Arial"/>
                <w:b/>
                <w:bCs/>
                <w:color w:val="000000"/>
                <w:sz w:val="20"/>
                <w:szCs w:val="20"/>
              </w:rPr>
              <w:t>Total</w:t>
            </w:r>
          </w:p>
        </w:tc>
        <w:tc>
          <w:tcPr>
            <w:tcW w:w="1637" w:type="dxa"/>
          </w:tcPr>
          <w:p w14:paraId="70F14D06" w14:textId="77777777" w:rsidR="00A86074" w:rsidRPr="00851CA7" w:rsidRDefault="00370030" w:rsidP="00851CA7">
            <w:pPr>
              <w:keepNext/>
              <w:keepLines/>
              <w:spacing w:line="360" w:lineRule="auto"/>
              <w:jc w:val="center"/>
              <w:rPr>
                <w:sz w:val="20"/>
                <w:szCs w:val="20"/>
              </w:rPr>
            </w:pPr>
            <w:r w:rsidRPr="00851CA7">
              <w:rPr>
                <w:rFonts w:eastAsia="Arial"/>
                <w:b/>
                <w:bCs/>
                <w:color w:val="000000"/>
                <w:sz w:val="20"/>
                <w:szCs w:val="20"/>
              </w:rPr>
              <w:t>Agreement, n (%)</w:t>
            </w:r>
          </w:p>
        </w:tc>
      </w:tr>
      <w:tr w:rsidR="00A86074" w:rsidRPr="00851CA7" w14:paraId="12392B76" w14:textId="77777777" w:rsidTr="00851CA7">
        <w:tc>
          <w:tcPr>
            <w:tcW w:w="2558" w:type="dxa"/>
          </w:tcPr>
          <w:p w14:paraId="40E3490D" w14:textId="77777777" w:rsidR="00A86074" w:rsidRPr="00851CA7" w:rsidRDefault="00370030" w:rsidP="00851CA7">
            <w:pPr>
              <w:keepNext/>
              <w:keepLines/>
              <w:spacing w:line="360" w:lineRule="auto"/>
              <w:rPr>
                <w:sz w:val="20"/>
                <w:szCs w:val="20"/>
              </w:rPr>
            </w:pPr>
            <w:r w:rsidRPr="00851CA7">
              <w:rPr>
                <w:rFonts w:eastAsia="Arial"/>
                <w:color w:val="000000"/>
                <w:sz w:val="20"/>
                <w:szCs w:val="20"/>
              </w:rPr>
              <w:t>Microcytic hypochromic</w:t>
            </w:r>
          </w:p>
        </w:tc>
        <w:tc>
          <w:tcPr>
            <w:tcW w:w="1330" w:type="dxa"/>
          </w:tcPr>
          <w:p w14:paraId="6A7657DA" w14:textId="77777777" w:rsidR="00A86074" w:rsidRPr="00851CA7" w:rsidRDefault="00370030" w:rsidP="00851CA7">
            <w:pPr>
              <w:keepNext/>
              <w:keepLines/>
              <w:spacing w:line="360" w:lineRule="auto"/>
              <w:jc w:val="center"/>
              <w:rPr>
                <w:sz w:val="20"/>
                <w:szCs w:val="20"/>
              </w:rPr>
            </w:pPr>
            <w:r w:rsidRPr="00851CA7">
              <w:rPr>
                <w:rFonts w:eastAsia="Arial"/>
                <w:color w:val="000000"/>
                <w:sz w:val="20"/>
                <w:szCs w:val="20"/>
              </w:rPr>
              <w:t>111</w:t>
            </w:r>
          </w:p>
        </w:tc>
        <w:tc>
          <w:tcPr>
            <w:tcW w:w="1483" w:type="dxa"/>
          </w:tcPr>
          <w:p w14:paraId="5915481F" w14:textId="77777777" w:rsidR="00A86074" w:rsidRPr="00851CA7" w:rsidRDefault="00370030" w:rsidP="00851CA7">
            <w:pPr>
              <w:keepNext/>
              <w:keepLines/>
              <w:spacing w:line="360" w:lineRule="auto"/>
              <w:jc w:val="center"/>
              <w:rPr>
                <w:sz w:val="20"/>
                <w:szCs w:val="20"/>
              </w:rPr>
            </w:pPr>
            <w:r w:rsidRPr="00851CA7">
              <w:rPr>
                <w:rFonts w:eastAsia="Arial"/>
                <w:color w:val="000000"/>
                <w:sz w:val="20"/>
                <w:szCs w:val="20"/>
              </w:rPr>
              <w:t>7</w:t>
            </w:r>
          </w:p>
        </w:tc>
        <w:tc>
          <w:tcPr>
            <w:tcW w:w="1330" w:type="dxa"/>
          </w:tcPr>
          <w:p w14:paraId="207CA5C1" w14:textId="77777777" w:rsidR="00A86074" w:rsidRPr="00851CA7" w:rsidRDefault="00370030" w:rsidP="00851CA7">
            <w:pPr>
              <w:keepNext/>
              <w:keepLines/>
              <w:spacing w:line="360" w:lineRule="auto"/>
              <w:jc w:val="center"/>
              <w:rPr>
                <w:sz w:val="20"/>
                <w:szCs w:val="20"/>
              </w:rPr>
            </w:pPr>
            <w:r w:rsidRPr="00851CA7">
              <w:rPr>
                <w:rFonts w:eastAsia="Arial"/>
                <w:color w:val="000000"/>
                <w:sz w:val="20"/>
                <w:szCs w:val="20"/>
              </w:rPr>
              <w:t>0</w:t>
            </w:r>
          </w:p>
        </w:tc>
        <w:tc>
          <w:tcPr>
            <w:tcW w:w="1074" w:type="dxa"/>
          </w:tcPr>
          <w:p w14:paraId="68EFA471" w14:textId="77777777" w:rsidR="00A86074" w:rsidRPr="00851CA7" w:rsidRDefault="00370030" w:rsidP="00851CA7">
            <w:pPr>
              <w:keepNext/>
              <w:keepLines/>
              <w:spacing w:line="360" w:lineRule="auto"/>
              <w:jc w:val="center"/>
              <w:rPr>
                <w:sz w:val="20"/>
                <w:szCs w:val="20"/>
              </w:rPr>
            </w:pPr>
            <w:r w:rsidRPr="00851CA7">
              <w:rPr>
                <w:rFonts w:eastAsia="Arial"/>
                <w:color w:val="000000"/>
                <w:sz w:val="20"/>
                <w:szCs w:val="20"/>
              </w:rPr>
              <w:t>118</w:t>
            </w:r>
          </w:p>
        </w:tc>
        <w:tc>
          <w:tcPr>
            <w:tcW w:w="1637" w:type="dxa"/>
          </w:tcPr>
          <w:p w14:paraId="4C848041" w14:textId="77777777" w:rsidR="00A86074" w:rsidRPr="00851CA7" w:rsidRDefault="00370030" w:rsidP="00851CA7">
            <w:pPr>
              <w:keepNext/>
              <w:keepLines/>
              <w:spacing w:line="360" w:lineRule="auto"/>
              <w:jc w:val="center"/>
              <w:rPr>
                <w:sz w:val="20"/>
                <w:szCs w:val="20"/>
              </w:rPr>
            </w:pPr>
            <w:r w:rsidRPr="00851CA7">
              <w:rPr>
                <w:rFonts w:eastAsia="Arial"/>
                <w:color w:val="000000"/>
                <w:sz w:val="20"/>
                <w:szCs w:val="20"/>
              </w:rPr>
              <w:t>111 (94.1)</w:t>
            </w:r>
          </w:p>
        </w:tc>
      </w:tr>
      <w:tr w:rsidR="00A86074" w:rsidRPr="00851CA7" w14:paraId="0FF2CC59" w14:textId="77777777" w:rsidTr="00851CA7">
        <w:tc>
          <w:tcPr>
            <w:tcW w:w="2558" w:type="dxa"/>
          </w:tcPr>
          <w:p w14:paraId="36450C49" w14:textId="77777777" w:rsidR="00A86074" w:rsidRPr="00851CA7" w:rsidRDefault="00370030" w:rsidP="00851CA7">
            <w:pPr>
              <w:keepNext/>
              <w:keepLines/>
              <w:spacing w:line="360" w:lineRule="auto"/>
              <w:rPr>
                <w:sz w:val="20"/>
                <w:szCs w:val="20"/>
              </w:rPr>
            </w:pPr>
            <w:r w:rsidRPr="00851CA7">
              <w:rPr>
                <w:rFonts w:eastAsia="Arial"/>
                <w:color w:val="000000"/>
                <w:sz w:val="20"/>
                <w:szCs w:val="20"/>
              </w:rPr>
              <w:t>Normocytic normochromic</w:t>
            </w:r>
          </w:p>
        </w:tc>
        <w:tc>
          <w:tcPr>
            <w:tcW w:w="1330" w:type="dxa"/>
          </w:tcPr>
          <w:p w14:paraId="11F50BC3" w14:textId="77777777" w:rsidR="00A86074" w:rsidRPr="00851CA7" w:rsidRDefault="00370030" w:rsidP="00851CA7">
            <w:pPr>
              <w:keepNext/>
              <w:keepLines/>
              <w:spacing w:line="360" w:lineRule="auto"/>
              <w:jc w:val="center"/>
              <w:rPr>
                <w:sz w:val="20"/>
                <w:szCs w:val="20"/>
              </w:rPr>
            </w:pPr>
            <w:r w:rsidRPr="00851CA7">
              <w:rPr>
                <w:rFonts w:eastAsia="Arial"/>
                <w:color w:val="000000"/>
                <w:sz w:val="20"/>
                <w:szCs w:val="20"/>
              </w:rPr>
              <w:t>8</w:t>
            </w:r>
          </w:p>
        </w:tc>
        <w:tc>
          <w:tcPr>
            <w:tcW w:w="1483" w:type="dxa"/>
          </w:tcPr>
          <w:p w14:paraId="00D0F702" w14:textId="77777777" w:rsidR="00A86074" w:rsidRPr="00851CA7" w:rsidRDefault="00370030" w:rsidP="00851CA7">
            <w:pPr>
              <w:keepNext/>
              <w:keepLines/>
              <w:spacing w:line="360" w:lineRule="auto"/>
              <w:jc w:val="center"/>
              <w:rPr>
                <w:sz w:val="20"/>
                <w:szCs w:val="20"/>
              </w:rPr>
            </w:pPr>
            <w:r w:rsidRPr="00851CA7">
              <w:rPr>
                <w:rFonts w:eastAsia="Arial"/>
                <w:color w:val="000000"/>
                <w:sz w:val="20"/>
                <w:szCs w:val="20"/>
              </w:rPr>
              <w:t>63</w:t>
            </w:r>
          </w:p>
        </w:tc>
        <w:tc>
          <w:tcPr>
            <w:tcW w:w="1330" w:type="dxa"/>
          </w:tcPr>
          <w:p w14:paraId="6BA0BFEC" w14:textId="77777777" w:rsidR="00A86074" w:rsidRPr="00851CA7" w:rsidRDefault="00370030" w:rsidP="00851CA7">
            <w:pPr>
              <w:keepNext/>
              <w:keepLines/>
              <w:spacing w:line="360" w:lineRule="auto"/>
              <w:jc w:val="center"/>
              <w:rPr>
                <w:sz w:val="20"/>
                <w:szCs w:val="20"/>
              </w:rPr>
            </w:pPr>
            <w:r w:rsidRPr="00851CA7">
              <w:rPr>
                <w:rFonts w:eastAsia="Arial"/>
                <w:color w:val="000000"/>
                <w:sz w:val="20"/>
                <w:szCs w:val="20"/>
              </w:rPr>
              <w:t>1</w:t>
            </w:r>
          </w:p>
        </w:tc>
        <w:tc>
          <w:tcPr>
            <w:tcW w:w="1074" w:type="dxa"/>
          </w:tcPr>
          <w:p w14:paraId="10EFA36B" w14:textId="77777777" w:rsidR="00A86074" w:rsidRPr="00851CA7" w:rsidRDefault="00370030" w:rsidP="00851CA7">
            <w:pPr>
              <w:keepNext/>
              <w:keepLines/>
              <w:spacing w:line="360" w:lineRule="auto"/>
              <w:jc w:val="center"/>
              <w:rPr>
                <w:sz w:val="20"/>
                <w:szCs w:val="20"/>
              </w:rPr>
            </w:pPr>
            <w:r w:rsidRPr="00851CA7">
              <w:rPr>
                <w:rFonts w:eastAsia="Arial"/>
                <w:color w:val="000000"/>
                <w:sz w:val="20"/>
                <w:szCs w:val="20"/>
              </w:rPr>
              <w:t>72</w:t>
            </w:r>
          </w:p>
        </w:tc>
        <w:tc>
          <w:tcPr>
            <w:tcW w:w="1637" w:type="dxa"/>
          </w:tcPr>
          <w:p w14:paraId="545D076D" w14:textId="77777777" w:rsidR="00A86074" w:rsidRPr="00851CA7" w:rsidRDefault="00370030" w:rsidP="00851CA7">
            <w:pPr>
              <w:keepNext/>
              <w:keepLines/>
              <w:spacing w:line="360" w:lineRule="auto"/>
              <w:jc w:val="center"/>
              <w:rPr>
                <w:sz w:val="20"/>
                <w:szCs w:val="20"/>
              </w:rPr>
            </w:pPr>
            <w:r w:rsidRPr="00851CA7">
              <w:rPr>
                <w:rFonts w:eastAsia="Arial"/>
                <w:color w:val="000000"/>
                <w:sz w:val="20"/>
                <w:szCs w:val="20"/>
              </w:rPr>
              <w:t>63 (87.5)</w:t>
            </w:r>
          </w:p>
        </w:tc>
      </w:tr>
      <w:tr w:rsidR="00A86074" w:rsidRPr="00851CA7" w14:paraId="4C047937" w14:textId="77777777" w:rsidTr="00851CA7">
        <w:tc>
          <w:tcPr>
            <w:tcW w:w="2558" w:type="dxa"/>
          </w:tcPr>
          <w:p w14:paraId="70962D73" w14:textId="77777777" w:rsidR="00A86074" w:rsidRPr="00851CA7" w:rsidRDefault="00370030" w:rsidP="00851CA7">
            <w:pPr>
              <w:keepNext/>
              <w:keepLines/>
              <w:spacing w:line="360" w:lineRule="auto"/>
              <w:rPr>
                <w:sz w:val="20"/>
                <w:szCs w:val="20"/>
              </w:rPr>
            </w:pPr>
            <w:r w:rsidRPr="00851CA7">
              <w:rPr>
                <w:rFonts w:eastAsia="Arial"/>
                <w:color w:val="000000"/>
                <w:sz w:val="20"/>
                <w:szCs w:val="20"/>
              </w:rPr>
              <w:t>Macrocytic</w:t>
            </w:r>
          </w:p>
        </w:tc>
        <w:tc>
          <w:tcPr>
            <w:tcW w:w="1330" w:type="dxa"/>
          </w:tcPr>
          <w:p w14:paraId="4C5A7AAE" w14:textId="77777777" w:rsidR="00A86074" w:rsidRPr="00851CA7" w:rsidRDefault="00370030" w:rsidP="00851CA7">
            <w:pPr>
              <w:keepNext/>
              <w:keepLines/>
              <w:spacing w:line="360" w:lineRule="auto"/>
              <w:jc w:val="center"/>
              <w:rPr>
                <w:sz w:val="20"/>
                <w:szCs w:val="20"/>
              </w:rPr>
            </w:pPr>
            <w:r w:rsidRPr="00851CA7">
              <w:rPr>
                <w:rFonts w:eastAsia="Arial"/>
                <w:color w:val="000000"/>
                <w:sz w:val="20"/>
                <w:szCs w:val="20"/>
              </w:rPr>
              <w:t>0</w:t>
            </w:r>
          </w:p>
        </w:tc>
        <w:tc>
          <w:tcPr>
            <w:tcW w:w="1483" w:type="dxa"/>
          </w:tcPr>
          <w:p w14:paraId="46214040" w14:textId="77777777" w:rsidR="00A86074" w:rsidRPr="00851CA7" w:rsidRDefault="00370030" w:rsidP="00851CA7">
            <w:pPr>
              <w:keepNext/>
              <w:keepLines/>
              <w:spacing w:line="360" w:lineRule="auto"/>
              <w:jc w:val="center"/>
              <w:rPr>
                <w:sz w:val="20"/>
                <w:szCs w:val="20"/>
              </w:rPr>
            </w:pPr>
            <w:r w:rsidRPr="00851CA7">
              <w:rPr>
                <w:rFonts w:eastAsia="Arial"/>
                <w:color w:val="000000"/>
                <w:sz w:val="20"/>
                <w:szCs w:val="20"/>
              </w:rPr>
              <w:t>2</w:t>
            </w:r>
          </w:p>
        </w:tc>
        <w:tc>
          <w:tcPr>
            <w:tcW w:w="1330" w:type="dxa"/>
          </w:tcPr>
          <w:p w14:paraId="04AAA554" w14:textId="77777777" w:rsidR="00A86074" w:rsidRPr="00851CA7" w:rsidRDefault="00370030" w:rsidP="00851CA7">
            <w:pPr>
              <w:keepNext/>
              <w:keepLines/>
              <w:spacing w:line="360" w:lineRule="auto"/>
              <w:jc w:val="center"/>
              <w:rPr>
                <w:sz w:val="20"/>
                <w:szCs w:val="20"/>
              </w:rPr>
            </w:pPr>
            <w:r w:rsidRPr="00851CA7">
              <w:rPr>
                <w:rFonts w:eastAsia="Arial"/>
                <w:color w:val="000000"/>
                <w:sz w:val="20"/>
                <w:szCs w:val="20"/>
              </w:rPr>
              <w:t>20</w:t>
            </w:r>
          </w:p>
        </w:tc>
        <w:tc>
          <w:tcPr>
            <w:tcW w:w="1074" w:type="dxa"/>
          </w:tcPr>
          <w:p w14:paraId="21954555" w14:textId="77777777" w:rsidR="00A86074" w:rsidRPr="00851CA7" w:rsidRDefault="00370030" w:rsidP="00851CA7">
            <w:pPr>
              <w:keepNext/>
              <w:keepLines/>
              <w:spacing w:line="360" w:lineRule="auto"/>
              <w:jc w:val="center"/>
              <w:rPr>
                <w:sz w:val="20"/>
                <w:szCs w:val="20"/>
              </w:rPr>
            </w:pPr>
            <w:r w:rsidRPr="00851CA7">
              <w:rPr>
                <w:rFonts w:eastAsia="Arial"/>
                <w:color w:val="000000"/>
                <w:sz w:val="20"/>
                <w:szCs w:val="20"/>
              </w:rPr>
              <w:t>22</w:t>
            </w:r>
          </w:p>
        </w:tc>
        <w:tc>
          <w:tcPr>
            <w:tcW w:w="1637" w:type="dxa"/>
          </w:tcPr>
          <w:p w14:paraId="7691A218" w14:textId="77777777" w:rsidR="00A86074" w:rsidRPr="00851CA7" w:rsidRDefault="00370030" w:rsidP="00851CA7">
            <w:pPr>
              <w:keepNext/>
              <w:keepLines/>
              <w:spacing w:line="360" w:lineRule="auto"/>
              <w:jc w:val="center"/>
              <w:rPr>
                <w:sz w:val="20"/>
                <w:szCs w:val="20"/>
              </w:rPr>
            </w:pPr>
            <w:r w:rsidRPr="00851CA7">
              <w:rPr>
                <w:rFonts w:eastAsia="Arial"/>
                <w:color w:val="000000"/>
                <w:sz w:val="20"/>
                <w:szCs w:val="20"/>
              </w:rPr>
              <w:t>20 (90.9)</w:t>
            </w:r>
          </w:p>
        </w:tc>
      </w:tr>
      <w:tr w:rsidR="00A86074" w:rsidRPr="00851CA7" w14:paraId="53FDEC76" w14:textId="77777777" w:rsidTr="00851CA7">
        <w:tc>
          <w:tcPr>
            <w:tcW w:w="2558" w:type="dxa"/>
          </w:tcPr>
          <w:p w14:paraId="62AB0E9E" w14:textId="77777777" w:rsidR="00A86074" w:rsidRPr="00851CA7" w:rsidRDefault="00370030" w:rsidP="00851CA7">
            <w:pPr>
              <w:keepNext/>
              <w:keepLines/>
              <w:spacing w:line="360" w:lineRule="auto"/>
              <w:rPr>
                <w:sz w:val="20"/>
                <w:szCs w:val="20"/>
              </w:rPr>
            </w:pPr>
            <w:r w:rsidRPr="00851CA7">
              <w:rPr>
                <w:rFonts w:eastAsia="Arial"/>
                <w:color w:val="000000"/>
                <w:sz w:val="20"/>
                <w:szCs w:val="20"/>
              </w:rPr>
              <w:t>Dimorphic</w:t>
            </w:r>
          </w:p>
        </w:tc>
        <w:tc>
          <w:tcPr>
            <w:tcW w:w="1330" w:type="dxa"/>
          </w:tcPr>
          <w:p w14:paraId="575CA2DB" w14:textId="77777777" w:rsidR="00A86074" w:rsidRPr="00851CA7" w:rsidRDefault="00370030" w:rsidP="00851CA7">
            <w:pPr>
              <w:keepNext/>
              <w:keepLines/>
              <w:spacing w:line="360" w:lineRule="auto"/>
              <w:jc w:val="center"/>
              <w:rPr>
                <w:sz w:val="20"/>
                <w:szCs w:val="20"/>
              </w:rPr>
            </w:pPr>
            <w:r w:rsidRPr="00851CA7">
              <w:rPr>
                <w:rFonts w:eastAsia="Arial"/>
                <w:color w:val="000000"/>
                <w:sz w:val="20"/>
                <w:szCs w:val="20"/>
              </w:rPr>
              <w:t>4</w:t>
            </w:r>
          </w:p>
        </w:tc>
        <w:tc>
          <w:tcPr>
            <w:tcW w:w="1483" w:type="dxa"/>
          </w:tcPr>
          <w:p w14:paraId="17E09523" w14:textId="77777777" w:rsidR="00A86074" w:rsidRPr="00851CA7" w:rsidRDefault="00370030" w:rsidP="00851CA7">
            <w:pPr>
              <w:keepNext/>
              <w:keepLines/>
              <w:spacing w:line="360" w:lineRule="auto"/>
              <w:jc w:val="center"/>
              <w:rPr>
                <w:sz w:val="20"/>
                <w:szCs w:val="20"/>
              </w:rPr>
            </w:pPr>
            <w:r w:rsidRPr="00851CA7">
              <w:rPr>
                <w:rFonts w:eastAsia="Arial"/>
                <w:color w:val="000000"/>
                <w:sz w:val="20"/>
                <w:szCs w:val="20"/>
              </w:rPr>
              <w:t>22</w:t>
            </w:r>
          </w:p>
        </w:tc>
        <w:tc>
          <w:tcPr>
            <w:tcW w:w="1330" w:type="dxa"/>
          </w:tcPr>
          <w:p w14:paraId="1DC61092" w14:textId="77777777" w:rsidR="00A86074" w:rsidRPr="00851CA7" w:rsidRDefault="00370030" w:rsidP="00851CA7">
            <w:pPr>
              <w:keepNext/>
              <w:keepLines/>
              <w:spacing w:line="360" w:lineRule="auto"/>
              <w:jc w:val="center"/>
              <w:rPr>
                <w:sz w:val="20"/>
                <w:szCs w:val="20"/>
              </w:rPr>
            </w:pPr>
            <w:r w:rsidRPr="00851CA7">
              <w:rPr>
                <w:rFonts w:eastAsia="Arial"/>
                <w:color w:val="000000"/>
                <w:sz w:val="20"/>
                <w:szCs w:val="20"/>
              </w:rPr>
              <w:t>2</w:t>
            </w:r>
          </w:p>
        </w:tc>
        <w:tc>
          <w:tcPr>
            <w:tcW w:w="1074" w:type="dxa"/>
          </w:tcPr>
          <w:p w14:paraId="52767500" w14:textId="77777777" w:rsidR="00A86074" w:rsidRPr="00851CA7" w:rsidRDefault="00370030" w:rsidP="00851CA7">
            <w:pPr>
              <w:keepNext/>
              <w:keepLines/>
              <w:spacing w:line="360" w:lineRule="auto"/>
              <w:jc w:val="center"/>
              <w:rPr>
                <w:sz w:val="20"/>
                <w:szCs w:val="20"/>
              </w:rPr>
            </w:pPr>
            <w:r w:rsidRPr="00851CA7">
              <w:rPr>
                <w:rFonts w:eastAsia="Arial"/>
                <w:color w:val="000000"/>
                <w:sz w:val="20"/>
                <w:szCs w:val="20"/>
              </w:rPr>
              <w:t>28</w:t>
            </w:r>
          </w:p>
        </w:tc>
        <w:tc>
          <w:tcPr>
            <w:tcW w:w="1637" w:type="dxa"/>
          </w:tcPr>
          <w:p w14:paraId="2573512D" w14:textId="77777777" w:rsidR="00A86074" w:rsidRPr="00851CA7" w:rsidRDefault="00370030" w:rsidP="00851CA7">
            <w:pPr>
              <w:keepNext/>
              <w:keepLines/>
              <w:spacing w:line="360" w:lineRule="auto"/>
              <w:jc w:val="center"/>
              <w:rPr>
                <w:sz w:val="20"/>
                <w:szCs w:val="20"/>
              </w:rPr>
            </w:pPr>
            <w:r w:rsidRPr="00851CA7">
              <w:rPr>
                <w:rFonts w:eastAsia="Arial"/>
                <w:color w:val="000000"/>
                <w:sz w:val="20"/>
                <w:szCs w:val="20"/>
              </w:rPr>
              <w:t>—§</w:t>
            </w:r>
          </w:p>
        </w:tc>
      </w:tr>
      <w:tr w:rsidR="00A86074" w:rsidRPr="00851CA7" w14:paraId="2DC42220" w14:textId="77777777" w:rsidTr="00851CA7">
        <w:tc>
          <w:tcPr>
            <w:tcW w:w="2558" w:type="dxa"/>
          </w:tcPr>
          <w:p w14:paraId="4F653EC9" w14:textId="77777777" w:rsidR="00A86074" w:rsidRPr="00851CA7" w:rsidRDefault="00370030" w:rsidP="00851CA7">
            <w:pPr>
              <w:keepNext/>
              <w:keepLines/>
              <w:spacing w:line="360" w:lineRule="auto"/>
              <w:rPr>
                <w:sz w:val="20"/>
                <w:szCs w:val="20"/>
              </w:rPr>
            </w:pPr>
            <w:r w:rsidRPr="00851CA7">
              <w:rPr>
                <w:rFonts w:eastAsia="Arial"/>
                <w:b/>
                <w:bCs/>
                <w:color w:val="000000"/>
                <w:sz w:val="20"/>
                <w:szCs w:val="20"/>
              </w:rPr>
              <w:t>Total</w:t>
            </w:r>
          </w:p>
        </w:tc>
        <w:tc>
          <w:tcPr>
            <w:tcW w:w="1330" w:type="dxa"/>
          </w:tcPr>
          <w:p w14:paraId="7A268FA4" w14:textId="77777777" w:rsidR="00A86074" w:rsidRPr="00851CA7" w:rsidRDefault="00370030" w:rsidP="00851CA7">
            <w:pPr>
              <w:keepNext/>
              <w:keepLines/>
              <w:spacing w:line="360" w:lineRule="auto"/>
              <w:jc w:val="center"/>
              <w:rPr>
                <w:sz w:val="20"/>
                <w:szCs w:val="20"/>
              </w:rPr>
            </w:pPr>
            <w:r w:rsidRPr="00851CA7">
              <w:rPr>
                <w:rFonts w:eastAsia="Arial"/>
                <w:b/>
                <w:bCs/>
                <w:color w:val="000000"/>
                <w:sz w:val="20"/>
                <w:szCs w:val="20"/>
              </w:rPr>
              <w:t>123</w:t>
            </w:r>
          </w:p>
        </w:tc>
        <w:tc>
          <w:tcPr>
            <w:tcW w:w="1483" w:type="dxa"/>
          </w:tcPr>
          <w:p w14:paraId="346172A0" w14:textId="77777777" w:rsidR="00A86074" w:rsidRPr="00851CA7" w:rsidRDefault="00370030" w:rsidP="00851CA7">
            <w:pPr>
              <w:keepNext/>
              <w:keepLines/>
              <w:spacing w:line="360" w:lineRule="auto"/>
              <w:jc w:val="center"/>
              <w:rPr>
                <w:sz w:val="20"/>
                <w:szCs w:val="20"/>
              </w:rPr>
            </w:pPr>
            <w:r w:rsidRPr="00851CA7">
              <w:rPr>
                <w:rFonts w:eastAsia="Arial"/>
                <w:b/>
                <w:bCs/>
                <w:color w:val="000000"/>
                <w:sz w:val="20"/>
                <w:szCs w:val="20"/>
              </w:rPr>
              <w:t>94</w:t>
            </w:r>
          </w:p>
        </w:tc>
        <w:tc>
          <w:tcPr>
            <w:tcW w:w="1330" w:type="dxa"/>
          </w:tcPr>
          <w:p w14:paraId="19773B45" w14:textId="77777777" w:rsidR="00A86074" w:rsidRPr="00851CA7" w:rsidRDefault="00370030" w:rsidP="00851CA7">
            <w:pPr>
              <w:keepNext/>
              <w:keepLines/>
              <w:spacing w:line="360" w:lineRule="auto"/>
              <w:jc w:val="center"/>
              <w:rPr>
                <w:sz w:val="20"/>
                <w:szCs w:val="20"/>
              </w:rPr>
            </w:pPr>
            <w:r w:rsidRPr="00851CA7">
              <w:rPr>
                <w:rFonts w:eastAsia="Arial"/>
                <w:b/>
                <w:bCs/>
                <w:color w:val="000000"/>
                <w:sz w:val="20"/>
                <w:szCs w:val="20"/>
              </w:rPr>
              <w:t>23</w:t>
            </w:r>
          </w:p>
        </w:tc>
        <w:tc>
          <w:tcPr>
            <w:tcW w:w="1074" w:type="dxa"/>
          </w:tcPr>
          <w:p w14:paraId="0E298310" w14:textId="77777777" w:rsidR="00A86074" w:rsidRPr="00851CA7" w:rsidRDefault="00370030" w:rsidP="00851CA7">
            <w:pPr>
              <w:keepNext/>
              <w:keepLines/>
              <w:spacing w:line="360" w:lineRule="auto"/>
              <w:jc w:val="center"/>
              <w:rPr>
                <w:sz w:val="20"/>
                <w:szCs w:val="20"/>
              </w:rPr>
            </w:pPr>
            <w:r w:rsidRPr="00851CA7">
              <w:rPr>
                <w:rFonts w:eastAsia="Arial"/>
                <w:b/>
                <w:bCs/>
                <w:color w:val="000000"/>
                <w:sz w:val="20"/>
                <w:szCs w:val="20"/>
              </w:rPr>
              <w:t>240</w:t>
            </w:r>
          </w:p>
        </w:tc>
        <w:tc>
          <w:tcPr>
            <w:tcW w:w="1637" w:type="dxa"/>
          </w:tcPr>
          <w:p w14:paraId="6995AABE" w14:textId="77777777" w:rsidR="00A86074" w:rsidRPr="00851CA7" w:rsidRDefault="00A86074" w:rsidP="00851CA7">
            <w:pPr>
              <w:keepNext/>
              <w:keepLines/>
              <w:spacing w:line="360" w:lineRule="auto"/>
              <w:jc w:val="center"/>
              <w:rPr>
                <w:sz w:val="20"/>
                <w:szCs w:val="20"/>
              </w:rPr>
            </w:pPr>
          </w:p>
        </w:tc>
      </w:tr>
    </w:tbl>
    <w:p w14:paraId="585DFD11" w14:textId="77777777" w:rsidR="00A86074" w:rsidRPr="00851CA7" w:rsidRDefault="00370030" w:rsidP="00851CA7">
      <w:pPr>
        <w:keepNext/>
        <w:spacing w:line="360" w:lineRule="auto"/>
        <w:rPr>
          <w:sz w:val="20"/>
          <w:szCs w:val="20"/>
        </w:rPr>
      </w:pPr>
      <w:r w:rsidRPr="00851CA7">
        <w:rPr>
          <w:rFonts w:eastAsia="Arial"/>
          <w:color w:val="000000"/>
          <w:sz w:val="20"/>
          <w:szCs w:val="20"/>
        </w:rPr>
        <w:t>Agreement for the three monomorphic types: 194/212 (91.5%); Cohen's κ = 0.85 (95% CI 0.78–0.92).</w:t>
      </w:r>
    </w:p>
    <w:p w14:paraId="28C24E0B" w14:textId="77777777" w:rsidR="00A86074" w:rsidRPr="00851CA7" w:rsidRDefault="00370030" w:rsidP="00851CA7">
      <w:pPr>
        <w:spacing w:line="360" w:lineRule="auto"/>
        <w:rPr>
          <w:sz w:val="20"/>
          <w:szCs w:val="20"/>
        </w:rPr>
      </w:pPr>
      <w:r w:rsidRPr="00851CA7">
        <w:rPr>
          <w:rFonts w:eastAsia="Arial"/>
          <w:color w:val="000000"/>
          <w:sz w:val="20"/>
          <w:szCs w:val="20"/>
        </w:rPr>
        <w:t>§Dimorphic morphology has no MCV equivalent and is excluded from κ. MCV, mean corpuscular volume.</w:t>
      </w:r>
    </w:p>
    <w:p w14:paraId="4138BFCE" w14:textId="77777777" w:rsidR="00A86074" w:rsidRPr="00851CA7" w:rsidRDefault="00370030" w:rsidP="00851CA7">
      <w:pPr>
        <w:spacing w:line="360" w:lineRule="auto"/>
        <w:jc w:val="both"/>
        <w:rPr>
          <w:sz w:val="20"/>
          <w:szCs w:val="20"/>
        </w:rPr>
      </w:pPr>
      <w:r w:rsidRPr="00851CA7">
        <w:rPr>
          <w:color w:val="000000"/>
          <w:sz w:val="20"/>
          <w:szCs w:val="20"/>
        </w:rPr>
        <w:t xml:space="preserve">Dimorphic smears could not be identified by MCV: 22 of 28 (78.6%) had a normal MCV and would have been classed as normocytic. All 28 dimorphic cases, however, had an RDW-CV above 15%. </w:t>
      </w:r>
      <w:hyperlink w:anchor="fig2" w:history="1">
        <w:r w:rsidRPr="00851CA7">
          <w:rPr>
            <w:color w:val="1F4E79"/>
            <w:sz w:val="20"/>
            <w:szCs w:val="20"/>
          </w:rPr>
          <w:t>Figure 2</w:t>
        </w:r>
      </w:hyperlink>
      <w:r w:rsidRPr="00851CA7">
        <w:rPr>
          <w:color w:val="000000"/>
          <w:sz w:val="20"/>
          <w:szCs w:val="20"/>
        </w:rPr>
        <w:t xml:space="preserve"> shows that the MCV of dimorphic cases overlapped the normocytic range, whereas their RDW-CV was clearly separated from the normocytic group.</w:t>
      </w:r>
    </w:p>
    <w:p w14:paraId="39232A70" w14:textId="77777777" w:rsidR="00A86074" w:rsidRPr="00851CA7" w:rsidRDefault="00370030" w:rsidP="00851CA7">
      <w:pPr>
        <w:keepNext/>
        <w:spacing w:line="360" w:lineRule="auto"/>
        <w:jc w:val="center"/>
        <w:rPr>
          <w:sz w:val="20"/>
          <w:szCs w:val="20"/>
        </w:rPr>
      </w:pPr>
      <w:r w:rsidRPr="00851CA7">
        <w:rPr>
          <w:noProof/>
          <w:color w:val="000000"/>
          <w:sz w:val="20"/>
          <w:szCs w:val="20"/>
          <w:lang w:val="en-US" w:eastAsia="en-US"/>
        </w:rPr>
        <w:lastRenderedPageBreak/>
        <w:drawing>
          <wp:inline distT="0" distB="0" distL="0" distR="0" wp14:anchorId="73DC5AFA" wp14:editId="679B2E31">
            <wp:extent cx="5762625" cy="2647950"/>
            <wp:effectExtent l="0" t="0" r="0" b="0"/>
            <wp:docPr id="474638132" name="Figure 2" descr="Mean corpuscular volume (A) and red cell distribution width (B) by smear morphological type (simulated data). Boxes show the interquartile range with the median; whiskers extend to 1.5 × IQR. Dashed lines mark the MCV cut-offs of 80 and 100 fL and the RDW-CV cut-off of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cstate="print"/>
                    <a:srcRect/>
                    <a:stretch>
                      <a:fillRect/>
                    </a:stretch>
                  </pic:blipFill>
                  <pic:spPr bwMode="auto">
                    <a:xfrm>
                      <a:off x="0" y="0"/>
                      <a:ext cx="5762625" cy="2647950"/>
                    </a:xfrm>
                    <a:prstGeom prst="rect">
                      <a:avLst/>
                    </a:prstGeom>
                  </pic:spPr>
                </pic:pic>
              </a:graphicData>
            </a:graphic>
          </wp:inline>
        </w:drawing>
      </w:r>
    </w:p>
    <w:p w14:paraId="151FD40C" w14:textId="77777777" w:rsidR="00A86074" w:rsidRPr="00851CA7" w:rsidRDefault="00370030" w:rsidP="00851CA7">
      <w:pPr>
        <w:spacing w:line="360" w:lineRule="auto"/>
        <w:jc w:val="both"/>
        <w:rPr>
          <w:sz w:val="20"/>
          <w:szCs w:val="20"/>
        </w:rPr>
      </w:pPr>
      <w:bookmarkStart w:id="19" w:name="fig2"/>
      <w:r w:rsidRPr="00851CA7">
        <w:rPr>
          <w:rFonts w:eastAsia="Arial"/>
          <w:b/>
          <w:bCs/>
          <w:color w:val="000000"/>
          <w:sz w:val="20"/>
          <w:szCs w:val="20"/>
        </w:rPr>
        <w:t xml:space="preserve">Figure 2. </w:t>
      </w:r>
      <w:bookmarkEnd w:id="19"/>
      <w:r w:rsidRPr="00851CA7">
        <w:rPr>
          <w:rFonts w:eastAsia="Arial"/>
          <w:color w:val="000000"/>
          <w:sz w:val="20"/>
          <w:szCs w:val="20"/>
        </w:rPr>
        <w:t xml:space="preserve">Mean corpuscular volume (A) and red cell distribution width (B) by smear morphological type (simulated data). Boxes show the interquartile range with the median; whiskers extend to 1.5 × IQR. Dashed lines mark the MCV cut-offs of 80 and 100 </w:t>
      </w:r>
      <w:proofErr w:type="spellStart"/>
      <w:r w:rsidRPr="00851CA7">
        <w:rPr>
          <w:rFonts w:eastAsia="Arial"/>
          <w:color w:val="000000"/>
          <w:sz w:val="20"/>
          <w:szCs w:val="20"/>
        </w:rPr>
        <w:t>fL</w:t>
      </w:r>
      <w:proofErr w:type="spellEnd"/>
      <w:r w:rsidRPr="00851CA7">
        <w:rPr>
          <w:rFonts w:eastAsia="Arial"/>
          <w:color w:val="000000"/>
          <w:sz w:val="20"/>
          <w:szCs w:val="20"/>
        </w:rPr>
        <w:t xml:space="preserve"> and the RDW-CV cut-off of 15%.</w:t>
      </w:r>
    </w:p>
    <w:p w14:paraId="01167D2C" w14:textId="77777777" w:rsidR="00A86074" w:rsidRPr="00851CA7" w:rsidRDefault="00370030" w:rsidP="00851CA7">
      <w:pPr>
        <w:keepNext/>
        <w:spacing w:line="360" w:lineRule="auto"/>
        <w:rPr>
          <w:sz w:val="20"/>
          <w:szCs w:val="20"/>
        </w:rPr>
      </w:pPr>
      <w:r w:rsidRPr="00851CA7">
        <w:rPr>
          <w:rFonts w:eastAsia="Arial"/>
          <w:b/>
          <w:bCs/>
          <w:color w:val="000000"/>
          <w:sz w:val="20"/>
          <w:szCs w:val="20"/>
        </w:rPr>
        <w:t>DISCUSSION</w:t>
      </w:r>
    </w:p>
    <w:p w14:paraId="56CCA5EC" w14:textId="4200AE44" w:rsidR="00A86074" w:rsidRPr="00851CA7" w:rsidRDefault="00370030" w:rsidP="00851CA7">
      <w:pPr>
        <w:spacing w:line="360" w:lineRule="auto"/>
        <w:jc w:val="both"/>
        <w:rPr>
          <w:sz w:val="20"/>
          <w:szCs w:val="20"/>
        </w:rPr>
      </w:pPr>
      <w:r w:rsidRPr="00851CA7">
        <w:rPr>
          <w:color w:val="000000"/>
          <w:sz w:val="20"/>
          <w:szCs w:val="20"/>
        </w:rPr>
        <w:t>This analysis compared the automated MCV with peripheral smear morphology as the basis for classifying anaemia in adults. In the simulated dataset, microcytic hypochromic anaemia predominated, MCV showed almost perfect agreement with the smear for monomorphic anaemia, and MCV failed to detect dimorphic blood pictures, which were consistently accompanied by a raised RDW.</w:t>
      </w:r>
    </w:p>
    <w:p w14:paraId="04063DA2" w14:textId="77777777" w:rsidR="00A86074" w:rsidRPr="00851CA7" w:rsidRDefault="00370030" w:rsidP="00851CA7">
      <w:pPr>
        <w:spacing w:line="360" w:lineRule="auto"/>
        <w:jc w:val="both"/>
        <w:rPr>
          <w:sz w:val="20"/>
          <w:szCs w:val="20"/>
        </w:rPr>
      </w:pPr>
      <w:r w:rsidRPr="00851CA7">
        <w:rPr>
          <w:color w:val="000000"/>
          <w:sz w:val="20"/>
          <w:szCs w:val="20"/>
        </w:rPr>
        <w:t>The predominance of microcytic hypochromic anaemia, particularly among women, matches the epidemiological picture in which iron deficiency is the leading cause of anaemia worldwide [</w:t>
      </w:r>
      <w:hyperlink w:anchor="ref2" w:history="1">
        <w:r w:rsidRPr="00851CA7">
          <w:rPr>
            <w:color w:val="1F4E79"/>
            <w:sz w:val="20"/>
            <w:szCs w:val="20"/>
          </w:rPr>
          <w:t>2</w:t>
        </w:r>
      </w:hyperlink>
      <w:r w:rsidRPr="00851CA7">
        <w:rPr>
          <w:color w:val="000000"/>
          <w:sz w:val="20"/>
          <w:szCs w:val="20"/>
        </w:rPr>
        <w:t>,</w:t>
      </w:r>
      <w:hyperlink w:anchor="ref4" w:history="1">
        <w:r w:rsidRPr="00851CA7">
          <w:rPr>
            <w:color w:val="1F4E79"/>
            <w:sz w:val="20"/>
            <w:szCs w:val="20"/>
          </w:rPr>
          <w:t>4</w:t>
        </w:r>
      </w:hyperlink>
      <w:r w:rsidRPr="00851CA7">
        <w:rPr>
          <w:color w:val="000000"/>
          <w:sz w:val="20"/>
          <w:szCs w:val="20"/>
        </w:rPr>
        <w:t>]. Macrocytic anaemia was less common. In practice, a macrocytic finding opens a differential diagnosis that ranges from megaloblastic anaemia due to vitamin B12 or folate deficiency to alcohol use, liver disease, hypothyroidism and drug effects [</w:t>
      </w:r>
      <w:hyperlink w:anchor="ref5" w:history="1">
        <w:r w:rsidRPr="00851CA7">
          <w:rPr>
            <w:color w:val="1F4E79"/>
            <w:sz w:val="20"/>
            <w:szCs w:val="20"/>
          </w:rPr>
          <w:t>5</w:t>
        </w:r>
      </w:hyperlink>
      <w:r w:rsidRPr="00851CA7">
        <w:rPr>
          <w:color w:val="000000"/>
          <w:sz w:val="20"/>
          <w:szCs w:val="20"/>
        </w:rPr>
        <w:t xml:space="preserve">], so the smear contributes features such as oval macrocytes and </w:t>
      </w:r>
      <w:proofErr w:type="spellStart"/>
      <w:r w:rsidRPr="00851CA7">
        <w:rPr>
          <w:color w:val="000000"/>
          <w:sz w:val="20"/>
          <w:szCs w:val="20"/>
        </w:rPr>
        <w:t>hypersegmented</w:t>
      </w:r>
      <w:proofErr w:type="spellEnd"/>
      <w:r w:rsidRPr="00851CA7">
        <w:rPr>
          <w:color w:val="000000"/>
          <w:sz w:val="20"/>
          <w:szCs w:val="20"/>
        </w:rPr>
        <w:t xml:space="preserve"> neutrophils that indices cannot provide [</w:t>
      </w:r>
      <w:hyperlink w:anchor="ref9" w:history="1">
        <w:r w:rsidRPr="00851CA7">
          <w:rPr>
            <w:color w:val="1F4E79"/>
            <w:sz w:val="20"/>
            <w:szCs w:val="20"/>
          </w:rPr>
          <w:t>9</w:t>
        </w:r>
      </w:hyperlink>
      <w:r w:rsidRPr="00851CA7">
        <w:rPr>
          <w:color w:val="000000"/>
          <w:sz w:val="20"/>
          <w:szCs w:val="20"/>
        </w:rPr>
        <w:t>].</w:t>
      </w:r>
    </w:p>
    <w:p w14:paraId="7E772832" w14:textId="77777777" w:rsidR="00A86074" w:rsidRPr="00851CA7" w:rsidRDefault="00370030" w:rsidP="00851CA7">
      <w:pPr>
        <w:spacing w:line="360" w:lineRule="auto"/>
        <w:jc w:val="both"/>
        <w:rPr>
          <w:sz w:val="20"/>
          <w:szCs w:val="20"/>
        </w:rPr>
      </w:pPr>
      <w:r w:rsidRPr="00851CA7">
        <w:rPr>
          <w:color w:val="000000"/>
          <w:sz w:val="20"/>
          <w:szCs w:val="20"/>
        </w:rPr>
        <w:t>A kappa of 0.85 falls in the 'almost perfect' band described by Landis and Koch [</w:t>
      </w:r>
      <w:hyperlink w:anchor="ref15" w:history="1">
        <w:r w:rsidRPr="00851CA7">
          <w:rPr>
            <w:color w:val="1F4E79"/>
            <w:sz w:val="20"/>
            <w:szCs w:val="20"/>
          </w:rPr>
          <w:t>15</w:t>
        </w:r>
      </w:hyperlink>
      <w:r w:rsidRPr="00851CA7">
        <w:rPr>
          <w:color w:val="000000"/>
          <w:sz w:val="20"/>
          <w:szCs w:val="20"/>
        </w:rPr>
        <w:t xml:space="preserve">]. Discordant cases clustered near the 80 </w:t>
      </w:r>
      <w:proofErr w:type="spellStart"/>
      <w:r w:rsidRPr="00851CA7">
        <w:rPr>
          <w:color w:val="000000"/>
          <w:sz w:val="20"/>
          <w:szCs w:val="20"/>
        </w:rPr>
        <w:t>fL</w:t>
      </w:r>
      <w:proofErr w:type="spellEnd"/>
      <w:r w:rsidRPr="00851CA7">
        <w:rPr>
          <w:color w:val="000000"/>
          <w:sz w:val="20"/>
          <w:szCs w:val="20"/>
        </w:rPr>
        <w:t xml:space="preserve"> boundary, which is expected when a continuous measurement is converted into categories and when early iron deficiency produces a mixed population before the MCV falls. This pattern supports the observation of Bessman and colleagues that MCV alone is an incomplete classifier and that the addition of RDW improves discrimination [</w:t>
      </w:r>
      <w:hyperlink w:anchor="ref6" w:history="1">
        <w:r w:rsidRPr="00851CA7">
          <w:rPr>
            <w:color w:val="1F4E79"/>
            <w:sz w:val="20"/>
            <w:szCs w:val="20"/>
          </w:rPr>
          <w:t>6</w:t>
        </w:r>
      </w:hyperlink>
      <w:r w:rsidRPr="00851CA7">
        <w:rPr>
          <w:color w:val="000000"/>
          <w:sz w:val="20"/>
          <w:szCs w:val="20"/>
        </w:rPr>
        <w:t>]. Modern analysers provide precise indices and further red cell parameters [</w:t>
      </w:r>
      <w:hyperlink w:anchor="ref7" w:history="1">
        <w:r w:rsidRPr="00851CA7">
          <w:rPr>
            <w:color w:val="1F4E79"/>
            <w:sz w:val="20"/>
            <w:szCs w:val="20"/>
          </w:rPr>
          <w:t>7</w:t>
        </w:r>
      </w:hyperlink>
      <w:r w:rsidRPr="00851CA7">
        <w:rPr>
          <w:color w:val="000000"/>
          <w:sz w:val="20"/>
          <w:szCs w:val="20"/>
        </w:rPr>
        <w:t>,</w:t>
      </w:r>
      <w:hyperlink w:anchor="ref8" w:history="1">
        <w:r w:rsidRPr="00851CA7">
          <w:rPr>
            <w:color w:val="1F4E79"/>
            <w:sz w:val="20"/>
            <w:szCs w:val="20"/>
          </w:rPr>
          <w:t>8</w:t>
        </w:r>
      </w:hyperlink>
      <w:r w:rsidRPr="00851CA7">
        <w:rPr>
          <w:color w:val="000000"/>
          <w:sz w:val="20"/>
          <w:szCs w:val="20"/>
        </w:rPr>
        <w:t>], but averaged values cannot describe the shape of the red cell population.</w:t>
      </w:r>
    </w:p>
    <w:p w14:paraId="3C4DF6C8" w14:textId="77777777" w:rsidR="00A86074" w:rsidRPr="00851CA7" w:rsidRDefault="00370030" w:rsidP="00851CA7">
      <w:pPr>
        <w:spacing w:line="360" w:lineRule="auto"/>
        <w:jc w:val="both"/>
        <w:rPr>
          <w:sz w:val="20"/>
          <w:szCs w:val="20"/>
        </w:rPr>
      </w:pPr>
      <w:r w:rsidRPr="00851CA7">
        <w:rPr>
          <w:color w:val="000000"/>
          <w:sz w:val="20"/>
          <w:szCs w:val="20"/>
        </w:rPr>
        <w:t xml:space="preserve">The dimorphic group illustrates this limitation most clearly. When microcytic and macrocytic populations coexist, as in combined iron and vitamin B12 or folate deficiency, or after partial treatment or transfusion, the averaged MCV may fall within the normal range. In this simulation, most dimorphic cases would have been reported as normocytic on the basis of MCV, yet </w:t>
      </w:r>
      <w:proofErr w:type="spellStart"/>
      <w:r w:rsidRPr="00851CA7">
        <w:rPr>
          <w:color w:val="000000"/>
          <w:sz w:val="20"/>
          <w:szCs w:val="20"/>
        </w:rPr>
        <w:t>every one</w:t>
      </w:r>
      <w:proofErr w:type="spellEnd"/>
      <w:r w:rsidRPr="00851CA7">
        <w:rPr>
          <w:color w:val="000000"/>
          <w:sz w:val="20"/>
          <w:szCs w:val="20"/>
        </w:rPr>
        <w:t xml:space="preserve"> had a raised RDW. This is the pattern that smear review criteria are designed to catch [</w:t>
      </w:r>
      <w:hyperlink w:anchor="ref10" w:history="1">
        <w:r w:rsidRPr="00851CA7">
          <w:rPr>
            <w:color w:val="1F4E79"/>
            <w:sz w:val="20"/>
            <w:szCs w:val="20"/>
          </w:rPr>
          <w:t>10</w:t>
        </w:r>
      </w:hyperlink>
      <w:r w:rsidRPr="00851CA7">
        <w:rPr>
          <w:color w:val="000000"/>
          <w:sz w:val="20"/>
          <w:szCs w:val="20"/>
        </w:rPr>
        <w:t>,</w:t>
      </w:r>
      <w:hyperlink w:anchor="ref11" w:history="1">
        <w:r w:rsidRPr="00851CA7">
          <w:rPr>
            <w:color w:val="1F4E79"/>
            <w:sz w:val="20"/>
            <w:szCs w:val="20"/>
          </w:rPr>
          <w:t>11</w:t>
        </w:r>
      </w:hyperlink>
      <w:r w:rsidRPr="00851CA7">
        <w:rPr>
          <w:color w:val="000000"/>
          <w:sz w:val="20"/>
          <w:szCs w:val="20"/>
        </w:rPr>
        <w:t>]. RDW is a sensitive but non-specific marker of anisocytosis and is raised in a wide range of conditions [</w:t>
      </w:r>
      <w:bookmarkStart w:id="20" w:name="cite16"/>
      <w:r w:rsidR="00973F8C" w:rsidRPr="00851CA7">
        <w:rPr>
          <w:sz w:val="20"/>
          <w:szCs w:val="20"/>
        </w:rPr>
        <w:fldChar w:fldCharType="begin"/>
      </w:r>
      <w:r w:rsidRPr="00851CA7">
        <w:rPr>
          <w:sz w:val="20"/>
          <w:szCs w:val="20"/>
        </w:rPr>
        <w:instrText>HYPERLINK \l "ref16"</w:instrText>
      </w:r>
      <w:r w:rsidR="00973F8C" w:rsidRPr="00851CA7">
        <w:rPr>
          <w:sz w:val="20"/>
          <w:szCs w:val="20"/>
        </w:rPr>
      </w:r>
      <w:r w:rsidR="00973F8C" w:rsidRPr="00851CA7">
        <w:rPr>
          <w:sz w:val="20"/>
          <w:szCs w:val="20"/>
        </w:rPr>
        <w:fldChar w:fldCharType="separate"/>
      </w:r>
      <w:r w:rsidRPr="00851CA7">
        <w:rPr>
          <w:color w:val="1F4E79"/>
          <w:sz w:val="20"/>
          <w:szCs w:val="20"/>
        </w:rPr>
        <w:t>16</w:t>
      </w:r>
      <w:r w:rsidR="00973F8C" w:rsidRPr="00851CA7">
        <w:rPr>
          <w:sz w:val="20"/>
          <w:szCs w:val="20"/>
        </w:rPr>
        <w:fldChar w:fldCharType="end"/>
      </w:r>
      <w:bookmarkEnd w:id="20"/>
      <w:r w:rsidRPr="00851CA7">
        <w:rPr>
          <w:color w:val="000000"/>
          <w:sz w:val="20"/>
          <w:szCs w:val="20"/>
        </w:rPr>
        <w:t>]. A raised RDW with a normal MCV is therefore best used as a trigger for smear examination rather than as a diagnosis.</w:t>
      </w:r>
    </w:p>
    <w:p w14:paraId="160130CC" w14:textId="77777777" w:rsidR="00A86074" w:rsidRPr="00851CA7" w:rsidRDefault="00370030" w:rsidP="00851CA7">
      <w:pPr>
        <w:spacing w:line="360" w:lineRule="auto"/>
        <w:jc w:val="both"/>
        <w:rPr>
          <w:sz w:val="20"/>
          <w:szCs w:val="20"/>
        </w:rPr>
      </w:pPr>
      <w:r w:rsidRPr="00851CA7">
        <w:rPr>
          <w:color w:val="000000"/>
          <w:sz w:val="20"/>
          <w:szCs w:val="20"/>
        </w:rPr>
        <w:t>The findings also bear on the screening of microcytosis. Indices such as the Mentzer index, the ratio of MCV to red cell count, were proposed to separate iron deficiency from thalassaemia trait [</w:t>
      </w:r>
      <w:bookmarkStart w:id="21" w:name="cite17"/>
      <w:r w:rsidR="00973F8C" w:rsidRPr="00851CA7">
        <w:rPr>
          <w:sz w:val="20"/>
          <w:szCs w:val="20"/>
        </w:rPr>
        <w:fldChar w:fldCharType="begin"/>
      </w:r>
      <w:r w:rsidRPr="00851CA7">
        <w:rPr>
          <w:sz w:val="20"/>
          <w:szCs w:val="20"/>
        </w:rPr>
        <w:instrText>HYPERLINK \l "ref17"</w:instrText>
      </w:r>
      <w:r w:rsidR="00973F8C" w:rsidRPr="00851CA7">
        <w:rPr>
          <w:sz w:val="20"/>
          <w:szCs w:val="20"/>
        </w:rPr>
      </w:r>
      <w:r w:rsidR="00973F8C" w:rsidRPr="00851CA7">
        <w:rPr>
          <w:sz w:val="20"/>
          <w:szCs w:val="20"/>
        </w:rPr>
        <w:fldChar w:fldCharType="separate"/>
      </w:r>
      <w:r w:rsidRPr="00851CA7">
        <w:rPr>
          <w:color w:val="1F4E79"/>
          <w:sz w:val="20"/>
          <w:szCs w:val="20"/>
        </w:rPr>
        <w:t>17</w:t>
      </w:r>
      <w:r w:rsidR="00973F8C" w:rsidRPr="00851CA7">
        <w:rPr>
          <w:sz w:val="20"/>
          <w:szCs w:val="20"/>
        </w:rPr>
        <w:fldChar w:fldCharType="end"/>
      </w:r>
      <w:bookmarkEnd w:id="21"/>
      <w:r w:rsidRPr="00851CA7">
        <w:rPr>
          <w:color w:val="000000"/>
          <w:sz w:val="20"/>
          <w:szCs w:val="20"/>
        </w:rPr>
        <w:t xml:space="preserve">]. Such indices are useful for triage </w:t>
      </w:r>
      <w:r w:rsidRPr="00851CA7">
        <w:rPr>
          <w:color w:val="000000"/>
          <w:sz w:val="20"/>
          <w:szCs w:val="20"/>
        </w:rPr>
        <w:lastRenderedPageBreak/>
        <w:t>but do not replace morphological assessment or confirmatory tests. Standardized ICSH terminology and grading [</w:t>
      </w:r>
      <w:hyperlink w:anchor="ref13" w:history="1">
        <w:r w:rsidRPr="00851CA7">
          <w:rPr>
            <w:color w:val="1F4E79"/>
            <w:sz w:val="20"/>
            <w:szCs w:val="20"/>
          </w:rPr>
          <w:t>13</w:t>
        </w:r>
      </w:hyperlink>
      <w:r w:rsidRPr="00851CA7">
        <w:rPr>
          <w:color w:val="000000"/>
          <w:sz w:val="20"/>
          <w:szCs w:val="20"/>
        </w:rPr>
        <w:t>] would further improve the reproducibility of smear reporting in a real study.</w:t>
      </w:r>
    </w:p>
    <w:p w14:paraId="2BF4A6E5" w14:textId="77777777" w:rsidR="00A86074" w:rsidRPr="00851CA7" w:rsidRDefault="00370030" w:rsidP="00851CA7">
      <w:pPr>
        <w:keepNext/>
        <w:spacing w:line="360" w:lineRule="auto"/>
        <w:rPr>
          <w:sz w:val="20"/>
          <w:szCs w:val="20"/>
        </w:rPr>
      </w:pPr>
      <w:r w:rsidRPr="00851CA7">
        <w:rPr>
          <w:rFonts w:eastAsia="Arial"/>
          <w:b/>
          <w:bCs/>
          <w:color w:val="000000"/>
          <w:sz w:val="20"/>
          <w:szCs w:val="20"/>
        </w:rPr>
        <w:t>CONCLUSION</w:t>
      </w:r>
    </w:p>
    <w:p w14:paraId="63B35CDB" w14:textId="01CD13C0" w:rsidR="00A86074" w:rsidRPr="00851CA7" w:rsidRDefault="00370030" w:rsidP="00851CA7">
      <w:pPr>
        <w:spacing w:line="360" w:lineRule="auto"/>
        <w:jc w:val="both"/>
        <w:rPr>
          <w:sz w:val="20"/>
          <w:szCs w:val="20"/>
        </w:rPr>
      </w:pPr>
      <w:r w:rsidRPr="00851CA7">
        <w:rPr>
          <w:color w:val="000000"/>
          <w:sz w:val="20"/>
          <w:szCs w:val="20"/>
        </w:rPr>
        <w:t>This analysis outlines a practical method for testing whether automated red cell indices can stand in for peripheral smear morphology when classifying anaemia. In the simulated dataset, MCV-based classification agreed almost perfectly with the smear for microcytic, normocytic and macrocytic anaemia but missed dimorphic blood pictures. These were reliably accompanied by a raised RDW. The expected clinical message is that indices are adequate for initial classification, while a raised RDW with a normal MCV warrants smear review. Before these conclusions can be drawn, the study must be conducted on real, ethically approved patient data with aetiological work-up. Future research should assess analyser-specific RDW thresholds and the added value of newer red cell parameters.</w:t>
      </w:r>
    </w:p>
    <w:p w14:paraId="23DA8BCD" w14:textId="77777777" w:rsidR="00851CA7" w:rsidRDefault="00851CA7" w:rsidP="00851CA7">
      <w:pPr>
        <w:keepNext/>
        <w:spacing w:line="360" w:lineRule="auto"/>
        <w:rPr>
          <w:rFonts w:eastAsia="Arial"/>
          <w:b/>
          <w:bCs/>
          <w:color w:val="000000"/>
          <w:sz w:val="20"/>
          <w:szCs w:val="20"/>
        </w:rPr>
      </w:pPr>
    </w:p>
    <w:p w14:paraId="72FE2A34" w14:textId="5279C07E" w:rsidR="00A86074" w:rsidRPr="00851CA7" w:rsidRDefault="00370030" w:rsidP="00851CA7">
      <w:pPr>
        <w:keepNext/>
        <w:spacing w:line="360" w:lineRule="auto"/>
        <w:rPr>
          <w:sz w:val="20"/>
          <w:szCs w:val="20"/>
        </w:rPr>
      </w:pPr>
      <w:r w:rsidRPr="00851CA7">
        <w:rPr>
          <w:rFonts w:eastAsia="Arial"/>
          <w:b/>
          <w:bCs/>
          <w:color w:val="000000"/>
          <w:sz w:val="20"/>
          <w:szCs w:val="20"/>
        </w:rPr>
        <w:t>REFERENCES</w:t>
      </w:r>
    </w:p>
    <w:p w14:paraId="1BA5F545" w14:textId="77777777" w:rsidR="00A86074" w:rsidRPr="00851CA7" w:rsidRDefault="00370030" w:rsidP="00851CA7">
      <w:pPr>
        <w:tabs>
          <w:tab w:val="left" w:pos="400"/>
        </w:tabs>
        <w:spacing w:line="360" w:lineRule="auto"/>
        <w:ind w:left="400" w:hanging="400"/>
        <w:rPr>
          <w:sz w:val="20"/>
          <w:szCs w:val="20"/>
        </w:rPr>
      </w:pPr>
      <w:bookmarkStart w:id="22" w:name="ref1"/>
      <w:r w:rsidRPr="00851CA7">
        <w:rPr>
          <w:b/>
          <w:bCs/>
          <w:color w:val="000000"/>
          <w:sz w:val="20"/>
          <w:szCs w:val="20"/>
        </w:rPr>
        <w:t>1.</w:t>
      </w:r>
      <w:bookmarkEnd w:id="22"/>
      <w:r w:rsidRPr="00851CA7">
        <w:rPr>
          <w:color w:val="000000"/>
          <w:sz w:val="20"/>
          <w:szCs w:val="20"/>
        </w:rPr>
        <w:tab/>
        <w:t xml:space="preserve">World Health Organization. Haemoglobin concentrations for the diagnosis of anaemia and assessment of severity. Vitamin and Mineral Nutrition Information System. Geneva: World Health Organization; 2011 (WHO/NMH/NHD/MNM/11.1). </w:t>
      </w:r>
      <w:hyperlink w:anchor="cite1" w:history="1">
        <w:r w:rsidRPr="00851CA7">
          <w:rPr>
            <w:rFonts w:eastAsia="Arial"/>
            <w:color w:val="1F4E79"/>
            <w:sz w:val="20"/>
            <w:szCs w:val="20"/>
          </w:rPr>
          <w:t>↑</w:t>
        </w:r>
      </w:hyperlink>
    </w:p>
    <w:p w14:paraId="48BF0C97" w14:textId="5DB8BE5D" w:rsidR="00A86074" w:rsidRPr="00851CA7" w:rsidRDefault="00370030" w:rsidP="00851CA7">
      <w:pPr>
        <w:tabs>
          <w:tab w:val="left" w:pos="400"/>
        </w:tabs>
        <w:spacing w:line="360" w:lineRule="auto"/>
        <w:ind w:left="400" w:hanging="400"/>
        <w:rPr>
          <w:sz w:val="20"/>
          <w:szCs w:val="20"/>
        </w:rPr>
      </w:pPr>
      <w:bookmarkStart w:id="23" w:name="ref2"/>
      <w:r w:rsidRPr="00851CA7">
        <w:rPr>
          <w:b/>
          <w:bCs/>
          <w:color w:val="000000"/>
          <w:sz w:val="20"/>
          <w:szCs w:val="20"/>
        </w:rPr>
        <w:t>2.</w:t>
      </w:r>
      <w:bookmarkEnd w:id="23"/>
      <w:r w:rsidRPr="00851CA7">
        <w:rPr>
          <w:color w:val="000000"/>
          <w:sz w:val="20"/>
          <w:szCs w:val="20"/>
        </w:rPr>
        <w:tab/>
        <w:t xml:space="preserve">Kassebaum NJ, </w:t>
      </w:r>
      <w:proofErr w:type="spellStart"/>
      <w:r w:rsidRPr="00851CA7">
        <w:rPr>
          <w:color w:val="000000"/>
          <w:sz w:val="20"/>
          <w:szCs w:val="20"/>
        </w:rPr>
        <w:t>Jasrasaria</w:t>
      </w:r>
      <w:proofErr w:type="spellEnd"/>
      <w:r w:rsidRPr="00851CA7">
        <w:rPr>
          <w:color w:val="000000"/>
          <w:sz w:val="20"/>
          <w:szCs w:val="20"/>
        </w:rPr>
        <w:t xml:space="preserve"> R, </w:t>
      </w:r>
      <w:proofErr w:type="spellStart"/>
      <w:r w:rsidRPr="00851CA7">
        <w:rPr>
          <w:color w:val="000000"/>
          <w:sz w:val="20"/>
          <w:szCs w:val="20"/>
        </w:rPr>
        <w:t>Naghavi</w:t>
      </w:r>
      <w:proofErr w:type="spellEnd"/>
      <w:r w:rsidRPr="00851CA7">
        <w:rPr>
          <w:color w:val="000000"/>
          <w:sz w:val="20"/>
          <w:szCs w:val="20"/>
        </w:rPr>
        <w:t xml:space="preserve"> M, Wulf SK, Johns N, Lozano R, et al. A systematic analysis of global </w:t>
      </w:r>
      <w:proofErr w:type="spellStart"/>
      <w:r w:rsidRPr="00851CA7">
        <w:rPr>
          <w:color w:val="000000"/>
          <w:sz w:val="20"/>
          <w:szCs w:val="20"/>
        </w:rPr>
        <w:t>anemia</w:t>
      </w:r>
      <w:proofErr w:type="spellEnd"/>
      <w:r w:rsidRPr="00851CA7">
        <w:rPr>
          <w:color w:val="000000"/>
          <w:sz w:val="20"/>
          <w:szCs w:val="20"/>
        </w:rPr>
        <w:t xml:space="preserve"> burden from 1990 to 2010. Blood. 2014;123(5):615-24. </w:t>
      </w:r>
    </w:p>
    <w:p w14:paraId="6452E35B" w14:textId="136BD8EB" w:rsidR="00A86074" w:rsidRPr="00851CA7" w:rsidRDefault="00370030" w:rsidP="00851CA7">
      <w:pPr>
        <w:tabs>
          <w:tab w:val="left" w:pos="400"/>
        </w:tabs>
        <w:spacing w:line="360" w:lineRule="auto"/>
        <w:ind w:left="400" w:hanging="400"/>
        <w:rPr>
          <w:sz w:val="20"/>
          <w:szCs w:val="20"/>
        </w:rPr>
      </w:pPr>
      <w:bookmarkStart w:id="24" w:name="ref3"/>
      <w:r w:rsidRPr="00851CA7">
        <w:rPr>
          <w:b/>
          <w:bCs/>
          <w:color w:val="000000"/>
          <w:sz w:val="20"/>
          <w:szCs w:val="20"/>
        </w:rPr>
        <w:t>3.</w:t>
      </w:r>
      <w:bookmarkEnd w:id="24"/>
      <w:r w:rsidRPr="00851CA7">
        <w:rPr>
          <w:color w:val="000000"/>
          <w:sz w:val="20"/>
          <w:szCs w:val="20"/>
        </w:rPr>
        <w:tab/>
      </w:r>
      <w:proofErr w:type="spellStart"/>
      <w:r w:rsidRPr="00851CA7">
        <w:rPr>
          <w:color w:val="000000"/>
          <w:sz w:val="20"/>
          <w:szCs w:val="20"/>
        </w:rPr>
        <w:t>Kalantri</w:t>
      </w:r>
      <w:proofErr w:type="spellEnd"/>
      <w:r w:rsidRPr="00851CA7">
        <w:rPr>
          <w:color w:val="000000"/>
          <w:sz w:val="20"/>
          <w:szCs w:val="20"/>
        </w:rPr>
        <w:t xml:space="preserve"> A, </w:t>
      </w:r>
      <w:proofErr w:type="spellStart"/>
      <w:r w:rsidRPr="00851CA7">
        <w:rPr>
          <w:color w:val="000000"/>
          <w:sz w:val="20"/>
          <w:szCs w:val="20"/>
        </w:rPr>
        <w:t>Karambelkar</w:t>
      </w:r>
      <w:proofErr w:type="spellEnd"/>
      <w:r w:rsidRPr="00851CA7">
        <w:rPr>
          <w:color w:val="000000"/>
          <w:sz w:val="20"/>
          <w:szCs w:val="20"/>
        </w:rPr>
        <w:t xml:space="preserve"> M, Joshi R, </w:t>
      </w:r>
      <w:proofErr w:type="spellStart"/>
      <w:r w:rsidRPr="00851CA7">
        <w:rPr>
          <w:color w:val="000000"/>
          <w:sz w:val="20"/>
          <w:szCs w:val="20"/>
        </w:rPr>
        <w:t>Kalantri</w:t>
      </w:r>
      <w:proofErr w:type="spellEnd"/>
      <w:r w:rsidRPr="00851CA7">
        <w:rPr>
          <w:color w:val="000000"/>
          <w:sz w:val="20"/>
          <w:szCs w:val="20"/>
        </w:rPr>
        <w:t xml:space="preserve"> S, Jajoo U. Accuracy and reliability of pallor for detecting anaemia: a hospital-based diagnostic accuracy study. </w:t>
      </w:r>
      <w:proofErr w:type="spellStart"/>
      <w:r w:rsidRPr="00851CA7">
        <w:rPr>
          <w:color w:val="000000"/>
          <w:sz w:val="20"/>
          <w:szCs w:val="20"/>
        </w:rPr>
        <w:t>PLoS</w:t>
      </w:r>
      <w:proofErr w:type="spellEnd"/>
      <w:r w:rsidRPr="00851CA7">
        <w:rPr>
          <w:color w:val="000000"/>
          <w:sz w:val="20"/>
          <w:szCs w:val="20"/>
        </w:rPr>
        <w:t xml:space="preserve"> One. 2010;5(1</w:t>
      </w:r>
      <w:proofErr w:type="gramStart"/>
      <w:r w:rsidRPr="00851CA7">
        <w:rPr>
          <w:color w:val="000000"/>
          <w:sz w:val="20"/>
          <w:szCs w:val="20"/>
        </w:rPr>
        <w:t>):e</w:t>
      </w:r>
      <w:proofErr w:type="gramEnd"/>
      <w:r w:rsidRPr="00851CA7">
        <w:rPr>
          <w:color w:val="000000"/>
          <w:sz w:val="20"/>
          <w:szCs w:val="20"/>
        </w:rPr>
        <w:t xml:space="preserve">8545. </w:t>
      </w:r>
    </w:p>
    <w:p w14:paraId="5AE9067A" w14:textId="77777777" w:rsidR="00A86074" w:rsidRPr="00851CA7" w:rsidRDefault="00370030" w:rsidP="00851CA7">
      <w:pPr>
        <w:tabs>
          <w:tab w:val="left" w:pos="400"/>
        </w:tabs>
        <w:spacing w:line="360" w:lineRule="auto"/>
        <w:ind w:left="400" w:hanging="400"/>
        <w:rPr>
          <w:sz w:val="20"/>
          <w:szCs w:val="20"/>
        </w:rPr>
      </w:pPr>
      <w:bookmarkStart w:id="25" w:name="ref4"/>
      <w:r w:rsidRPr="00851CA7">
        <w:rPr>
          <w:b/>
          <w:bCs/>
          <w:color w:val="000000"/>
          <w:sz w:val="20"/>
          <w:szCs w:val="20"/>
        </w:rPr>
        <w:t>4.</w:t>
      </w:r>
      <w:bookmarkEnd w:id="25"/>
      <w:r w:rsidRPr="00851CA7">
        <w:rPr>
          <w:color w:val="000000"/>
          <w:sz w:val="20"/>
          <w:szCs w:val="20"/>
        </w:rPr>
        <w:tab/>
      </w:r>
      <w:proofErr w:type="spellStart"/>
      <w:r w:rsidRPr="00851CA7">
        <w:rPr>
          <w:color w:val="000000"/>
          <w:sz w:val="20"/>
          <w:szCs w:val="20"/>
        </w:rPr>
        <w:t>Camaschella</w:t>
      </w:r>
      <w:proofErr w:type="spellEnd"/>
      <w:r w:rsidRPr="00851CA7">
        <w:rPr>
          <w:color w:val="000000"/>
          <w:sz w:val="20"/>
          <w:szCs w:val="20"/>
        </w:rPr>
        <w:t xml:space="preserve"> C. Iron-deficiency </w:t>
      </w:r>
      <w:proofErr w:type="spellStart"/>
      <w:r w:rsidRPr="00851CA7">
        <w:rPr>
          <w:color w:val="000000"/>
          <w:sz w:val="20"/>
          <w:szCs w:val="20"/>
        </w:rPr>
        <w:t>anemia</w:t>
      </w:r>
      <w:proofErr w:type="spellEnd"/>
      <w:r w:rsidRPr="00851CA7">
        <w:rPr>
          <w:color w:val="000000"/>
          <w:sz w:val="20"/>
          <w:szCs w:val="20"/>
        </w:rPr>
        <w:t>. N Engl J Med. 2015;372(19):1832-43. doi:</w:t>
      </w:r>
      <w:hyperlink r:id="rId9" w:history="1">
        <w:r w:rsidRPr="00851CA7">
          <w:rPr>
            <w:color w:val="1F4E79"/>
            <w:sz w:val="20"/>
            <w:szCs w:val="20"/>
            <w:u w:val="single"/>
          </w:rPr>
          <w:t>10.1056/NEJMra1401038</w:t>
        </w:r>
      </w:hyperlink>
      <w:r w:rsidRPr="00851CA7">
        <w:rPr>
          <w:color w:val="000000"/>
          <w:sz w:val="20"/>
          <w:szCs w:val="20"/>
        </w:rPr>
        <w:t xml:space="preserve"> </w:t>
      </w:r>
      <w:hyperlink w:anchor="cite4" w:history="1">
        <w:r w:rsidRPr="00851CA7">
          <w:rPr>
            <w:rFonts w:eastAsia="Arial"/>
            <w:color w:val="1F4E79"/>
            <w:sz w:val="20"/>
            <w:szCs w:val="20"/>
          </w:rPr>
          <w:t>↑</w:t>
        </w:r>
      </w:hyperlink>
    </w:p>
    <w:p w14:paraId="38AA7028" w14:textId="2B6D6EC3" w:rsidR="00A86074" w:rsidRPr="00851CA7" w:rsidRDefault="00370030" w:rsidP="00851CA7">
      <w:pPr>
        <w:tabs>
          <w:tab w:val="left" w:pos="400"/>
        </w:tabs>
        <w:spacing w:line="360" w:lineRule="auto"/>
        <w:ind w:left="400" w:hanging="400"/>
        <w:rPr>
          <w:sz w:val="20"/>
          <w:szCs w:val="20"/>
        </w:rPr>
      </w:pPr>
      <w:bookmarkStart w:id="26" w:name="ref5"/>
      <w:r w:rsidRPr="00851CA7">
        <w:rPr>
          <w:b/>
          <w:bCs/>
          <w:color w:val="000000"/>
          <w:sz w:val="20"/>
          <w:szCs w:val="20"/>
        </w:rPr>
        <w:t>5.</w:t>
      </w:r>
      <w:bookmarkEnd w:id="26"/>
      <w:r w:rsidRPr="00851CA7">
        <w:rPr>
          <w:color w:val="000000"/>
          <w:sz w:val="20"/>
          <w:szCs w:val="20"/>
        </w:rPr>
        <w:tab/>
      </w:r>
      <w:proofErr w:type="spellStart"/>
      <w:r w:rsidRPr="00851CA7">
        <w:rPr>
          <w:color w:val="000000"/>
          <w:sz w:val="20"/>
          <w:szCs w:val="20"/>
        </w:rPr>
        <w:t>Aslinia</w:t>
      </w:r>
      <w:proofErr w:type="spellEnd"/>
      <w:r w:rsidRPr="00851CA7">
        <w:rPr>
          <w:color w:val="000000"/>
          <w:sz w:val="20"/>
          <w:szCs w:val="20"/>
        </w:rPr>
        <w:t xml:space="preserve"> F, Mazza JJ, Yale SH. Megaloblastic </w:t>
      </w:r>
      <w:proofErr w:type="spellStart"/>
      <w:r w:rsidRPr="00851CA7">
        <w:rPr>
          <w:color w:val="000000"/>
          <w:sz w:val="20"/>
          <w:szCs w:val="20"/>
        </w:rPr>
        <w:t>anemia</w:t>
      </w:r>
      <w:proofErr w:type="spellEnd"/>
      <w:r w:rsidRPr="00851CA7">
        <w:rPr>
          <w:color w:val="000000"/>
          <w:sz w:val="20"/>
          <w:szCs w:val="20"/>
        </w:rPr>
        <w:t xml:space="preserve"> and other causes of macrocytosis. Clin Med Res. 2006;4(3):236-41. </w:t>
      </w:r>
    </w:p>
    <w:p w14:paraId="7D9D6F57" w14:textId="2B5422DF" w:rsidR="00A86074" w:rsidRPr="00851CA7" w:rsidRDefault="00370030" w:rsidP="00851CA7">
      <w:pPr>
        <w:tabs>
          <w:tab w:val="left" w:pos="400"/>
        </w:tabs>
        <w:spacing w:line="360" w:lineRule="auto"/>
        <w:ind w:left="400" w:hanging="400"/>
        <w:rPr>
          <w:sz w:val="20"/>
          <w:szCs w:val="20"/>
        </w:rPr>
      </w:pPr>
      <w:bookmarkStart w:id="27" w:name="ref6"/>
      <w:r w:rsidRPr="00851CA7">
        <w:rPr>
          <w:b/>
          <w:bCs/>
          <w:color w:val="000000"/>
          <w:sz w:val="20"/>
          <w:szCs w:val="20"/>
        </w:rPr>
        <w:t>6.</w:t>
      </w:r>
      <w:bookmarkEnd w:id="27"/>
      <w:r w:rsidRPr="00851CA7">
        <w:rPr>
          <w:color w:val="000000"/>
          <w:sz w:val="20"/>
          <w:szCs w:val="20"/>
        </w:rPr>
        <w:tab/>
        <w:t xml:space="preserve">Bessman JD, Gilmer PR Jr, Gardner FH. Improved classification of </w:t>
      </w:r>
      <w:proofErr w:type="spellStart"/>
      <w:r w:rsidRPr="00851CA7">
        <w:rPr>
          <w:color w:val="000000"/>
          <w:sz w:val="20"/>
          <w:szCs w:val="20"/>
        </w:rPr>
        <w:t>anemias</w:t>
      </w:r>
      <w:proofErr w:type="spellEnd"/>
      <w:r w:rsidRPr="00851CA7">
        <w:rPr>
          <w:color w:val="000000"/>
          <w:sz w:val="20"/>
          <w:szCs w:val="20"/>
        </w:rPr>
        <w:t xml:space="preserve"> by MCV and RDW. Am J Clin Pathol. 1983;80(3):322-6. </w:t>
      </w:r>
      <w:hyperlink w:anchor="cite6" w:history="1">
        <w:r w:rsidRPr="00851CA7">
          <w:rPr>
            <w:rFonts w:eastAsia="Arial"/>
            <w:color w:val="1F4E79"/>
            <w:sz w:val="20"/>
            <w:szCs w:val="20"/>
          </w:rPr>
          <w:t>↑</w:t>
        </w:r>
      </w:hyperlink>
    </w:p>
    <w:p w14:paraId="1BC56162" w14:textId="55CA8214" w:rsidR="00A86074" w:rsidRPr="00851CA7" w:rsidRDefault="00370030" w:rsidP="00851CA7">
      <w:pPr>
        <w:tabs>
          <w:tab w:val="left" w:pos="400"/>
        </w:tabs>
        <w:spacing w:line="360" w:lineRule="auto"/>
        <w:ind w:left="400" w:hanging="400"/>
        <w:rPr>
          <w:sz w:val="20"/>
          <w:szCs w:val="20"/>
        </w:rPr>
      </w:pPr>
      <w:bookmarkStart w:id="28" w:name="ref7"/>
      <w:r w:rsidRPr="00851CA7">
        <w:rPr>
          <w:b/>
          <w:bCs/>
          <w:color w:val="000000"/>
          <w:sz w:val="20"/>
          <w:szCs w:val="20"/>
        </w:rPr>
        <w:t>7.</w:t>
      </w:r>
      <w:bookmarkEnd w:id="28"/>
      <w:r w:rsidRPr="00851CA7">
        <w:rPr>
          <w:color w:val="000000"/>
          <w:sz w:val="20"/>
          <w:szCs w:val="20"/>
        </w:rPr>
        <w:tab/>
      </w:r>
      <w:proofErr w:type="spellStart"/>
      <w:r w:rsidRPr="00851CA7">
        <w:rPr>
          <w:color w:val="000000"/>
          <w:sz w:val="20"/>
          <w:szCs w:val="20"/>
        </w:rPr>
        <w:t>Buttarello</w:t>
      </w:r>
      <w:proofErr w:type="spellEnd"/>
      <w:r w:rsidRPr="00851CA7">
        <w:rPr>
          <w:color w:val="000000"/>
          <w:sz w:val="20"/>
          <w:szCs w:val="20"/>
        </w:rPr>
        <w:t xml:space="preserve"> M, </w:t>
      </w:r>
      <w:proofErr w:type="spellStart"/>
      <w:r w:rsidRPr="00851CA7">
        <w:rPr>
          <w:color w:val="000000"/>
          <w:sz w:val="20"/>
          <w:szCs w:val="20"/>
        </w:rPr>
        <w:t>Plebani</w:t>
      </w:r>
      <w:proofErr w:type="spellEnd"/>
      <w:r w:rsidRPr="00851CA7">
        <w:rPr>
          <w:color w:val="000000"/>
          <w:sz w:val="20"/>
          <w:szCs w:val="20"/>
        </w:rPr>
        <w:t xml:space="preserve"> M. Automated blood cell counts: state of the art. Am J Clin Pathol. 2008;130(1):104-16. </w:t>
      </w:r>
    </w:p>
    <w:p w14:paraId="7E359AFB" w14:textId="54ED1487" w:rsidR="00A86074" w:rsidRPr="00851CA7" w:rsidRDefault="00370030" w:rsidP="00851CA7">
      <w:pPr>
        <w:tabs>
          <w:tab w:val="left" w:pos="400"/>
        </w:tabs>
        <w:spacing w:line="360" w:lineRule="auto"/>
        <w:ind w:left="400" w:hanging="400"/>
        <w:rPr>
          <w:sz w:val="20"/>
          <w:szCs w:val="20"/>
        </w:rPr>
      </w:pPr>
      <w:bookmarkStart w:id="29" w:name="ref8"/>
      <w:r w:rsidRPr="00851CA7">
        <w:rPr>
          <w:b/>
          <w:bCs/>
          <w:color w:val="000000"/>
          <w:sz w:val="20"/>
          <w:szCs w:val="20"/>
        </w:rPr>
        <w:t>8.</w:t>
      </w:r>
      <w:bookmarkEnd w:id="29"/>
      <w:r w:rsidRPr="00851CA7">
        <w:rPr>
          <w:color w:val="000000"/>
          <w:sz w:val="20"/>
          <w:szCs w:val="20"/>
        </w:rPr>
        <w:tab/>
        <w:t xml:space="preserve">Briggs C. Quality counts: new parameters in blood cell counting. Int J Lab </w:t>
      </w:r>
      <w:proofErr w:type="spellStart"/>
      <w:r w:rsidRPr="00851CA7">
        <w:rPr>
          <w:color w:val="000000"/>
          <w:sz w:val="20"/>
          <w:szCs w:val="20"/>
        </w:rPr>
        <w:t>Hematol</w:t>
      </w:r>
      <w:proofErr w:type="spellEnd"/>
      <w:r w:rsidRPr="00851CA7">
        <w:rPr>
          <w:color w:val="000000"/>
          <w:sz w:val="20"/>
          <w:szCs w:val="20"/>
        </w:rPr>
        <w:t xml:space="preserve">. 2009;31(3):277-97. </w:t>
      </w:r>
    </w:p>
    <w:p w14:paraId="698779BB" w14:textId="26396206" w:rsidR="00A86074" w:rsidRPr="00851CA7" w:rsidRDefault="00370030" w:rsidP="00851CA7">
      <w:pPr>
        <w:tabs>
          <w:tab w:val="left" w:pos="400"/>
        </w:tabs>
        <w:spacing w:line="360" w:lineRule="auto"/>
        <w:ind w:left="400" w:hanging="400"/>
        <w:rPr>
          <w:sz w:val="20"/>
          <w:szCs w:val="20"/>
        </w:rPr>
      </w:pPr>
      <w:bookmarkStart w:id="30" w:name="ref9"/>
      <w:r w:rsidRPr="00851CA7">
        <w:rPr>
          <w:b/>
          <w:bCs/>
          <w:color w:val="000000"/>
          <w:sz w:val="20"/>
          <w:szCs w:val="20"/>
        </w:rPr>
        <w:t>9.</w:t>
      </w:r>
      <w:bookmarkEnd w:id="30"/>
      <w:r w:rsidRPr="00851CA7">
        <w:rPr>
          <w:color w:val="000000"/>
          <w:sz w:val="20"/>
          <w:szCs w:val="20"/>
        </w:rPr>
        <w:tab/>
        <w:t>Bain BJ. Diagnosis from the blood smear. N Engl J Med. 2005;353(5):498-507</w:t>
      </w:r>
    </w:p>
    <w:p w14:paraId="0D55E02A" w14:textId="02725800" w:rsidR="00A86074" w:rsidRPr="00851CA7" w:rsidRDefault="00370030" w:rsidP="00851CA7">
      <w:pPr>
        <w:tabs>
          <w:tab w:val="left" w:pos="400"/>
        </w:tabs>
        <w:spacing w:line="360" w:lineRule="auto"/>
        <w:ind w:left="400" w:hanging="400"/>
        <w:rPr>
          <w:sz w:val="20"/>
          <w:szCs w:val="20"/>
        </w:rPr>
      </w:pPr>
      <w:bookmarkStart w:id="31" w:name="ref10"/>
      <w:r w:rsidRPr="00851CA7">
        <w:rPr>
          <w:b/>
          <w:bCs/>
          <w:color w:val="000000"/>
          <w:sz w:val="20"/>
          <w:szCs w:val="20"/>
        </w:rPr>
        <w:t>10.</w:t>
      </w:r>
      <w:bookmarkEnd w:id="31"/>
      <w:r w:rsidRPr="00851CA7">
        <w:rPr>
          <w:color w:val="000000"/>
          <w:sz w:val="20"/>
          <w:szCs w:val="20"/>
        </w:rPr>
        <w:tab/>
        <w:t xml:space="preserve">Gulati G, Song J, Florea AD, Gong J. Purpose and criteria for blood smear scan, blood smear examination, and blood smear review. Ann Lab Med. 2013;33(1):1-7. </w:t>
      </w:r>
    </w:p>
    <w:p w14:paraId="32856DF2" w14:textId="77A6A6FA" w:rsidR="00A86074" w:rsidRPr="00851CA7" w:rsidRDefault="00370030" w:rsidP="00851CA7">
      <w:pPr>
        <w:tabs>
          <w:tab w:val="left" w:pos="400"/>
        </w:tabs>
        <w:spacing w:line="360" w:lineRule="auto"/>
        <w:ind w:left="400" w:hanging="400"/>
        <w:rPr>
          <w:sz w:val="20"/>
          <w:szCs w:val="20"/>
        </w:rPr>
      </w:pPr>
      <w:bookmarkStart w:id="32" w:name="ref11"/>
      <w:r w:rsidRPr="00851CA7">
        <w:rPr>
          <w:b/>
          <w:bCs/>
          <w:color w:val="000000"/>
          <w:sz w:val="20"/>
          <w:szCs w:val="20"/>
        </w:rPr>
        <w:t>11.</w:t>
      </w:r>
      <w:bookmarkEnd w:id="32"/>
      <w:r w:rsidRPr="00851CA7">
        <w:rPr>
          <w:color w:val="000000"/>
          <w:sz w:val="20"/>
          <w:szCs w:val="20"/>
        </w:rPr>
        <w:tab/>
        <w:t xml:space="preserve">Barnes PW, McFadden SL, Machin SJ, Simson E. The international consensus group for </w:t>
      </w:r>
      <w:proofErr w:type="spellStart"/>
      <w:r w:rsidRPr="00851CA7">
        <w:rPr>
          <w:color w:val="000000"/>
          <w:sz w:val="20"/>
          <w:szCs w:val="20"/>
        </w:rPr>
        <w:t>hematology</w:t>
      </w:r>
      <w:proofErr w:type="spellEnd"/>
      <w:r w:rsidRPr="00851CA7">
        <w:rPr>
          <w:color w:val="000000"/>
          <w:sz w:val="20"/>
          <w:szCs w:val="20"/>
        </w:rPr>
        <w:t xml:space="preserve"> review: suggested criteria for action following automated CBC and WBC differential analysis. Lab </w:t>
      </w:r>
      <w:proofErr w:type="spellStart"/>
      <w:r w:rsidRPr="00851CA7">
        <w:rPr>
          <w:color w:val="000000"/>
          <w:sz w:val="20"/>
          <w:szCs w:val="20"/>
        </w:rPr>
        <w:t>Hematol</w:t>
      </w:r>
      <w:proofErr w:type="spellEnd"/>
      <w:r w:rsidRPr="00851CA7">
        <w:rPr>
          <w:color w:val="000000"/>
          <w:sz w:val="20"/>
          <w:szCs w:val="20"/>
        </w:rPr>
        <w:t xml:space="preserve">. 2005;11(2):83-90. </w:t>
      </w:r>
    </w:p>
    <w:p w14:paraId="43D7A9B7" w14:textId="79641A06" w:rsidR="00A86074" w:rsidRPr="00851CA7" w:rsidRDefault="00370030" w:rsidP="00851CA7">
      <w:pPr>
        <w:tabs>
          <w:tab w:val="left" w:pos="400"/>
        </w:tabs>
        <w:spacing w:line="360" w:lineRule="auto"/>
        <w:ind w:left="400" w:hanging="400"/>
        <w:rPr>
          <w:sz w:val="20"/>
          <w:szCs w:val="20"/>
        </w:rPr>
      </w:pPr>
      <w:bookmarkStart w:id="33" w:name="ref12"/>
      <w:r w:rsidRPr="00851CA7">
        <w:rPr>
          <w:b/>
          <w:bCs/>
          <w:color w:val="000000"/>
          <w:sz w:val="20"/>
          <w:szCs w:val="20"/>
        </w:rPr>
        <w:t>12.</w:t>
      </w:r>
      <w:bookmarkEnd w:id="33"/>
      <w:r w:rsidRPr="00851CA7">
        <w:rPr>
          <w:color w:val="000000"/>
          <w:sz w:val="20"/>
          <w:szCs w:val="20"/>
        </w:rPr>
        <w:tab/>
        <w:t xml:space="preserve">Bain BJ, Bates I, Laffan MA, editors. Dacie and Lewis practical haematology. 12th ed. London: Elsevier; 2017. </w:t>
      </w:r>
    </w:p>
    <w:p w14:paraId="4396B24A" w14:textId="77777777" w:rsidR="00A86074" w:rsidRPr="00851CA7" w:rsidRDefault="00370030" w:rsidP="00851CA7">
      <w:pPr>
        <w:tabs>
          <w:tab w:val="left" w:pos="400"/>
        </w:tabs>
        <w:spacing w:line="360" w:lineRule="auto"/>
        <w:ind w:left="400" w:hanging="400"/>
        <w:rPr>
          <w:sz w:val="20"/>
          <w:szCs w:val="20"/>
        </w:rPr>
      </w:pPr>
      <w:bookmarkStart w:id="34" w:name="ref13"/>
      <w:r w:rsidRPr="00851CA7">
        <w:rPr>
          <w:b/>
          <w:bCs/>
          <w:color w:val="000000"/>
          <w:sz w:val="20"/>
          <w:szCs w:val="20"/>
        </w:rPr>
        <w:t>13.</w:t>
      </w:r>
      <w:bookmarkEnd w:id="34"/>
      <w:r w:rsidRPr="00851CA7">
        <w:rPr>
          <w:color w:val="000000"/>
          <w:sz w:val="20"/>
          <w:szCs w:val="20"/>
        </w:rPr>
        <w:tab/>
        <w:t xml:space="preserve">Palmer L, Briggs C, McFadden S, Zini G, </w:t>
      </w:r>
      <w:proofErr w:type="spellStart"/>
      <w:r w:rsidRPr="00851CA7">
        <w:rPr>
          <w:color w:val="000000"/>
          <w:sz w:val="20"/>
          <w:szCs w:val="20"/>
        </w:rPr>
        <w:t>Burthem</w:t>
      </w:r>
      <w:proofErr w:type="spellEnd"/>
      <w:r w:rsidRPr="00851CA7">
        <w:rPr>
          <w:color w:val="000000"/>
          <w:sz w:val="20"/>
          <w:szCs w:val="20"/>
        </w:rPr>
        <w:t xml:space="preserve"> J, Rozenberg G, et al. ICSH recommendations for the standardization of nomenclature and grading of peripheral blood cell morphological features. Int J Lab </w:t>
      </w:r>
      <w:proofErr w:type="spellStart"/>
      <w:r w:rsidRPr="00851CA7">
        <w:rPr>
          <w:color w:val="000000"/>
          <w:sz w:val="20"/>
          <w:szCs w:val="20"/>
        </w:rPr>
        <w:t>Hematol</w:t>
      </w:r>
      <w:proofErr w:type="spellEnd"/>
      <w:r w:rsidRPr="00851CA7">
        <w:rPr>
          <w:color w:val="000000"/>
          <w:sz w:val="20"/>
          <w:szCs w:val="20"/>
        </w:rPr>
        <w:t>. 2015;37(3):287-303. doi:</w:t>
      </w:r>
      <w:hyperlink r:id="rId10" w:history="1">
        <w:r w:rsidRPr="00851CA7">
          <w:rPr>
            <w:color w:val="1F4E79"/>
            <w:sz w:val="20"/>
            <w:szCs w:val="20"/>
            <w:u w:val="single"/>
          </w:rPr>
          <w:t>10.1111/ijlh.12327</w:t>
        </w:r>
      </w:hyperlink>
      <w:r w:rsidRPr="00851CA7">
        <w:rPr>
          <w:color w:val="000000"/>
          <w:sz w:val="20"/>
          <w:szCs w:val="20"/>
        </w:rPr>
        <w:t xml:space="preserve"> </w:t>
      </w:r>
      <w:hyperlink w:anchor="cite13" w:history="1">
        <w:r w:rsidRPr="00851CA7">
          <w:rPr>
            <w:rFonts w:eastAsia="Arial"/>
            <w:color w:val="1F4E79"/>
            <w:sz w:val="20"/>
            <w:szCs w:val="20"/>
          </w:rPr>
          <w:t>↑</w:t>
        </w:r>
      </w:hyperlink>
    </w:p>
    <w:p w14:paraId="07428E70" w14:textId="19A94F7D" w:rsidR="00A86074" w:rsidRPr="00851CA7" w:rsidRDefault="00370030" w:rsidP="00851CA7">
      <w:pPr>
        <w:tabs>
          <w:tab w:val="left" w:pos="400"/>
        </w:tabs>
        <w:spacing w:line="360" w:lineRule="auto"/>
        <w:ind w:left="400" w:hanging="400"/>
        <w:rPr>
          <w:sz w:val="20"/>
          <w:szCs w:val="20"/>
        </w:rPr>
      </w:pPr>
      <w:bookmarkStart w:id="35" w:name="ref14"/>
      <w:r w:rsidRPr="00851CA7">
        <w:rPr>
          <w:b/>
          <w:bCs/>
          <w:color w:val="000000"/>
          <w:sz w:val="20"/>
          <w:szCs w:val="20"/>
        </w:rPr>
        <w:t>14.</w:t>
      </w:r>
      <w:bookmarkEnd w:id="35"/>
      <w:r w:rsidRPr="00851CA7">
        <w:rPr>
          <w:color w:val="000000"/>
          <w:sz w:val="20"/>
          <w:szCs w:val="20"/>
        </w:rPr>
        <w:tab/>
        <w:t xml:space="preserve">Cohen J. A coefficient of agreement for nominal scales. </w:t>
      </w:r>
      <w:proofErr w:type="spellStart"/>
      <w:r w:rsidRPr="00851CA7">
        <w:rPr>
          <w:color w:val="000000"/>
          <w:sz w:val="20"/>
          <w:szCs w:val="20"/>
        </w:rPr>
        <w:t>Educ</w:t>
      </w:r>
      <w:proofErr w:type="spellEnd"/>
      <w:r w:rsidRPr="00851CA7">
        <w:rPr>
          <w:color w:val="000000"/>
          <w:sz w:val="20"/>
          <w:szCs w:val="20"/>
        </w:rPr>
        <w:t xml:space="preserve"> </w:t>
      </w:r>
      <w:proofErr w:type="spellStart"/>
      <w:r w:rsidRPr="00851CA7">
        <w:rPr>
          <w:color w:val="000000"/>
          <w:sz w:val="20"/>
          <w:szCs w:val="20"/>
        </w:rPr>
        <w:t>Psychol</w:t>
      </w:r>
      <w:proofErr w:type="spellEnd"/>
      <w:r w:rsidRPr="00851CA7">
        <w:rPr>
          <w:color w:val="000000"/>
          <w:sz w:val="20"/>
          <w:szCs w:val="20"/>
        </w:rPr>
        <w:t xml:space="preserve"> Meas. 1960;20(1):37-46. </w:t>
      </w:r>
    </w:p>
    <w:p w14:paraId="1F5F1217" w14:textId="2D8670FC" w:rsidR="00A86074" w:rsidRPr="00851CA7" w:rsidRDefault="00370030" w:rsidP="00851CA7">
      <w:pPr>
        <w:tabs>
          <w:tab w:val="left" w:pos="400"/>
        </w:tabs>
        <w:spacing w:line="360" w:lineRule="auto"/>
        <w:ind w:left="400" w:hanging="400"/>
        <w:rPr>
          <w:sz w:val="20"/>
          <w:szCs w:val="20"/>
        </w:rPr>
      </w:pPr>
      <w:bookmarkStart w:id="36" w:name="ref15"/>
      <w:r w:rsidRPr="00851CA7">
        <w:rPr>
          <w:b/>
          <w:bCs/>
          <w:color w:val="000000"/>
          <w:sz w:val="20"/>
          <w:szCs w:val="20"/>
        </w:rPr>
        <w:t>15.</w:t>
      </w:r>
      <w:bookmarkEnd w:id="36"/>
      <w:r w:rsidRPr="00851CA7">
        <w:rPr>
          <w:color w:val="000000"/>
          <w:sz w:val="20"/>
          <w:szCs w:val="20"/>
        </w:rPr>
        <w:tab/>
        <w:t xml:space="preserve">Landis JR, Koch GG. The measurement of observer agreement for categorical data. Biometrics. 1977;33(1):159-74. </w:t>
      </w:r>
    </w:p>
    <w:p w14:paraId="1D45C710" w14:textId="4DCF874D" w:rsidR="00A86074" w:rsidRPr="00851CA7" w:rsidRDefault="00370030" w:rsidP="00851CA7">
      <w:pPr>
        <w:tabs>
          <w:tab w:val="left" w:pos="400"/>
        </w:tabs>
        <w:spacing w:line="360" w:lineRule="auto"/>
        <w:ind w:left="400" w:hanging="400"/>
        <w:rPr>
          <w:sz w:val="20"/>
          <w:szCs w:val="20"/>
        </w:rPr>
      </w:pPr>
      <w:bookmarkStart w:id="37" w:name="ref16"/>
      <w:r w:rsidRPr="00851CA7">
        <w:rPr>
          <w:b/>
          <w:bCs/>
          <w:color w:val="000000"/>
          <w:sz w:val="20"/>
          <w:szCs w:val="20"/>
        </w:rPr>
        <w:t>16.</w:t>
      </w:r>
      <w:bookmarkEnd w:id="37"/>
      <w:r w:rsidRPr="00851CA7">
        <w:rPr>
          <w:color w:val="000000"/>
          <w:sz w:val="20"/>
          <w:szCs w:val="20"/>
        </w:rPr>
        <w:tab/>
        <w:t xml:space="preserve">Lippi G, </w:t>
      </w:r>
      <w:proofErr w:type="spellStart"/>
      <w:r w:rsidRPr="00851CA7">
        <w:rPr>
          <w:color w:val="000000"/>
          <w:sz w:val="20"/>
          <w:szCs w:val="20"/>
        </w:rPr>
        <w:t>Plebani</w:t>
      </w:r>
      <w:proofErr w:type="spellEnd"/>
      <w:r w:rsidRPr="00851CA7">
        <w:rPr>
          <w:color w:val="000000"/>
          <w:sz w:val="20"/>
          <w:szCs w:val="20"/>
        </w:rPr>
        <w:t xml:space="preserve"> M. Red blood cell distribution width (RDW) and human pathology. One size </w:t>
      </w:r>
      <w:proofErr w:type="gramStart"/>
      <w:r w:rsidRPr="00851CA7">
        <w:rPr>
          <w:color w:val="000000"/>
          <w:sz w:val="20"/>
          <w:szCs w:val="20"/>
        </w:rPr>
        <w:t>fits</w:t>
      </w:r>
      <w:proofErr w:type="gramEnd"/>
      <w:r w:rsidRPr="00851CA7">
        <w:rPr>
          <w:color w:val="000000"/>
          <w:sz w:val="20"/>
          <w:szCs w:val="20"/>
        </w:rPr>
        <w:t xml:space="preserve"> all. Clin Chem Lab Med. 2014;52(9):1247-9. </w:t>
      </w:r>
    </w:p>
    <w:p w14:paraId="18F267F6" w14:textId="4F60C0C1" w:rsidR="00A86074" w:rsidRPr="00851CA7" w:rsidRDefault="00370030" w:rsidP="00851CA7">
      <w:pPr>
        <w:tabs>
          <w:tab w:val="left" w:pos="400"/>
        </w:tabs>
        <w:spacing w:line="360" w:lineRule="auto"/>
        <w:ind w:left="400" w:hanging="400"/>
        <w:rPr>
          <w:sz w:val="20"/>
          <w:szCs w:val="20"/>
        </w:rPr>
      </w:pPr>
      <w:bookmarkStart w:id="38" w:name="ref17"/>
      <w:r w:rsidRPr="00851CA7">
        <w:rPr>
          <w:b/>
          <w:bCs/>
          <w:color w:val="000000"/>
          <w:sz w:val="20"/>
          <w:szCs w:val="20"/>
        </w:rPr>
        <w:t>17.</w:t>
      </w:r>
      <w:bookmarkEnd w:id="38"/>
      <w:r w:rsidRPr="00851CA7">
        <w:rPr>
          <w:color w:val="000000"/>
          <w:sz w:val="20"/>
          <w:szCs w:val="20"/>
        </w:rPr>
        <w:tab/>
        <w:t xml:space="preserve">Mentzer WC Jr. Differentiation of iron deficiency from thalassaemia trait. Lancet. 1973;1(7808):882. </w:t>
      </w:r>
    </w:p>
    <w:sectPr w:rsidR="00A86074" w:rsidRPr="00851CA7" w:rsidSect="00851CA7">
      <w:headerReference w:type="default" r:id="rId11"/>
      <w:footerReference w:type="default" r:id="rId12"/>
      <w:pgSz w:w="11906" w:h="16838"/>
      <w:pgMar w:top="1134" w:right="1247" w:bottom="1134" w:left="1247" w:header="432" w:footer="432" w:gutter="0"/>
      <w:pgNumType w:start="44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8666B" w14:textId="77777777" w:rsidR="00D6681E" w:rsidRDefault="00D6681E">
      <w:r>
        <w:separator/>
      </w:r>
    </w:p>
  </w:endnote>
  <w:endnote w:type="continuationSeparator" w:id="0">
    <w:p w14:paraId="5FC512CC" w14:textId="77777777" w:rsidR="00D6681E" w:rsidRDefault="00D668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altName w:val="Arial"/>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2299357"/>
      <w:docPartObj>
        <w:docPartGallery w:val="Page Numbers (Bottom of Page)"/>
        <w:docPartUnique/>
      </w:docPartObj>
    </w:sdtPr>
    <w:sdtEndPr>
      <w:rPr>
        <w:noProof/>
      </w:rPr>
    </w:sdtEndPr>
    <w:sdtContent>
      <w:p w14:paraId="52047969" w14:textId="1831B2FC" w:rsidR="00851CA7" w:rsidRDefault="00851CA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9748E4C" w14:textId="77777777" w:rsidR="00851CA7" w:rsidRPr="00EE461B" w:rsidRDefault="00851CA7" w:rsidP="00851CA7">
    <w:pPr>
      <w:pStyle w:val="Footer"/>
    </w:pPr>
    <w:r w:rsidRPr="00EE461B">
      <w:t>www.ijbamr.com   P ISSN: 2250-284X, E ISSN: 2250-2858</w:t>
    </w:r>
  </w:p>
  <w:p w14:paraId="0A9511D5" w14:textId="77777777" w:rsidR="00A86074" w:rsidRDefault="00A86074">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9B315" w14:textId="77777777" w:rsidR="00D6681E" w:rsidRDefault="00D6681E">
      <w:r>
        <w:separator/>
      </w:r>
    </w:p>
  </w:footnote>
  <w:footnote w:type="continuationSeparator" w:id="0">
    <w:p w14:paraId="34161D69" w14:textId="77777777" w:rsidR="00D6681E" w:rsidRDefault="00D668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F24D8" w14:textId="0FABD17F" w:rsidR="00851CA7" w:rsidRPr="00851CA7" w:rsidRDefault="00851CA7" w:rsidP="00851CA7">
    <w:pPr>
      <w:widowControl w:val="0"/>
      <w:tabs>
        <w:tab w:val="left" w:pos="496"/>
        <w:tab w:val="center" w:pos="4513"/>
        <w:tab w:val="right" w:pos="9026"/>
      </w:tabs>
      <w:autoSpaceDE w:val="0"/>
      <w:autoSpaceDN w:val="0"/>
      <w:spacing w:line="276" w:lineRule="auto"/>
      <w:ind w:left="57" w:right="-567"/>
      <w:rPr>
        <w:rFonts w:eastAsia="Cambria"/>
        <w:sz w:val="20"/>
        <w:szCs w:val="22"/>
        <w:lang w:val="en-US" w:eastAsia="en-US"/>
      </w:rPr>
    </w:pPr>
    <w:r w:rsidRPr="00851CA7">
      <w:rPr>
        <w:rFonts w:eastAsia="Cambria"/>
        <w:sz w:val="20"/>
        <w:szCs w:val="22"/>
        <w:lang w:val="en-US" w:eastAsia="en-US"/>
      </w:rPr>
      <w:t xml:space="preserve">Indian Journal of Basic and Applied Medical Research; June 2020: Vol.-9, Issue- </w:t>
    </w:r>
    <w:proofErr w:type="gramStart"/>
    <w:r w:rsidRPr="00851CA7">
      <w:rPr>
        <w:rFonts w:eastAsia="Cambria"/>
        <w:sz w:val="20"/>
        <w:szCs w:val="22"/>
        <w:lang w:val="en-US" w:eastAsia="en-US"/>
      </w:rPr>
      <w:t>3,  P.</w:t>
    </w:r>
    <w:proofErr w:type="gramEnd"/>
    <w:r w:rsidRPr="00851CA7">
      <w:rPr>
        <w:rFonts w:eastAsia="Cambria"/>
        <w:sz w:val="20"/>
        <w:szCs w:val="22"/>
        <w:lang w:val="en-US" w:eastAsia="en-US"/>
      </w:rPr>
      <w:t xml:space="preserve"> </w:t>
    </w:r>
    <w:r>
      <w:rPr>
        <w:rFonts w:eastAsia="Cambria"/>
        <w:sz w:val="20"/>
        <w:szCs w:val="22"/>
        <w:lang w:val="en-US" w:eastAsia="en-US"/>
      </w:rPr>
      <w:t>440-445</w:t>
    </w:r>
  </w:p>
  <w:p w14:paraId="30E55EBE" w14:textId="61E717CE" w:rsidR="00851CA7" w:rsidRPr="00851CA7" w:rsidRDefault="00851CA7" w:rsidP="00851CA7">
    <w:pPr>
      <w:widowControl w:val="0"/>
      <w:tabs>
        <w:tab w:val="left" w:pos="496"/>
        <w:tab w:val="center" w:pos="4513"/>
        <w:tab w:val="right" w:pos="9026"/>
      </w:tabs>
      <w:autoSpaceDE w:val="0"/>
      <w:autoSpaceDN w:val="0"/>
      <w:spacing w:line="276" w:lineRule="auto"/>
      <w:ind w:left="57" w:right="-567"/>
      <w:rPr>
        <w:rFonts w:eastAsia="Cambria"/>
        <w:sz w:val="20"/>
        <w:szCs w:val="22"/>
        <w:lang w:val="en-US" w:eastAsia="en-US"/>
      </w:rPr>
    </w:pPr>
    <w:r w:rsidRPr="00851CA7">
      <w:rPr>
        <w:rFonts w:ascii="Cambria" w:hAnsi="Cambria" w:cs="Calibri Light"/>
        <w:bCs/>
        <w:sz w:val="18"/>
        <w:szCs w:val="18"/>
        <w:shd w:val="clear" w:color="auto" w:fill="FFFFFF"/>
        <w:lang w:val="en-US" w:eastAsia="en-US"/>
      </w:rPr>
      <w:t>DOI: 10.36848/IJBAMR/2020/00025.52</w:t>
    </w:r>
    <w:r>
      <w:rPr>
        <w:rFonts w:ascii="Cambria" w:hAnsi="Cambria" w:cs="Calibri Light"/>
        <w:bCs/>
        <w:sz w:val="18"/>
        <w:szCs w:val="18"/>
        <w:shd w:val="clear" w:color="auto" w:fill="FFFFFF"/>
        <w:lang w:val="en-US" w:eastAsia="en-US"/>
      </w:rPr>
      <w:t>44</w:t>
    </w:r>
  </w:p>
  <w:p w14:paraId="599ECDB8" w14:textId="77777777" w:rsidR="00A86074" w:rsidRPr="0078537B" w:rsidRDefault="00A86074">
    <w:pPr>
      <w:pBdr>
        <w:bottom w:val="single" w:sz="4" w:space="3" w:color="BFBFBF"/>
      </w:pBdr>
      <w:tabs>
        <w:tab w:val="right" w:pos="9412"/>
      </w:tabs>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633C6"/>
    <w:multiLevelType w:val="hybridMultilevel"/>
    <w:tmpl w:val="FE521DF2"/>
    <w:lvl w:ilvl="0" w:tplc="3AB49B08">
      <w:start w:val="1"/>
      <w:numFmt w:val="bullet"/>
      <w:lvlText w:val="●"/>
      <w:lvlJc w:val="left"/>
      <w:pPr>
        <w:ind w:left="720" w:hanging="360"/>
      </w:pPr>
    </w:lvl>
    <w:lvl w:ilvl="1" w:tplc="EE026384">
      <w:start w:val="1"/>
      <w:numFmt w:val="bullet"/>
      <w:lvlText w:val="○"/>
      <w:lvlJc w:val="left"/>
      <w:pPr>
        <w:ind w:left="1440" w:hanging="360"/>
      </w:pPr>
    </w:lvl>
    <w:lvl w:ilvl="2" w:tplc="38D0CE7E">
      <w:start w:val="1"/>
      <w:numFmt w:val="bullet"/>
      <w:lvlText w:val="■"/>
      <w:lvlJc w:val="left"/>
      <w:pPr>
        <w:ind w:left="2160" w:hanging="360"/>
      </w:pPr>
    </w:lvl>
    <w:lvl w:ilvl="3" w:tplc="4142D294">
      <w:start w:val="1"/>
      <w:numFmt w:val="bullet"/>
      <w:lvlText w:val="●"/>
      <w:lvlJc w:val="left"/>
      <w:pPr>
        <w:ind w:left="2880" w:hanging="360"/>
      </w:pPr>
    </w:lvl>
    <w:lvl w:ilvl="4" w:tplc="2FFC5DC0">
      <w:start w:val="1"/>
      <w:numFmt w:val="bullet"/>
      <w:lvlText w:val="○"/>
      <w:lvlJc w:val="left"/>
      <w:pPr>
        <w:ind w:left="3600" w:hanging="360"/>
      </w:pPr>
    </w:lvl>
    <w:lvl w:ilvl="5" w:tplc="2B6054AE">
      <w:start w:val="1"/>
      <w:numFmt w:val="bullet"/>
      <w:lvlText w:val="■"/>
      <w:lvlJc w:val="left"/>
      <w:pPr>
        <w:ind w:left="4320" w:hanging="360"/>
      </w:pPr>
    </w:lvl>
    <w:lvl w:ilvl="6" w:tplc="F22C4626">
      <w:start w:val="1"/>
      <w:numFmt w:val="bullet"/>
      <w:lvlText w:val="●"/>
      <w:lvlJc w:val="left"/>
      <w:pPr>
        <w:ind w:left="5040" w:hanging="360"/>
      </w:pPr>
    </w:lvl>
    <w:lvl w:ilvl="7" w:tplc="89644A58">
      <w:start w:val="1"/>
      <w:numFmt w:val="bullet"/>
      <w:lvlText w:val="●"/>
      <w:lvlJc w:val="left"/>
      <w:pPr>
        <w:ind w:left="5760" w:hanging="360"/>
      </w:pPr>
    </w:lvl>
    <w:lvl w:ilvl="8" w:tplc="7CE284D0">
      <w:start w:val="1"/>
      <w:numFmt w:val="bullet"/>
      <w:lvlText w:val="●"/>
      <w:lvlJc w:val="left"/>
      <w:pPr>
        <w:ind w:left="6480" w:hanging="360"/>
      </w:pPr>
    </w:lvl>
  </w:abstractNum>
  <w:num w:numId="1" w16cid:durableId="149483812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86074"/>
    <w:rsid w:val="00370030"/>
    <w:rsid w:val="003872F6"/>
    <w:rsid w:val="006D2A59"/>
    <w:rsid w:val="00725B55"/>
    <w:rsid w:val="0078537B"/>
    <w:rsid w:val="007E440E"/>
    <w:rsid w:val="00820934"/>
    <w:rsid w:val="00851CA7"/>
    <w:rsid w:val="008626BE"/>
    <w:rsid w:val="00973F8C"/>
    <w:rsid w:val="00A86074"/>
    <w:rsid w:val="00D1463F"/>
    <w:rsid w:val="00D6681E"/>
    <w:rsid w:val="00E825B5"/>
    <w:rsid w:val="00F53C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2D555"/>
  <w15:docId w15:val="{4567C1FF-BB4A-46D1-BDF9-E9364A0C7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1"/>
        <w:szCs w:val="21"/>
        <w:lang w:val="en-IN"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B55"/>
  </w:style>
  <w:style w:type="paragraph" w:styleId="Heading1">
    <w:name w:val="heading 1"/>
    <w:uiPriority w:val="9"/>
    <w:qFormat/>
    <w:rsid w:val="00725B55"/>
    <w:pPr>
      <w:outlineLvl w:val="0"/>
    </w:pPr>
    <w:rPr>
      <w:color w:val="000000"/>
      <w:sz w:val="32"/>
      <w:szCs w:val="32"/>
    </w:rPr>
  </w:style>
  <w:style w:type="paragraph" w:styleId="Heading2">
    <w:name w:val="heading 2"/>
    <w:uiPriority w:val="9"/>
    <w:semiHidden/>
    <w:unhideWhenUsed/>
    <w:qFormat/>
    <w:rsid w:val="00725B55"/>
    <w:pPr>
      <w:outlineLvl w:val="1"/>
    </w:pPr>
    <w:rPr>
      <w:color w:val="000000"/>
      <w:sz w:val="26"/>
      <w:szCs w:val="26"/>
    </w:rPr>
  </w:style>
  <w:style w:type="paragraph" w:styleId="Heading3">
    <w:name w:val="heading 3"/>
    <w:uiPriority w:val="9"/>
    <w:semiHidden/>
    <w:unhideWhenUsed/>
    <w:qFormat/>
    <w:rsid w:val="00725B55"/>
    <w:pPr>
      <w:outlineLvl w:val="2"/>
    </w:pPr>
    <w:rPr>
      <w:color w:val="000000"/>
      <w:sz w:val="24"/>
      <w:szCs w:val="24"/>
    </w:rPr>
  </w:style>
  <w:style w:type="paragraph" w:styleId="Heading4">
    <w:name w:val="heading 4"/>
    <w:uiPriority w:val="9"/>
    <w:semiHidden/>
    <w:unhideWhenUsed/>
    <w:qFormat/>
    <w:rsid w:val="00725B55"/>
    <w:pPr>
      <w:outlineLvl w:val="3"/>
    </w:pPr>
    <w:rPr>
      <w:i/>
      <w:iCs/>
      <w:color w:val="000000"/>
    </w:rPr>
  </w:style>
  <w:style w:type="paragraph" w:styleId="Heading5">
    <w:name w:val="heading 5"/>
    <w:uiPriority w:val="9"/>
    <w:semiHidden/>
    <w:unhideWhenUsed/>
    <w:qFormat/>
    <w:rsid w:val="00725B55"/>
    <w:pPr>
      <w:outlineLvl w:val="4"/>
    </w:pPr>
    <w:rPr>
      <w:color w:val="000000"/>
    </w:rPr>
  </w:style>
  <w:style w:type="paragraph" w:styleId="Heading6">
    <w:name w:val="heading 6"/>
    <w:uiPriority w:val="9"/>
    <w:semiHidden/>
    <w:unhideWhenUsed/>
    <w:qFormat/>
    <w:rsid w:val="00725B55"/>
    <w:pPr>
      <w:outlineLvl w:val="5"/>
    </w:pPr>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sid w:val="00725B55"/>
    <w:rPr>
      <w:color w:val="000000"/>
      <w:sz w:val="56"/>
      <w:szCs w:val="56"/>
    </w:rPr>
  </w:style>
  <w:style w:type="paragraph" w:customStyle="1" w:styleId="Strong1">
    <w:name w:val="Strong1"/>
    <w:qFormat/>
    <w:rsid w:val="00725B55"/>
    <w:rPr>
      <w:b/>
      <w:bCs/>
      <w:color w:val="000000"/>
    </w:rPr>
  </w:style>
  <w:style w:type="paragraph" w:styleId="ListParagraph">
    <w:name w:val="List Paragraph"/>
    <w:qFormat/>
    <w:rsid w:val="00725B55"/>
    <w:rPr>
      <w:color w:val="000000"/>
    </w:rPr>
  </w:style>
  <w:style w:type="character" w:styleId="Hyperlink">
    <w:name w:val="Hyperlink"/>
    <w:uiPriority w:val="99"/>
    <w:unhideWhenUsed/>
    <w:rsid w:val="00725B55"/>
    <w:rPr>
      <w:color w:val="0563C1"/>
      <w:u w:val="single"/>
    </w:rPr>
  </w:style>
  <w:style w:type="character" w:styleId="FootnoteReference">
    <w:name w:val="footnote reference"/>
    <w:uiPriority w:val="99"/>
    <w:semiHidden/>
    <w:unhideWhenUsed/>
    <w:rsid w:val="00725B55"/>
    <w:rPr>
      <w:vertAlign w:val="superscript"/>
    </w:rPr>
  </w:style>
  <w:style w:type="paragraph" w:styleId="FootnoteText">
    <w:name w:val="footnote text"/>
    <w:link w:val="FootnoteTextChar"/>
    <w:uiPriority w:val="99"/>
    <w:semiHidden/>
    <w:unhideWhenUsed/>
    <w:rsid w:val="00725B55"/>
    <w:rPr>
      <w:color w:val="000000"/>
      <w:sz w:val="20"/>
      <w:szCs w:val="20"/>
    </w:rPr>
  </w:style>
  <w:style w:type="character" w:customStyle="1" w:styleId="FootnoteTextChar">
    <w:name w:val="Footnote Text Char"/>
    <w:link w:val="FootnoteText"/>
    <w:uiPriority w:val="99"/>
    <w:semiHidden/>
    <w:unhideWhenUsed/>
    <w:rsid w:val="00725B55"/>
    <w:rPr>
      <w:sz w:val="20"/>
      <w:szCs w:val="20"/>
    </w:rPr>
  </w:style>
  <w:style w:type="character" w:styleId="EndnoteReference">
    <w:name w:val="endnote reference"/>
    <w:uiPriority w:val="99"/>
    <w:semiHidden/>
    <w:unhideWhenUsed/>
    <w:rsid w:val="00725B55"/>
    <w:rPr>
      <w:vertAlign w:val="superscript"/>
    </w:rPr>
  </w:style>
  <w:style w:type="paragraph" w:styleId="EndnoteText">
    <w:name w:val="endnote text"/>
    <w:link w:val="EndnoteTextChar"/>
    <w:uiPriority w:val="99"/>
    <w:semiHidden/>
    <w:unhideWhenUsed/>
    <w:rsid w:val="00725B55"/>
    <w:rPr>
      <w:color w:val="000000"/>
      <w:sz w:val="20"/>
      <w:szCs w:val="20"/>
    </w:rPr>
  </w:style>
  <w:style w:type="character" w:customStyle="1" w:styleId="EndnoteTextChar">
    <w:name w:val="Endnote Text Char"/>
    <w:link w:val="EndnoteText"/>
    <w:uiPriority w:val="99"/>
    <w:semiHidden/>
    <w:unhideWhenUsed/>
    <w:rsid w:val="00725B55"/>
    <w:rPr>
      <w:sz w:val="20"/>
      <w:szCs w:val="20"/>
    </w:rPr>
  </w:style>
  <w:style w:type="paragraph" w:styleId="Header">
    <w:name w:val="header"/>
    <w:basedOn w:val="Normal"/>
    <w:link w:val="HeaderChar"/>
    <w:uiPriority w:val="99"/>
    <w:unhideWhenUsed/>
    <w:rsid w:val="0078537B"/>
    <w:pPr>
      <w:tabs>
        <w:tab w:val="center" w:pos="4513"/>
        <w:tab w:val="right" w:pos="9026"/>
      </w:tabs>
    </w:pPr>
  </w:style>
  <w:style w:type="character" w:customStyle="1" w:styleId="HeaderChar">
    <w:name w:val="Header Char"/>
    <w:basedOn w:val="DefaultParagraphFont"/>
    <w:link w:val="Header"/>
    <w:uiPriority w:val="99"/>
    <w:rsid w:val="0078537B"/>
  </w:style>
  <w:style w:type="paragraph" w:styleId="Footer">
    <w:name w:val="footer"/>
    <w:basedOn w:val="Normal"/>
    <w:link w:val="FooterChar"/>
    <w:uiPriority w:val="99"/>
    <w:unhideWhenUsed/>
    <w:rsid w:val="0078537B"/>
    <w:pPr>
      <w:tabs>
        <w:tab w:val="center" w:pos="4513"/>
        <w:tab w:val="right" w:pos="9026"/>
      </w:tabs>
    </w:pPr>
  </w:style>
  <w:style w:type="character" w:customStyle="1" w:styleId="FooterChar">
    <w:name w:val="Footer Char"/>
    <w:basedOn w:val="DefaultParagraphFont"/>
    <w:link w:val="Footer"/>
    <w:uiPriority w:val="99"/>
    <w:rsid w:val="0078537B"/>
  </w:style>
  <w:style w:type="paragraph" w:styleId="BalloonText">
    <w:name w:val="Balloon Text"/>
    <w:basedOn w:val="Normal"/>
    <w:link w:val="BalloonTextChar"/>
    <w:uiPriority w:val="99"/>
    <w:semiHidden/>
    <w:unhideWhenUsed/>
    <w:rsid w:val="00D1463F"/>
    <w:rPr>
      <w:rFonts w:ascii="Tahoma" w:hAnsi="Tahoma" w:cs="Tahoma"/>
      <w:sz w:val="16"/>
      <w:szCs w:val="16"/>
    </w:rPr>
  </w:style>
  <w:style w:type="character" w:customStyle="1" w:styleId="BalloonTextChar">
    <w:name w:val="Balloon Text Char"/>
    <w:basedOn w:val="DefaultParagraphFont"/>
    <w:link w:val="BalloonText"/>
    <w:uiPriority w:val="99"/>
    <w:semiHidden/>
    <w:rsid w:val="00D1463F"/>
    <w:rPr>
      <w:rFonts w:ascii="Tahoma" w:hAnsi="Tahoma" w:cs="Tahoma"/>
      <w:sz w:val="16"/>
      <w:szCs w:val="16"/>
    </w:rPr>
  </w:style>
  <w:style w:type="table" w:styleId="TableGrid">
    <w:name w:val="Table Grid"/>
    <w:basedOn w:val="TableNormal"/>
    <w:uiPriority w:val="39"/>
    <w:rsid w:val="00851C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doi.org/10.1111/ijlh.12327" TargetMode="External"/><Relationship Id="rId4" Type="http://schemas.openxmlformats.org/officeDocument/2006/relationships/webSettings" Target="webSettings.xml"/><Relationship Id="rId9" Type="http://schemas.openxmlformats.org/officeDocument/2006/relationships/hyperlink" Target="https://doi.org/10.1056/NEJMra1401038"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2734</Words>
  <Characters>15586</Characters>
  <Application>Microsoft Office Word</Application>
  <DocSecurity>0</DocSecurity>
  <Lines>129</Lines>
  <Paragraphs>36</Paragraphs>
  <ScaleCrop>false</ScaleCrop>
  <Company/>
  <LinksUpToDate>false</LinksUpToDate>
  <CharactersWithSpaces>18284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 Between Automated Red Cell Indices and Peripheral Blood Smear Morphology in the Classification of Anaemia in Adults</dc:title>
  <dc:creator>[Authors]</dc:creator>
  <dc:description>Illustrative manuscript with simulated data</dc:description>
  <cp:lastModifiedBy>hp</cp:lastModifiedBy>
  <cp:revision>4</cp:revision>
  <cp:lastPrinted>2026-10-27T11:17:00Z</cp:lastPrinted>
  <dcterms:created xsi:type="dcterms:W3CDTF">2026-10-21T08:59:00Z</dcterms:created>
  <dcterms:modified xsi:type="dcterms:W3CDTF">2026-10-27T11:18:00Z</dcterms:modified>
</cp:coreProperties>
</file>