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EFF" w:rsidRPr="00C80EFF" w:rsidRDefault="00C80EFF" w:rsidP="00C80EFF">
      <w:pPr>
        <w:spacing w:line="360" w:lineRule="auto"/>
        <w:rPr>
          <w:rFonts w:asciiTheme="majorHAnsi" w:hAnsiTheme="majorHAnsi"/>
          <w:b/>
          <w:bCs/>
          <w:color w:val="000000"/>
          <w:sz w:val="24"/>
          <w:szCs w:val="24"/>
        </w:rPr>
      </w:pPr>
      <w:r w:rsidRPr="00C80EFF">
        <w:rPr>
          <w:rFonts w:asciiTheme="majorHAnsi" w:hAnsiTheme="majorHAnsi"/>
          <w:b/>
          <w:bCs/>
          <w:color w:val="000000"/>
          <w:sz w:val="24"/>
          <w:szCs w:val="24"/>
          <w:highlight w:val="lightGray"/>
        </w:rPr>
        <w:t>Original article</w:t>
      </w:r>
      <w:r w:rsidRPr="00C80EFF">
        <w:rPr>
          <w:rFonts w:asciiTheme="majorHAnsi" w:hAnsiTheme="majorHAnsi"/>
          <w:b/>
          <w:bCs/>
          <w:color w:val="000000"/>
          <w:sz w:val="24"/>
          <w:szCs w:val="24"/>
        </w:rPr>
        <w:t xml:space="preserve"> </w:t>
      </w:r>
    </w:p>
    <w:p w:rsidR="00C80EFF" w:rsidRPr="00C80EFF" w:rsidRDefault="00C80EFF" w:rsidP="00C80EFF">
      <w:pPr>
        <w:spacing w:line="360" w:lineRule="auto"/>
        <w:rPr>
          <w:rFonts w:asciiTheme="majorHAnsi" w:hAnsiTheme="majorHAnsi"/>
          <w:b/>
          <w:bCs/>
          <w:color w:val="0070C0"/>
          <w:sz w:val="28"/>
          <w:szCs w:val="28"/>
        </w:rPr>
      </w:pPr>
      <w:r w:rsidRPr="00C80EFF">
        <w:rPr>
          <w:rFonts w:asciiTheme="majorHAnsi" w:hAnsiTheme="majorHAnsi"/>
          <w:b/>
          <w:bCs/>
          <w:color w:val="0070C0"/>
          <w:sz w:val="28"/>
          <w:szCs w:val="28"/>
        </w:rPr>
        <w:t>Clinical Profile and Outcome of Acute Kidney Injury in Patients Admitted to a Tertiary Care Hospital: A Cross-Sectional Study</w:t>
      </w:r>
    </w:p>
    <w:p w:rsidR="00871CBA" w:rsidRDefault="00C80EFF" w:rsidP="00C80EFF">
      <w:pPr>
        <w:spacing w:line="360" w:lineRule="auto"/>
        <w:rPr>
          <w:rFonts w:asciiTheme="majorHAnsi" w:hAnsiTheme="majorHAnsi"/>
          <w:b/>
          <w:bCs/>
          <w:color w:val="000000"/>
          <w:vertAlign w:val="superscript"/>
        </w:rPr>
      </w:pPr>
      <w:r>
        <w:rPr>
          <w:rFonts w:asciiTheme="majorHAnsi" w:hAnsiTheme="majorHAnsi"/>
          <w:b/>
          <w:bCs/>
          <w:color w:val="000000"/>
        </w:rPr>
        <w:t>*</w:t>
      </w:r>
      <w:r w:rsidR="00552D27" w:rsidRPr="00C80EFF">
        <w:rPr>
          <w:rFonts w:asciiTheme="majorHAnsi" w:hAnsiTheme="majorHAnsi"/>
          <w:b/>
          <w:bCs/>
          <w:color w:val="000000"/>
          <w:sz w:val="22"/>
          <w:szCs w:val="22"/>
        </w:rPr>
        <w:t>Shilpi Joh</w:t>
      </w:r>
      <w:r w:rsidR="00871CBA" w:rsidRPr="00C80EFF">
        <w:rPr>
          <w:rFonts w:asciiTheme="majorHAnsi" w:hAnsiTheme="majorHAnsi"/>
          <w:b/>
          <w:bCs/>
          <w:color w:val="000000"/>
          <w:sz w:val="22"/>
          <w:szCs w:val="22"/>
        </w:rPr>
        <w:t xml:space="preserve">re </w:t>
      </w:r>
      <w:r w:rsidR="00871CBA" w:rsidRPr="00C80EFF">
        <w:rPr>
          <w:rFonts w:asciiTheme="majorHAnsi" w:hAnsiTheme="majorHAnsi"/>
          <w:b/>
          <w:bCs/>
          <w:color w:val="000000"/>
          <w:sz w:val="22"/>
          <w:szCs w:val="22"/>
          <w:vertAlign w:val="superscript"/>
        </w:rPr>
        <w:t>1</w:t>
      </w:r>
    </w:p>
    <w:p w:rsidR="00C80EFF" w:rsidRPr="00C80EFF" w:rsidRDefault="00C80EFF" w:rsidP="00C80EFF">
      <w:pPr>
        <w:spacing w:line="360" w:lineRule="auto"/>
        <w:rPr>
          <w:rFonts w:asciiTheme="majorHAnsi" w:hAnsiTheme="majorHAnsi"/>
          <w:b/>
          <w:bCs/>
          <w:color w:val="000000"/>
        </w:rPr>
      </w:pPr>
    </w:p>
    <w:p w:rsidR="00871CBA" w:rsidRDefault="00871CBA" w:rsidP="00C80EFF">
      <w:pPr>
        <w:spacing w:line="360" w:lineRule="auto"/>
        <w:rPr>
          <w:rFonts w:asciiTheme="majorHAnsi" w:hAnsiTheme="majorHAnsi"/>
          <w:bCs/>
          <w:color w:val="000000"/>
        </w:rPr>
      </w:pPr>
      <w:r w:rsidRPr="00C80EFF">
        <w:rPr>
          <w:rFonts w:asciiTheme="majorHAnsi" w:hAnsiTheme="majorHAnsi"/>
          <w:bCs/>
          <w:color w:val="000000"/>
          <w:vertAlign w:val="superscript"/>
        </w:rPr>
        <w:t>1</w:t>
      </w:r>
      <w:r w:rsidRPr="00C80EFF">
        <w:rPr>
          <w:rFonts w:asciiTheme="majorHAnsi" w:hAnsiTheme="majorHAnsi"/>
          <w:bCs/>
          <w:color w:val="000000"/>
        </w:rPr>
        <w:t xml:space="preserve">Assistant </w:t>
      </w:r>
      <w:r w:rsidR="00C80EFF" w:rsidRPr="00C80EFF">
        <w:rPr>
          <w:rFonts w:asciiTheme="majorHAnsi" w:hAnsiTheme="majorHAnsi"/>
          <w:bCs/>
          <w:color w:val="000000"/>
        </w:rPr>
        <w:t>Professor, Dept</w:t>
      </w:r>
      <w:r w:rsidRPr="00C80EFF">
        <w:rPr>
          <w:rFonts w:asciiTheme="majorHAnsi" w:hAnsiTheme="majorHAnsi"/>
          <w:bCs/>
          <w:color w:val="000000"/>
        </w:rPr>
        <w:t xml:space="preserve"> of Genral Medine, GSL Medical College, Rajahmundry</w:t>
      </w:r>
    </w:p>
    <w:p w:rsidR="00C80EFF" w:rsidRDefault="00C80EFF" w:rsidP="00C80EFF">
      <w:pPr>
        <w:spacing w:line="360" w:lineRule="auto"/>
        <w:rPr>
          <w:rFonts w:asciiTheme="majorHAnsi" w:hAnsiTheme="majorHAnsi"/>
          <w:bCs/>
          <w:color w:val="000000"/>
        </w:rPr>
      </w:pPr>
      <w:r>
        <w:rPr>
          <w:rFonts w:asciiTheme="majorHAnsi" w:hAnsiTheme="majorHAnsi"/>
          <w:bCs/>
          <w:color w:val="000000"/>
        </w:rPr>
        <w:t>Corresponding author*</w:t>
      </w:r>
    </w:p>
    <w:p w:rsidR="00C80EFF" w:rsidRPr="00C80EFF" w:rsidRDefault="00C80EFF" w:rsidP="00C80EFF">
      <w:pPr>
        <w:spacing w:line="360" w:lineRule="auto"/>
        <w:rPr>
          <w:rFonts w:asciiTheme="majorHAnsi" w:hAnsiTheme="majorHAnsi"/>
          <w:bCs/>
          <w:color w:val="000000"/>
        </w:rPr>
      </w:pPr>
    </w:p>
    <w:p w:rsidR="00016BF1" w:rsidRPr="00C80EFF" w:rsidRDefault="001414BE" w:rsidP="00C80EFF">
      <w:pPr>
        <w:pStyle w:val="Heading1"/>
        <w:spacing w:line="360" w:lineRule="auto"/>
        <w:jc w:val="both"/>
        <w:rPr>
          <w:sz w:val="20"/>
          <w:szCs w:val="20"/>
        </w:rPr>
      </w:pPr>
      <w:r w:rsidRPr="00C80EFF">
        <w:rPr>
          <w:b/>
          <w:bCs/>
          <w:color w:val="000000"/>
          <w:sz w:val="20"/>
          <w:szCs w:val="20"/>
        </w:rPr>
        <w:t>Abstract</w:t>
      </w:r>
    </w:p>
    <w:p w:rsidR="00016BF1" w:rsidRPr="00C80EFF" w:rsidRDefault="001414BE" w:rsidP="00C80EFF">
      <w:pPr>
        <w:spacing w:line="360" w:lineRule="auto"/>
        <w:jc w:val="both"/>
        <w:rPr>
          <w:sz w:val="18"/>
          <w:szCs w:val="18"/>
        </w:rPr>
      </w:pPr>
      <w:r w:rsidRPr="00C80EFF">
        <w:rPr>
          <w:color w:val="000000"/>
          <w:sz w:val="18"/>
          <w:szCs w:val="18"/>
        </w:rPr>
        <w:t>Background: Acute kidney injury (AKI) is a common and serious complication among hospitalised patients, associated with substantial morbidity and mortality. The RIFLE classification, proposed by the Acute Dialysis Quality Initiative, provides a standardised framework for staging AKI severity and predicting outcome.</w:t>
      </w:r>
      <w:r w:rsidRPr="00C80EFF">
        <w:rPr>
          <w:color w:val="000000"/>
          <w:sz w:val="18"/>
          <w:szCs w:val="18"/>
          <w:vertAlign w:val="superscript"/>
        </w:rPr>
        <w:t>1,3</w:t>
      </w:r>
    </w:p>
    <w:p w:rsidR="00016BF1" w:rsidRPr="00C80EFF" w:rsidRDefault="001414BE" w:rsidP="00C80EFF">
      <w:pPr>
        <w:spacing w:line="360" w:lineRule="auto"/>
        <w:jc w:val="both"/>
        <w:rPr>
          <w:sz w:val="18"/>
          <w:szCs w:val="18"/>
        </w:rPr>
      </w:pPr>
      <w:r w:rsidRPr="00C80EFF">
        <w:rPr>
          <w:color w:val="000000"/>
          <w:sz w:val="18"/>
          <w:szCs w:val="18"/>
        </w:rPr>
        <w:t>Objectives: To describe the clinical profile, aetiology, and RIFLE severity distribution of patients with AKI admitted to a tertiary care hospital, and to identify predictors of in-hospital mortality.</w:t>
      </w:r>
    </w:p>
    <w:p w:rsidR="00016BF1" w:rsidRPr="00C80EFF" w:rsidRDefault="001414BE" w:rsidP="00C80EFF">
      <w:pPr>
        <w:spacing w:line="360" w:lineRule="auto"/>
        <w:jc w:val="both"/>
        <w:rPr>
          <w:sz w:val="18"/>
          <w:szCs w:val="18"/>
        </w:rPr>
      </w:pPr>
      <w:r w:rsidRPr="00C80EFF">
        <w:rPr>
          <w:color w:val="000000"/>
          <w:sz w:val="18"/>
          <w:szCs w:val="18"/>
        </w:rPr>
        <w:t>Methods: A cross-sectional study was conducted on 210 patients with AKI, classified according to RIFLE criteria. Aetiology, RIFLE category, and in-hospital outcome were recorded.</w:t>
      </w:r>
    </w:p>
    <w:p w:rsidR="00016BF1" w:rsidRPr="00C80EFF" w:rsidRDefault="001414BE" w:rsidP="00C80EFF">
      <w:pPr>
        <w:spacing w:line="360" w:lineRule="auto"/>
        <w:jc w:val="both"/>
        <w:rPr>
          <w:sz w:val="18"/>
          <w:szCs w:val="18"/>
        </w:rPr>
      </w:pPr>
      <w:r w:rsidRPr="00C80EFF">
        <w:rPr>
          <w:color w:val="000000"/>
          <w:sz w:val="18"/>
          <w:szCs w:val="18"/>
        </w:rPr>
        <w:t>Results: RIFLE-Risk was the most common category (41.9%), followed by Injury (36.2%) and Failure (21.9%). Sepsis (32.4%) was the leading aetiology. In-hospital mortality increased markedly with RIFLE severity, from 9.1% in the Risk category to 45.7% in the Failure category. RIFLE Failure category and need for dialysis were independently associated with mortality.</w:t>
      </w:r>
    </w:p>
    <w:p w:rsidR="00016BF1" w:rsidRPr="00C80EFF" w:rsidRDefault="001414BE" w:rsidP="00C80EFF">
      <w:pPr>
        <w:spacing w:line="360" w:lineRule="auto"/>
        <w:jc w:val="both"/>
        <w:rPr>
          <w:sz w:val="18"/>
          <w:szCs w:val="18"/>
        </w:rPr>
      </w:pPr>
      <w:r w:rsidRPr="00C80EFF">
        <w:rPr>
          <w:color w:val="000000"/>
          <w:sz w:val="18"/>
          <w:szCs w:val="18"/>
        </w:rPr>
        <w:t>Conclusion: RIFLE severity category correlates strongly with in-hospital mortality among patients with AKI, supporting its continued use as a practical, readily applicable tool for risk stratification in this population.</w:t>
      </w:r>
    </w:p>
    <w:p w:rsidR="00016BF1" w:rsidRPr="00C80EFF" w:rsidRDefault="001414BE" w:rsidP="00C80EFF">
      <w:pPr>
        <w:spacing w:line="360" w:lineRule="auto"/>
        <w:jc w:val="both"/>
        <w:rPr>
          <w:sz w:val="18"/>
          <w:szCs w:val="18"/>
        </w:rPr>
      </w:pPr>
      <w:r w:rsidRPr="00C80EFF">
        <w:rPr>
          <w:i/>
          <w:iCs/>
          <w:color w:val="000000"/>
          <w:sz w:val="18"/>
          <w:szCs w:val="18"/>
        </w:rPr>
        <w:t>Keywords: Acute kidney injury, RIFLE classification, sepsis, mortality, general medicine.</w:t>
      </w:r>
    </w:p>
    <w:p w:rsidR="00C80EFF" w:rsidRDefault="00C80EFF" w:rsidP="00C80EFF">
      <w:pPr>
        <w:pStyle w:val="Heading1"/>
        <w:spacing w:line="360" w:lineRule="auto"/>
        <w:jc w:val="both"/>
        <w:rPr>
          <w:b/>
          <w:bCs/>
          <w:color w:val="000000"/>
          <w:sz w:val="20"/>
          <w:szCs w:val="20"/>
        </w:rPr>
      </w:pPr>
    </w:p>
    <w:p w:rsidR="00016BF1" w:rsidRPr="00C80EFF" w:rsidRDefault="001414BE" w:rsidP="00C80EFF">
      <w:pPr>
        <w:pStyle w:val="Heading1"/>
        <w:spacing w:line="360" w:lineRule="auto"/>
        <w:jc w:val="both"/>
        <w:rPr>
          <w:sz w:val="20"/>
          <w:szCs w:val="20"/>
        </w:rPr>
      </w:pPr>
      <w:r w:rsidRPr="00C80EFF">
        <w:rPr>
          <w:b/>
          <w:bCs/>
          <w:color w:val="000000"/>
          <w:sz w:val="20"/>
          <w:szCs w:val="20"/>
        </w:rPr>
        <w:t>Introduction</w:t>
      </w:r>
    </w:p>
    <w:p w:rsidR="00016BF1" w:rsidRPr="00C80EFF" w:rsidRDefault="001414BE" w:rsidP="00C80EFF">
      <w:pPr>
        <w:spacing w:line="360" w:lineRule="auto"/>
        <w:jc w:val="both"/>
      </w:pPr>
      <w:r w:rsidRPr="00C80EFF">
        <w:rPr>
          <w:color w:val="000000"/>
        </w:rPr>
        <w:t>Acute kidney injury (AKI) is a common and clinically important complication among hospitalised patients, associated with substantially increased morbidity, mortality, and healthcare resource utilisation.</w:t>
      </w:r>
      <w:r w:rsidRPr="00C80EFF">
        <w:rPr>
          <w:color w:val="000000"/>
          <w:vertAlign w:val="superscript"/>
        </w:rPr>
        <w:t>4,7</w:t>
      </w:r>
      <w:r w:rsidRPr="00C80EFF">
        <w:rPr>
          <w:color w:val="000000"/>
        </w:rPr>
        <w:t xml:space="preserve"> Prior to the development of standardised diagnostic criteria, the lack of a uniform definition for acute renal failure was a major impediment to comparing findings across different studies and clinical settings, as reflected in the wide variation in reported epidemiology from early studies such as the Madrid Acute Renal Failure Study by Liano and Pascual and the French multicentre study by Brivet and colleagues.</w:t>
      </w:r>
      <w:r w:rsidRPr="00C80EFF">
        <w:rPr>
          <w:color w:val="000000"/>
          <w:vertAlign w:val="superscript"/>
        </w:rPr>
        <w:t>5,6</w:t>
      </w:r>
    </w:p>
    <w:p w:rsidR="00016BF1" w:rsidRPr="00C80EFF" w:rsidRDefault="001414BE" w:rsidP="00C80EFF">
      <w:pPr>
        <w:spacing w:line="360" w:lineRule="auto"/>
        <w:jc w:val="both"/>
      </w:pPr>
      <w:r w:rsidRPr="00C80EFF">
        <w:rPr>
          <w:color w:val="000000"/>
        </w:rPr>
        <w:t>This gap was addressed by the Acute Dialysis Quality Initiative, whose consensus conference, led by Bellomo and colleagues, proposed the RIFLE classification (Risk, Injury, Failure, Loss, and End-stage kidney disease) in 2004, providing a graded, standardised framework based on changes in serum creatinine and urine output.</w:t>
      </w:r>
      <w:r w:rsidRPr="00C80EFF">
        <w:rPr>
          <w:color w:val="000000"/>
          <w:vertAlign w:val="superscript"/>
        </w:rPr>
        <w:t>1</w:t>
      </w:r>
      <w:r w:rsidRPr="00C80EFF">
        <w:rPr>
          <w:color w:val="000000"/>
        </w:rPr>
        <w:t xml:space="preserve"> This was followed by the Acute Kidney Injury Network (AKIN) classification, a modified version of RIFLE with a lower diagnostic threshold, proposed by Mehta and colleagues to improve diagnostic sensitivity.</w:t>
      </w:r>
      <w:r w:rsidRPr="00C80EFF">
        <w:rPr>
          <w:color w:val="000000"/>
          <w:vertAlign w:val="superscript"/>
        </w:rPr>
        <w:t>2</w:t>
      </w:r>
    </w:p>
    <w:p w:rsidR="00016BF1" w:rsidRPr="00C80EFF" w:rsidRDefault="001414BE" w:rsidP="00C80EFF">
      <w:pPr>
        <w:spacing w:line="360" w:lineRule="auto"/>
        <w:jc w:val="both"/>
      </w:pPr>
      <w:r w:rsidRPr="00C80EFF">
        <w:rPr>
          <w:color w:val="000000"/>
        </w:rPr>
        <w:t>The RIFLE classification has since been extensively validated across diverse clinical populations, including the large multinational study by Uchino and colleagues in critically ill patients, and has consistently demonstrated a strong, graded relationship between RIFLE severity category and mortality risk, as confirmed in the cohort analysis by Hoste and colleagues and the systematic review by Ricci and colleagues.</w:t>
      </w:r>
      <w:r w:rsidRPr="00C80EFF">
        <w:rPr>
          <w:color w:val="000000"/>
          <w:vertAlign w:val="superscript"/>
        </w:rPr>
        <w:t>7,8,9</w:t>
      </w:r>
      <w:r w:rsidRPr="00C80EFF">
        <w:rPr>
          <w:color w:val="000000"/>
        </w:rPr>
        <w:t xml:space="preserve"> Sepsis has been </w:t>
      </w:r>
      <w:r w:rsidRPr="00C80EFF">
        <w:rPr>
          <w:color w:val="000000"/>
        </w:rPr>
        <w:lastRenderedPageBreak/>
        <w:t>repeatedly identified as a leading cause of AKI in hospitalised patients, as documented in the contemporary analysis by Lopes and colleagues, with important implications for both prevention and management strategy.</w:t>
      </w:r>
      <w:r w:rsidRPr="00C80EFF">
        <w:rPr>
          <w:color w:val="000000"/>
          <w:vertAlign w:val="superscript"/>
        </w:rPr>
        <w:t>10</w:t>
      </w:r>
    </w:p>
    <w:p w:rsidR="00016BF1" w:rsidRPr="00C80EFF" w:rsidRDefault="001414BE" w:rsidP="00C80EFF">
      <w:pPr>
        <w:spacing w:line="360" w:lineRule="auto"/>
        <w:jc w:val="both"/>
      </w:pPr>
      <w:r w:rsidRPr="00C80EFF">
        <w:rPr>
          <w:color w:val="000000"/>
        </w:rPr>
        <w:t>This study was undertaken to describe the clinical profile, aetiology, and RIFLE severity distribution of patients with AKI admitted to a tertiary care hospital, and to identify predictors of in-hospital mortality.</w:t>
      </w:r>
    </w:p>
    <w:p w:rsidR="00016BF1" w:rsidRPr="00C80EFF" w:rsidRDefault="001414BE" w:rsidP="00C80EFF">
      <w:pPr>
        <w:pStyle w:val="Heading1"/>
        <w:spacing w:line="360" w:lineRule="auto"/>
        <w:jc w:val="both"/>
        <w:rPr>
          <w:sz w:val="20"/>
          <w:szCs w:val="20"/>
        </w:rPr>
      </w:pPr>
      <w:r w:rsidRPr="00C80EFF">
        <w:rPr>
          <w:b/>
          <w:bCs/>
          <w:color w:val="000000"/>
          <w:sz w:val="20"/>
          <w:szCs w:val="20"/>
        </w:rPr>
        <w:t>Materials and Methods</w:t>
      </w:r>
    </w:p>
    <w:p w:rsidR="00016BF1" w:rsidRPr="00C80EFF" w:rsidRDefault="001414BE" w:rsidP="00C80EFF">
      <w:pPr>
        <w:pStyle w:val="Heading2"/>
        <w:spacing w:line="360" w:lineRule="auto"/>
        <w:jc w:val="both"/>
        <w:rPr>
          <w:sz w:val="20"/>
          <w:szCs w:val="20"/>
        </w:rPr>
      </w:pPr>
      <w:r w:rsidRPr="00C80EFF">
        <w:rPr>
          <w:b/>
          <w:bCs/>
          <w:color w:val="000000"/>
          <w:sz w:val="20"/>
          <w:szCs w:val="20"/>
        </w:rPr>
        <w:t>Study Design and Setting</w:t>
      </w:r>
    </w:p>
    <w:p w:rsidR="00016BF1" w:rsidRPr="00C80EFF" w:rsidRDefault="001414BE" w:rsidP="00C80EFF">
      <w:pPr>
        <w:spacing w:line="360" w:lineRule="auto"/>
        <w:jc w:val="both"/>
      </w:pPr>
      <w:r w:rsidRPr="00C80EFF">
        <w:rPr>
          <w:color w:val="000000"/>
        </w:rPr>
        <w:t>This was a hospital-based, cross-sectional, analytical study conducted in the Department of General Medicine of a tertiary care teaching hospital over a period of twelve months.</w:t>
      </w:r>
    </w:p>
    <w:p w:rsidR="00016BF1" w:rsidRPr="00C80EFF" w:rsidRDefault="001414BE" w:rsidP="00C80EFF">
      <w:pPr>
        <w:pStyle w:val="Heading2"/>
        <w:spacing w:line="360" w:lineRule="auto"/>
        <w:jc w:val="both"/>
        <w:rPr>
          <w:sz w:val="20"/>
          <w:szCs w:val="20"/>
        </w:rPr>
      </w:pPr>
      <w:r w:rsidRPr="00C80EFF">
        <w:rPr>
          <w:b/>
          <w:bCs/>
          <w:color w:val="000000"/>
          <w:sz w:val="20"/>
          <w:szCs w:val="20"/>
        </w:rPr>
        <w:t>Study Population</w:t>
      </w:r>
    </w:p>
    <w:p w:rsidR="00016BF1" w:rsidRPr="00C80EFF" w:rsidRDefault="001414BE" w:rsidP="00C80EFF">
      <w:pPr>
        <w:spacing w:line="360" w:lineRule="auto"/>
        <w:jc w:val="both"/>
      </w:pPr>
      <w:r w:rsidRPr="00C80EFF">
        <w:rPr>
          <w:color w:val="000000"/>
        </w:rPr>
        <w:t>A total of 210 adult patients diagnosed with AKI during hospital admission were enrolled after obtaining informed consent (or consent from next of kin where the patient was critically unwell).</w:t>
      </w:r>
    </w:p>
    <w:p w:rsidR="00016BF1" w:rsidRPr="00C80EFF" w:rsidRDefault="001414BE" w:rsidP="00C80EFF">
      <w:pPr>
        <w:pStyle w:val="Heading2"/>
        <w:spacing w:line="360" w:lineRule="auto"/>
        <w:jc w:val="both"/>
        <w:rPr>
          <w:sz w:val="20"/>
          <w:szCs w:val="20"/>
        </w:rPr>
      </w:pPr>
      <w:r w:rsidRPr="00C80EFF">
        <w:rPr>
          <w:b/>
          <w:bCs/>
          <w:color w:val="000000"/>
          <w:sz w:val="20"/>
          <w:szCs w:val="20"/>
        </w:rPr>
        <w:t>Inclusion and Exclusion Criteria</w:t>
      </w:r>
    </w:p>
    <w:p w:rsidR="00016BF1" w:rsidRPr="00C80EFF" w:rsidRDefault="001414BE" w:rsidP="00C80EFF">
      <w:pPr>
        <w:spacing w:line="360" w:lineRule="auto"/>
        <w:jc w:val="both"/>
      </w:pPr>
      <w:r w:rsidRPr="00C80EFF">
        <w:rPr>
          <w:color w:val="000000"/>
        </w:rPr>
        <w:t>Adults aged 18 years and above meeting RIFLE criteria for AKI (Risk category or above) during the index hospital admission were included. Patients with pre-existing end-stage renal disease already on maintenance dialysis, and those with insufficient serial creatinine data to allow RIFLE classification, were excluded.</w:t>
      </w:r>
    </w:p>
    <w:p w:rsidR="00016BF1" w:rsidRPr="00C80EFF" w:rsidRDefault="001414BE" w:rsidP="00C80EFF">
      <w:pPr>
        <w:pStyle w:val="Heading2"/>
        <w:spacing w:line="360" w:lineRule="auto"/>
        <w:jc w:val="both"/>
        <w:rPr>
          <w:sz w:val="20"/>
          <w:szCs w:val="20"/>
        </w:rPr>
      </w:pPr>
      <w:r w:rsidRPr="00C80EFF">
        <w:rPr>
          <w:b/>
          <w:bCs/>
          <w:color w:val="000000"/>
          <w:sz w:val="20"/>
          <w:szCs w:val="20"/>
        </w:rPr>
        <w:t>Data Collection</w:t>
      </w:r>
    </w:p>
    <w:p w:rsidR="00016BF1" w:rsidRPr="00C80EFF" w:rsidRDefault="001414BE" w:rsidP="00C80EFF">
      <w:pPr>
        <w:spacing w:line="360" w:lineRule="auto"/>
        <w:jc w:val="both"/>
      </w:pPr>
      <w:r w:rsidRPr="00C80EFF">
        <w:rPr>
          <w:color w:val="000000"/>
        </w:rPr>
        <w:t>A structured proforma recorded demographic details, presumed aetiology of AKI, serial serum creatinine values, and urine output. Patients were classified according to RIFLE criteria into Risk, Injury, or Failure category based on the maximum severity reached during admission, using standard serum creatinine and urine output thresholds.</w:t>
      </w:r>
      <w:r w:rsidRPr="00C80EFF">
        <w:rPr>
          <w:color w:val="000000"/>
          <w:vertAlign w:val="superscript"/>
        </w:rPr>
        <w:t>1</w:t>
      </w:r>
      <w:r w:rsidRPr="00C80EFF">
        <w:rPr>
          <w:color w:val="000000"/>
        </w:rPr>
        <w:t xml:space="preserve"> Patients were followed through to hospital discharge or death, and renal outcome (complete recovery, partial recovery, or death) was recorded.</w:t>
      </w:r>
    </w:p>
    <w:p w:rsidR="00016BF1" w:rsidRPr="00C80EFF" w:rsidRDefault="001414BE" w:rsidP="00C80EFF">
      <w:pPr>
        <w:pStyle w:val="Heading2"/>
        <w:spacing w:line="360" w:lineRule="auto"/>
        <w:jc w:val="both"/>
        <w:rPr>
          <w:sz w:val="20"/>
          <w:szCs w:val="20"/>
        </w:rPr>
      </w:pPr>
      <w:r w:rsidRPr="00C80EFF">
        <w:rPr>
          <w:b/>
          <w:bCs/>
          <w:color w:val="000000"/>
          <w:sz w:val="20"/>
          <w:szCs w:val="20"/>
        </w:rPr>
        <w:t>Statistical Analysis</w:t>
      </w:r>
    </w:p>
    <w:p w:rsidR="00016BF1" w:rsidRPr="00C80EFF" w:rsidRDefault="001414BE" w:rsidP="00C80EFF">
      <w:pPr>
        <w:spacing w:line="360" w:lineRule="auto"/>
        <w:jc w:val="both"/>
      </w:pPr>
      <w:r w:rsidRPr="00C80EFF">
        <w:rPr>
          <w:color w:val="000000"/>
        </w:rPr>
        <w:t>Data were analysed using descriptive statistics; continuous variables were expressed as mean ± SD, categorical variables as frequencies and percentages. Odds ratios with 95% confidence intervals were calculated for factors associated with in-hospital mortality on univariate analysis, and variables significant at p&lt;0.10 were entered into a multivariate logistic regression model. A p-value &lt;0.05 was considered significant.</w:t>
      </w:r>
    </w:p>
    <w:p w:rsidR="00016BF1" w:rsidRPr="00C80EFF" w:rsidRDefault="001414BE" w:rsidP="00C80EFF">
      <w:pPr>
        <w:pStyle w:val="Heading1"/>
        <w:spacing w:line="360" w:lineRule="auto"/>
        <w:jc w:val="both"/>
        <w:rPr>
          <w:sz w:val="20"/>
          <w:szCs w:val="20"/>
        </w:rPr>
      </w:pPr>
      <w:r w:rsidRPr="00C80EFF">
        <w:rPr>
          <w:b/>
          <w:bCs/>
          <w:color w:val="000000"/>
          <w:sz w:val="20"/>
          <w:szCs w:val="20"/>
        </w:rPr>
        <w:t>Results</w:t>
      </w:r>
    </w:p>
    <w:p w:rsidR="00016BF1" w:rsidRPr="00C80EFF" w:rsidRDefault="001414BE" w:rsidP="00C80EFF">
      <w:pPr>
        <w:spacing w:line="360" w:lineRule="auto"/>
        <w:jc w:val="both"/>
      </w:pPr>
      <w:r w:rsidRPr="00C80EFF">
        <w:rPr>
          <w:color w:val="000000"/>
        </w:rPr>
        <w:t>Of the 210 patients studied, 120 (57.1%) were male and 90 (42.9%) were female. The age-wise distribution is summarised in Table 1 and illustrated in Figure 1.</w:t>
      </w:r>
    </w:p>
    <w:p w:rsidR="00016BF1" w:rsidRPr="00C80EFF" w:rsidRDefault="001414BE" w:rsidP="00C80EFF">
      <w:pPr>
        <w:spacing w:line="360" w:lineRule="auto"/>
        <w:jc w:val="both"/>
      </w:pPr>
      <w:r w:rsidRPr="00C80EFF">
        <w:rPr>
          <w:b/>
          <w:bCs/>
          <w:color w:val="000000"/>
        </w:rPr>
        <w:t>Table 1: Age and Gender-wise Distribution of Study Subjects (n = 210)</w:t>
      </w:r>
    </w:p>
    <w:tbl>
      <w:tblPr>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73"/>
        <w:gridCol w:w="1643"/>
        <w:gridCol w:w="1643"/>
        <w:gridCol w:w="1643"/>
        <w:gridCol w:w="2008"/>
      </w:tblGrid>
      <w:tr w:rsidR="00016BF1" w:rsidRPr="00C80EFF" w:rsidTr="00C80EFF">
        <w:trPr>
          <w:trHeight w:val="377"/>
          <w:tblHeader/>
        </w:trPr>
        <w:tc>
          <w:tcPr>
            <w:tcW w:w="2373" w:type="dxa"/>
            <w:shd w:val="clear" w:color="auto" w:fill="E8E8E8"/>
            <w:vAlign w:val="center"/>
          </w:tcPr>
          <w:p w:rsidR="00016BF1" w:rsidRPr="00C80EFF" w:rsidRDefault="001414BE" w:rsidP="00C80EFF">
            <w:pPr>
              <w:spacing w:line="360" w:lineRule="auto"/>
              <w:jc w:val="center"/>
            </w:pPr>
            <w:r w:rsidRPr="00C80EFF">
              <w:rPr>
                <w:b/>
                <w:bCs/>
                <w:color w:val="000000"/>
              </w:rPr>
              <w:t>Age Group (years)</w:t>
            </w:r>
          </w:p>
        </w:tc>
        <w:tc>
          <w:tcPr>
            <w:tcW w:w="1643" w:type="dxa"/>
            <w:shd w:val="clear" w:color="auto" w:fill="E8E8E8"/>
            <w:vAlign w:val="center"/>
          </w:tcPr>
          <w:p w:rsidR="00016BF1" w:rsidRPr="00C80EFF" w:rsidRDefault="001414BE" w:rsidP="00C80EFF">
            <w:pPr>
              <w:spacing w:line="360" w:lineRule="auto"/>
              <w:jc w:val="center"/>
            </w:pPr>
            <w:r w:rsidRPr="00C80EFF">
              <w:rPr>
                <w:b/>
                <w:bCs/>
                <w:color w:val="000000"/>
              </w:rPr>
              <w:t>Male (n)</w:t>
            </w:r>
          </w:p>
        </w:tc>
        <w:tc>
          <w:tcPr>
            <w:tcW w:w="1643" w:type="dxa"/>
            <w:shd w:val="clear" w:color="auto" w:fill="E8E8E8"/>
            <w:vAlign w:val="center"/>
          </w:tcPr>
          <w:p w:rsidR="00016BF1" w:rsidRPr="00C80EFF" w:rsidRDefault="001414BE" w:rsidP="00C80EFF">
            <w:pPr>
              <w:spacing w:line="360" w:lineRule="auto"/>
              <w:jc w:val="center"/>
            </w:pPr>
            <w:r w:rsidRPr="00C80EFF">
              <w:rPr>
                <w:b/>
                <w:bCs/>
                <w:color w:val="000000"/>
              </w:rPr>
              <w:t>Female (n)</w:t>
            </w:r>
          </w:p>
        </w:tc>
        <w:tc>
          <w:tcPr>
            <w:tcW w:w="1643" w:type="dxa"/>
            <w:shd w:val="clear" w:color="auto" w:fill="E8E8E8"/>
            <w:vAlign w:val="center"/>
          </w:tcPr>
          <w:p w:rsidR="00016BF1" w:rsidRPr="00C80EFF" w:rsidRDefault="001414BE" w:rsidP="00C80EFF">
            <w:pPr>
              <w:spacing w:line="360" w:lineRule="auto"/>
              <w:jc w:val="center"/>
            </w:pPr>
            <w:r w:rsidRPr="00C80EFF">
              <w:rPr>
                <w:b/>
                <w:bCs/>
                <w:color w:val="000000"/>
              </w:rPr>
              <w:t>Total (n)</w:t>
            </w:r>
          </w:p>
        </w:tc>
        <w:tc>
          <w:tcPr>
            <w:tcW w:w="2008" w:type="dxa"/>
            <w:shd w:val="clear" w:color="auto" w:fill="E8E8E8"/>
            <w:vAlign w:val="center"/>
          </w:tcPr>
          <w:p w:rsidR="00016BF1" w:rsidRPr="00C80EFF" w:rsidRDefault="001414BE" w:rsidP="00C80EFF">
            <w:pPr>
              <w:spacing w:line="360" w:lineRule="auto"/>
              <w:jc w:val="center"/>
            </w:pPr>
            <w:r w:rsidRPr="00C80EFF">
              <w:rPr>
                <w:b/>
                <w:bCs/>
                <w:color w:val="000000"/>
              </w:rPr>
              <w:t>Percentage (%)</w:t>
            </w:r>
          </w:p>
        </w:tc>
      </w:tr>
      <w:tr w:rsidR="00016BF1" w:rsidRPr="00C80EFF" w:rsidTr="00C80EFF">
        <w:trPr>
          <w:trHeight w:val="364"/>
        </w:trPr>
        <w:tc>
          <w:tcPr>
            <w:tcW w:w="2373" w:type="dxa"/>
            <w:vAlign w:val="center"/>
          </w:tcPr>
          <w:p w:rsidR="00016BF1" w:rsidRPr="00C80EFF" w:rsidRDefault="001414BE" w:rsidP="00C80EFF">
            <w:pPr>
              <w:spacing w:line="360" w:lineRule="auto"/>
              <w:jc w:val="center"/>
            </w:pPr>
            <w:r w:rsidRPr="00C80EFF">
              <w:rPr>
                <w:color w:val="000000"/>
              </w:rPr>
              <w:t>18–39</w:t>
            </w:r>
          </w:p>
        </w:tc>
        <w:tc>
          <w:tcPr>
            <w:tcW w:w="1643" w:type="dxa"/>
            <w:vAlign w:val="center"/>
          </w:tcPr>
          <w:p w:rsidR="00016BF1" w:rsidRPr="00C80EFF" w:rsidRDefault="001414BE" w:rsidP="00C80EFF">
            <w:pPr>
              <w:spacing w:line="360" w:lineRule="auto"/>
              <w:jc w:val="center"/>
            </w:pPr>
            <w:r w:rsidRPr="00C80EFF">
              <w:rPr>
                <w:color w:val="000000"/>
              </w:rPr>
              <w:t>19</w:t>
            </w:r>
          </w:p>
        </w:tc>
        <w:tc>
          <w:tcPr>
            <w:tcW w:w="1643" w:type="dxa"/>
            <w:vAlign w:val="center"/>
          </w:tcPr>
          <w:p w:rsidR="00016BF1" w:rsidRPr="00C80EFF" w:rsidRDefault="001414BE" w:rsidP="00C80EFF">
            <w:pPr>
              <w:spacing w:line="360" w:lineRule="auto"/>
              <w:jc w:val="center"/>
            </w:pPr>
            <w:r w:rsidRPr="00C80EFF">
              <w:rPr>
                <w:color w:val="000000"/>
              </w:rPr>
              <w:t>13</w:t>
            </w:r>
          </w:p>
        </w:tc>
        <w:tc>
          <w:tcPr>
            <w:tcW w:w="1643" w:type="dxa"/>
            <w:vAlign w:val="center"/>
          </w:tcPr>
          <w:p w:rsidR="00016BF1" w:rsidRPr="00C80EFF" w:rsidRDefault="001414BE" w:rsidP="00C80EFF">
            <w:pPr>
              <w:spacing w:line="360" w:lineRule="auto"/>
              <w:jc w:val="center"/>
            </w:pPr>
            <w:r w:rsidRPr="00C80EFF">
              <w:rPr>
                <w:color w:val="000000"/>
              </w:rPr>
              <w:t>32</w:t>
            </w:r>
          </w:p>
        </w:tc>
        <w:tc>
          <w:tcPr>
            <w:tcW w:w="2008" w:type="dxa"/>
            <w:vAlign w:val="center"/>
          </w:tcPr>
          <w:p w:rsidR="00016BF1" w:rsidRPr="00C80EFF" w:rsidRDefault="001414BE" w:rsidP="00C80EFF">
            <w:pPr>
              <w:spacing w:line="360" w:lineRule="auto"/>
              <w:jc w:val="center"/>
            </w:pPr>
            <w:r w:rsidRPr="00C80EFF">
              <w:rPr>
                <w:color w:val="000000"/>
              </w:rPr>
              <w:t>15.2</w:t>
            </w:r>
          </w:p>
        </w:tc>
      </w:tr>
      <w:tr w:rsidR="00016BF1" w:rsidRPr="00C80EFF" w:rsidTr="00C80EFF">
        <w:trPr>
          <w:trHeight w:val="377"/>
        </w:trPr>
        <w:tc>
          <w:tcPr>
            <w:tcW w:w="2373" w:type="dxa"/>
            <w:vAlign w:val="center"/>
          </w:tcPr>
          <w:p w:rsidR="00016BF1" w:rsidRPr="00C80EFF" w:rsidRDefault="001414BE" w:rsidP="00C80EFF">
            <w:pPr>
              <w:spacing w:line="360" w:lineRule="auto"/>
              <w:jc w:val="center"/>
            </w:pPr>
            <w:r w:rsidRPr="00C80EFF">
              <w:rPr>
                <w:color w:val="000000"/>
              </w:rPr>
              <w:t>40–59</w:t>
            </w:r>
          </w:p>
        </w:tc>
        <w:tc>
          <w:tcPr>
            <w:tcW w:w="1643" w:type="dxa"/>
            <w:vAlign w:val="center"/>
          </w:tcPr>
          <w:p w:rsidR="00016BF1" w:rsidRPr="00C80EFF" w:rsidRDefault="001414BE" w:rsidP="00C80EFF">
            <w:pPr>
              <w:spacing w:line="360" w:lineRule="auto"/>
              <w:jc w:val="center"/>
            </w:pPr>
            <w:r w:rsidRPr="00C80EFF">
              <w:rPr>
                <w:color w:val="000000"/>
              </w:rPr>
              <w:t>40</w:t>
            </w:r>
          </w:p>
        </w:tc>
        <w:tc>
          <w:tcPr>
            <w:tcW w:w="1643" w:type="dxa"/>
            <w:vAlign w:val="center"/>
          </w:tcPr>
          <w:p w:rsidR="00016BF1" w:rsidRPr="00C80EFF" w:rsidRDefault="001414BE" w:rsidP="00C80EFF">
            <w:pPr>
              <w:spacing w:line="360" w:lineRule="auto"/>
              <w:jc w:val="center"/>
            </w:pPr>
            <w:r w:rsidRPr="00C80EFF">
              <w:rPr>
                <w:color w:val="000000"/>
              </w:rPr>
              <w:t>28</w:t>
            </w:r>
          </w:p>
        </w:tc>
        <w:tc>
          <w:tcPr>
            <w:tcW w:w="1643" w:type="dxa"/>
            <w:vAlign w:val="center"/>
          </w:tcPr>
          <w:p w:rsidR="00016BF1" w:rsidRPr="00C80EFF" w:rsidRDefault="001414BE" w:rsidP="00C80EFF">
            <w:pPr>
              <w:spacing w:line="360" w:lineRule="auto"/>
              <w:jc w:val="center"/>
            </w:pPr>
            <w:r w:rsidRPr="00C80EFF">
              <w:rPr>
                <w:color w:val="000000"/>
              </w:rPr>
              <w:t>68</w:t>
            </w:r>
          </w:p>
        </w:tc>
        <w:tc>
          <w:tcPr>
            <w:tcW w:w="2008" w:type="dxa"/>
            <w:vAlign w:val="center"/>
          </w:tcPr>
          <w:p w:rsidR="00016BF1" w:rsidRPr="00C80EFF" w:rsidRDefault="001414BE" w:rsidP="00C80EFF">
            <w:pPr>
              <w:spacing w:line="360" w:lineRule="auto"/>
              <w:jc w:val="center"/>
            </w:pPr>
            <w:r w:rsidRPr="00C80EFF">
              <w:rPr>
                <w:color w:val="000000"/>
              </w:rPr>
              <w:t>32.4</w:t>
            </w:r>
          </w:p>
        </w:tc>
      </w:tr>
      <w:tr w:rsidR="00016BF1" w:rsidRPr="00C80EFF" w:rsidTr="00C80EFF">
        <w:trPr>
          <w:trHeight w:val="364"/>
        </w:trPr>
        <w:tc>
          <w:tcPr>
            <w:tcW w:w="2373" w:type="dxa"/>
            <w:vAlign w:val="center"/>
          </w:tcPr>
          <w:p w:rsidR="00016BF1" w:rsidRPr="00C80EFF" w:rsidRDefault="001414BE" w:rsidP="00C80EFF">
            <w:pPr>
              <w:spacing w:line="360" w:lineRule="auto"/>
              <w:jc w:val="center"/>
            </w:pPr>
            <w:r w:rsidRPr="00C80EFF">
              <w:rPr>
                <w:color w:val="000000"/>
              </w:rPr>
              <w:t>60–74</w:t>
            </w:r>
          </w:p>
        </w:tc>
        <w:tc>
          <w:tcPr>
            <w:tcW w:w="1643" w:type="dxa"/>
            <w:vAlign w:val="center"/>
          </w:tcPr>
          <w:p w:rsidR="00016BF1" w:rsidRPr="00C80EFF" w:rsidRDefault="001414BE" w:rsidP="00C80EFF">
            <w:pPr>
              <w:spacing w:line="360" w:lineRule="auto"/>
              <w:jc w:val="center"/>
            </w:pPr>
            <w:r w:rsidRPr="00C80EFF">
              <w:rPr>
                <w:color w:val="000000"/>
              </w:rPr>
              <w:t>42</w:t>
            </w:r>
          </w:p>
        </w:tc>
        <w:tc>
          <w:tcPr>
            <w:tcW w:w="1643" w:type="dxa"/>
            <w:vAlign w:val="center"/>
          </w:tcPr>
          <w:p w:rsidR="00016BF1" w:rsidRPr="00C80EFF" w:rsidRDefault="001414BE" w:rsidP="00C80EFF">
            <w:pPr>
              <w:spacing w:line="360" w:lineRule="auto"/>
              <w:jc w:val="center"/>
            </w:pPr>
            <w:r w:rsidRPr="00C80EFF">
              <w:rPr>
                <w:color w:val="000000"/>
              </w:rPr>
              <w:t>32</w:t>
            </w:r>
          </w:p>
        </w:tc>
        <w:tc>
          <w:tcPr>
            <w:tcW w:w="1643" w:type="dxa"/>
            <w:vAlign w:val="center"/>
          </w:tcPr>
          <w:p w:rsidR="00016BF1" w:rsidRPr="00C80EFF" w:rsidRDefault="001414BE" w:rsidP="00C80EFF">
            <w:pPr>
              <w:spacing w:line="360" w:lineRule="auto"/>
              <w:jc w:val="center"/>
            </w:pPr>
            <w:r w:rsidRPr="00C80EFF">
              <w:rPr>
                <w:color w:val="000000"/>
              </w:rPr>
              <w:t>74</w:t>
            </w:r>
          </w:p>
        </w:tc>
        <w:tc>
          <w:tcPr>
            <w:tcW w:w="2008" w:type="dxa"/>
            <w:vAlign w:val="center"/>
          </w:tcPr>
          <w:p w:rsidR="00016BF1" w:rsidRPr="00C80EFF" w:rsidRDefault="001414BE" w:rsidP="00C80EFF">
            <w:pPr>
              <w:spacing w:line="360" w:lineRule="auto"/>
              <w:jc w:val="center"/>
            </w:pPr>
            <w:r w:rsidRPr="00C80EFF">
              <w:rPr>
                <w:color w:val="000000"/>
              </w:rPr>
              <w:t>35.2</w:t>
            </w:r>
          </w:p>
        </w:tc>
      </w:tr>
      <w:tr w:rsidR="00016BF1" w:rsidRPr="00C80EFF" w:rsidTr="00C80EFF">
        <w:trPr>
          <w:trHeight w:val="377"/>
        </w:trPr>
        <w:tc>
          <w:tcPr>
            <w:tcW w:w="2373" w:type="dxa"/>
            <w:vAlign w:val="center"/>
          </w:tcPr>
          <w:p w:rsidR="00016BF1" w:rsidRPr="00C80EFF" w:rsidRDefault="001414BE" w:rsidP="00C80EFF">
            <w:pPr>
              <w:spacing w:line="360" w:lineRule="auto"/>
              <w:jc w:val="center"/>
            </w:pPr>
            <w:r w:rsidRPr="00C80EFF">
              <w:rPr>
                <w:color w:val="000000"/>
              </w:rPr>
              <w:t>75 and above</w:t>
            </w:r>
          </w:p>
        </w:tc>
        <w:tc>
          <w:tcPr>
            <w:tcW w:w="1643" w:type="dxa"/>
            <w:vAlign w:val="center"/>
          </w:tcPr>
          <w:p w:rsidR="00016BF1" w:rsidRPr="00C80EFF" w:rsidRDefault="001414BE" w:rsidP="00C80EFF">
            <w:pPr>
              <w:spacing w:line="360" w:lineRule="auto"/>
              <w:jc w:val="center"/>
            </w:pPr>
            <w:r w:rsidRPr="00C80EFF">
              <w:rPr>
                <w:color w:val="000000"/>
              </w:rPr>
              <w:t>19</w:t>
            </w:r>
          </w:p>
        </w:tc>
        <w:tc>
          <w:tcPr>
            <w:tcW w:w="1643" w:type="dxa"/>
            <w:vAlign w:val="center"/>
          </w:tcPr>
          <w:p w:rsidR="00016BF1" w:rsidRPr="00C80EFF" w:rsidRDefault="001414BE" w:rsidP="00C80EFF">
            <w:pPr>
              <w:spacing w:line="360" w:lineRule="auto"/>
              <w:jc w:val="center"/>
            </w:pPr>
            <w:r w:rsidRPr="00C80EFF">
              <w:rPr>
                <w:color w:val="000000"/>
              </w:rPr>
              <w:t>17</w:t>
            </w:r>
          </w:p>
        </w:tc>
        <w:tc>
          <w:tcPr>
            <w:tcW w:w="1643" w:type="dxa"/>
            <w:vAlign w:val="center"/>
          </w:tcPr>
          <w:p w:rsidR="00016BF1" w:rsidRPr="00C80EFF" w:rsidRDefault="001414BE" w:rsidP="00C80EFF">
            <w:pPr>
              <w:spacing w:line="360" w:lineRule="auto"/>
              <w:jc w:val="center"/>
            </w:pPr>
            <w:r w:rsidRPr="00C80EFF">
              <w:rPr>
                <w:color w:val="000000"/>
              </w:rPr>
              <w:t>36</w:t>
            </w:r>
          </w:p>
        </w:tc>
        <w:tc>
          <w:tcPr>
            <w:tcW w:w="2008" w:type="dxa"/>
            <w:vAlign w:val="center"/>
          </w:tcPr>
          <w:p w:rsidR="00016BF1" w:rsidRPr="00C80EFF" w:rsidRDefault="001414BE" w:rsidP="00C80EFF">
            <w:pPr>
              <w:spacing w:line="360" w:lineRule="auto"/>
              <w:jc w:val="center"/>
            </w:pPr>
            <w:r w:rsidRPr="00C80EFF">
              <w:rPr>
                <w:color w:val="000000"/>
              </w:rPr>
              <w:t>17.1</w:t>
            </w:r>
          </w:p>
        </w:tc>
      </w:tr>
      <w:tr w:rsidR="00016BF1" w:rsidRPr="00C80EFF" w:rsidTr="00C80EFF">
        <w:trPr>
          <w:trHeight w:val="377"/>
        </w:trPr>
        <w:tc>
          <w:tcPr>
            <w:tcW w:w="2373" w:type="dxa"/>
            <w:vAlign w:val="center"/>
          </w:tcPr>
          <w:p w:rsidR="00016BF1" w:rsidRPr="00C80EFF" w:rsidRDefault="001414BE" w:rsidP="00C80EFF">
            <w:pPr>
              <w:spacing w:line="360" w:lineRule="auto"/>
              <w:jc w:val="center"/>
            </w:pPr>
            <w:r w:rsidRPr="00C80EFF">
              <w:rPr>
                <w:color w:val="000000"/>
              </w:rPr>
              <w:t>Total</w:t>
            </w:r>
          </w:p>
        </w:tc>
        <w:tc>
          <w:tcPr>
            <w:tcW w:w="1643" w:type="dxa"/>
            <w:vAlign w:val="center"/>
          </w:tcPr>
          <w:p w:rsidR="00016BF1" w:rsidRPr="00C80EFF" w:rsidRDefault="001414BE" w:rsidP="00C80EFF">
            <w:pPr>
              <w:spacing w:line="360" w:lineRule="auto"/>
              <w:jc w:val="center"/>
            </w:pPr>
            <w:r w:rsidRPr="00C80EFF">
              <w:rPr>
                <w:color w:val="000000"/>
              </w:rPr>
              <w:t>120</w:t>
            </w:r>
          </w:p>
        </w:tc>
        <w:tc>
          <w:tcPr>
            <w:tcW w:w="1643" w:type="dxa"/>
            <w:vAlign w:val="center"/>
          </w:tcPr>
          <w:p w:rsidR="00016BF1" w:rsidRPr="00C80EFF" w:rsidRDefault="001414BE" w:rsidP="00C80EFF">
            <w:pPr>
              <w:spacing w:line="360" w:lineRule="auto"/>
              <w:jc w:val="center"/>
            </w:pPr>
            <w:r w:rsidRPr="00C80EFF">
              <w:rPr>
                <w:color w:val="000000"/>
              </w:rPr>
              <w:t>90</w:t>
            </w:r>
          </w:p>
        </w:tc>
        <w:tc>
          <w:tcPr>
            <w:tcW w:w="1643" w:type="dxa"/>
            <w:vAlign w:val="center"/>
          </w:tcPr>
          <w:p w:rsidR="00016BF1" w:rsidRPr="00C80EFF" w:rsidRDefault="001414BE" w:rsidP="00C80EFF">
            <w:pPr>
              <w:spacing w:line="360" w:lineRule="auto"/>
              <w:jc w:val="center"/>
            </w:pPr>
            <w:r w:rsidRPr="00C80EFF">
              <w:rPr>
                <w:color w:val="000000"/>
              </w:rPr>
              <w:t>210</w:t>
            </w:r>
          </w:p>
        </w:tc>
        <w:tc>
          <w:tcPr>
            <w:tcW w:w="2008" w:type="dxa"/>
            <w:vAlign w:val="center"/>
          </w:tcPr>
          <w:p w:rsidR="00016BF1" w:rsidRPr="00C80EFF" w:rsidRDefault="001414BE" w:rsidP="00C80EFF">
            <w:pPr>
              <w:spacing w:line="360" w:lineRule="auto"/>
              <w:jc w:val="center"/>
            </w:pPr>
            <w:r w:rsidRPr="00C80EFF">
              <w:rPr>
                <w:color w:val="000000"/>
              </w:rPr>
              <w:t>100.0</w:t>
            </w:r>
          </w:p>
        </w:tc>
      </w:tr>
    </w:tbl>
    <w:p w:rsidR="00016BF1" w:rsidRPr="00C80EFF" w:rsidRDefault="00016BF1" w:rsidP="00C80EFF">
      <w:pPr>
        <w:spacing w:line="360" w:lineRule="auto"/>
        <w:jc w:val="center"/>
      </w:pPr>
    </w:p>
    <w:p w:rsidR="00016BF1" w:rsidRPr="00C80EFF" w:rsidRDefault="001414BE" w:rsidP="00C80EFF">
      <w:pPr>
        <w:spacing w:line="360" w:lineRule="auto"/>
        <w:jc w:val="both"/>
      </w:pPr>
      <w:r w:rsidRPr="00C80EFF">
        <w:rPr>
          <w:noProof/>
          <w:lang w:val="en-IN" w:eastAsia="en-IN"/>
        </w:rPr>
        <w:drawing>
          <wp:inline distT="0" distB="0" distL="0" distR="0" wp14:anchorId="54342573" wp14:editId="6F8D8F9B">
            <wp:extent cx="4381500" cy="2819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cstate="print"/>
                    <a:srcRect/>
                    <a:stretch>
                      <a:fillRect/>
                    </a:stretch>
                  </pic:blipFill>
                  <pic:spPr bwMode="auto">
                    <a:xfrm>
                      <a:off x="0" y="0"/>
                      <a:ext cx="4381500" cy="2819400"/>
                    </a:xfrm>
                    <a:prstGeom prst="rect">
                      <a:avLst/>
                    </a:prstGeom>
                  </pic:spPr>
                </pic:pic>
              </a:graphicData>
            </a:graphic>
          </wp:inline>
        </w:drawing>
      </w:r>
    </w:p>
    <w:p w:rsidR="00016BF1" w:rsidRPr="00C80EFF" w:rsidRDefault="001414BE" w:rsidP="00C80EFF">
      <w:pPr>
        <w:spacing w:line="360" w:lineRule="auto"/>
        <w:jc w:val="both"/>
      </w:pPr>
      <w:r w:rsidRPr="00C80EFF">
        <w:rPr>
          <w:color w:val="000000"/>
        </w:rPr>
        <w:t>RIFLE-Risk was the most common category (41.9%), followed by Injury (36.2%) and Failure (21.9%) (Table 2, Figure 2).</w:t>
      </w:r>
    </w:p>
    <w:p w:rsidR="00016BF1" w:rsidRPr="00C80EFF" w:rsidRDefault="001414BE" w:rsidP="00C80EFF">
      <w:pPr>
        <w:spacing w:line="360" w:lineRule="auto"/>
        <w:jc w:val="both"/>
      </w:pPr>
      <w:r w:rsidRPr="00C80EFF">
        <w:rPr>
          <w:b/>
          <w:bCs/>
          <w:color w:val="000000"/>
        </w:rPr>
        <w:t>Table 2: Distribution by RIFLE Severity Category</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3800"/>
        <w:gridCol w:w="1600"/>
        <w:gridCol w:w="1800"/>
      </w:tblGrid>
      <w:tr w:rsidR="00016BF1" w:rsidRPr="00C80EFF">
        <w:trPr>
          <w:tblHeader/>
        </w:trPr>
        <w:tc>
          <w:tcPr>
            <w:tcW w:w="2400" w:type="dxa"/>
            <w:shd w:val="clear" w:color="auto" w:fill="E8E8E8"/>
            <w:vAlign w:val="center"/>
          </w:tcPr>
          <w:p w:rsidR="00016BF1" w:rsidRPr="00C80EFF" w:rsidRDefault="001414BE" w:rsidP="00C80EFF">
            <w:pPr>
              <w:spacing w:line="360" w:lineRule="auto"/>
              <w:jc w:val="center"/>
            </w:pPr>
            <w:r w:rsidRPr="00C80EFF">
              <w:rPr>
                <w:b/>
                <w:bCs/>
                <w:color w:val="000000"/>
              </w:rPr>
              <w:t>RIFLE Category</w:t>
            </w:r>
          </w:p>
        </w:tc>
        <w:tc>
          <w:tcPr>
            <w:tcW w:w="3800" w:type="dxa"/>
            <w:shd w:val="clear" w:color="auto" w:fill="E8E8E8"/>
            <w:vAlign w:val="center"/>
          </w:tcPr>
          <w:p w:rsidR="00016BF1" w:rsidRPr="00C80EFF" w:rsidRDefault="001414BE" w:rsidP="00C80EFF">
            <w:pPr>
              <w:spacing w:line="360" w:lineRule="auto"/>
              <w:jc w:val="center"/>
            </w:pPr>
            <w:r w:rsidRPr="00C80EFF">
              <w:rPr>
                <w:b/>
                <w:bCs/>
                <w:color w:val="000000"/>
              </w:rPr>
              <w:t>Criteria (SCr / Urine Output)</w:t>
            </w:r>
          </w:p>
        </w:tc>
        <w:tc>
          <w:tcPr>
            <w:tcW w:w="1600" w:type="dxa"/>
            <w:shd w:val="clear" w:color="auto" w:fill="E8E8E8"/>
            <w:vAlign w:val="center"/>
          </w:tcPr>
          <w:p w:rsidR="00016BF1" w:rsidRPr="00C80EFF" w:rsidRDefault="001414BE" w:rsidP="00C80EFF">
            <w:pPr>
              <w:spacing w:line="360" w:lineRule="auto"/>
              <w:jc w:val="center"/>
            </w:pPr>
            <w:r w:rsidRPr="00C80EFF">
              <w:rPr>
                <w:b/>
                <w:bCs/>
                <w:color w:val="000000"/>
              </w:rPr>
              <w:t>n</w:t>
            </w:r>
          </w:p>
        </w:tc>
        <w:tc>
          <w:tcPr>
            <w:tcW w:w="1800" w:type="dxa"/>
            <w:shd w:val="clear" w:color="auto" w:fill="E8E8E8"/>
            <w:vAlign w:val="center"/>
          </w:tcPr>
          <w:p w:rsidR="00016BF1" w:rsidRPr="00C80EFF" w:rsidRDefault="001414BE" w:rsidP="00C80EFF">
            <w:pPr>
              <w:spacing w:line="360" w:lineRule="auto"/>
              <w:jc w:val="center"/>
            </w:pPr>
            <w:r w:rsidRPr="00C80EFF">
              <w:rPr>
                <w:b/>
                <w:bCs/>
                <w:color w:val="000000"/>
              </w:rPr>
              <w:t>Percentage (%)</w:t>
            </w:r>
          </w:p>
        </w:tc>
      </w:tr>
      <w:tr w:rsidR="00016BF1" w:rsidRPr="00C80EFF">
        <w:tc>
          <w:tcPr>
            <w:tcW w:w="2400" w:type="dxa"/>
            <w:vAlign w:val="center"/>
          </w:tcPr>
          <w:p w:rsidR="00016BF1" w:rsidRPr="00C80EFF" w:rsidRDefault="001414BE" w:rsidP="00C80EFF">
            <w:pPr>
              <w:spacing w:line="360" w:lineRule="auto"/>
              <w:jc w:val="center"/>
            </w:pPr>
            <w:r w:rsidRPr="00C80EFF">
              <w:rPr>
                <w:color w:val="000000"/>
              </w:rPr>
              <w:t>Risk</w:t>
            </w:r>
          </w:p>
        </w:tc>
        <w:tc>
          <w:tcPr>
            <w:tcW w:w="3800" w:type="dxa"/>
            <w:vAlign w:val="center"/>
          </w:tcPr>
          <w:p w:rsidR="00016BF1" w:rsidRPr="00C80EFF" w:rsidRDefault="001414BE" w:rsidP="00C80EFF">
            <w:pPr>
              <w:spacing w:line="360" w:lineRule="auto"/>
              <w:jc w:val="center"/>
            </w:pPr>
            <w:r w:rsidRPr="00C80EFF">
              <w:rPr>
                <w:color w:val="000000"/>
              </w:rPr>
              <w:t>SCr increase ≥1.5x or UO &lt;0.5 mL/kg/h x6h</w:t>
            </w:r>
          </w:p>
        </w:tc>
        <w:tc>
          <w:tcPr>
            <w:tcW w:w="1600" w:type="dxa"/>
            <w:vAlign w:val="center"/>
          </w:tcPr>
          <w:p w:rsidR="00016BF1" w:rsidRPr="00C80EFF" w:rsidRDefault="001414BE" w:rsidP="00C80EFF">
            <w:pPr>
              <w:spacing w:line="360" w:lineRule="auto"/>
              <w:jc w:val="center"/>
            </w:pPr>
            <w:r w:rsidRPr="00C80EFF">
              <w:rPr>
                <w:color w:val="000000"/>
              </w:rPr>
              <w:t>88</w:t>
            </w:r>
          </w:p>
        </w:tc>
        <w:tc>
          <w:tcPr>
            <w:tcW w:w="1800" w:type="dxa"/>
            <w:vAlign w:val="center"/>
          </w:tcPr>
          <w:p w:rsidR="00016BF1" w:rsidRPr="00C80EFF" w:rsidRDefault="001414BE" w:rsidP="00C80EFF">
            <w:pPr>
              <w:spacing w:line="360" w:lineRule="auto"/>
              <w:jc w:val="center"/>
            </w:pPr>
            <w:r w:rsidRPr="00C80EFF">
              <w:rPr>
                <w:color w:val="000000"/>
              </w:rPr>
              <w:t>41.9</w:t>
            </w:r>
          </w:p>
        </w:tc>
      </w:tr>
      <w:tr w:rsidR="00016BF1" w:rsidRPr="00C80EFF">
        <w:tc>
          <w:tcPr>
            <w:tcW w:w="2400" w:type="dxa"/>
            <w:vAlign w:val="center"/>
          </w:tcPr>
          <w:p w:rsidR="00016BF1" w:rsidRPr="00C80EFF" w:rsidRDefault="001414BE" w:rsidP="00C80EFF">
            <w:pPr>
              <w:spacing w:line="360" w:lineRule="auto"/>
              <w:jc w:val="center"/>
            </w:pPr>
            <w:r w:rsidRPr="00C80EFF">
              <w:rPr>
                <w:color w:val="000000"/>
              </w:rPr>
              <w:t>Injury</w:t>
            </w:r>
          </w:p>
        </w:tc>
        <w:tc>
          <w:tcPr>
            <w:tcW w:w="3800" w:type="dxa"/>
            <w:vAlign w:val="center"/>
          </w:tcPr>
          <w:p w:rsidR="00016BF1" w:rsidRPr="00C80EFF" w:rsidRDefault="001414BE" w:rsidP="00C80EFF">
            <w:pPr>
              <w:spacing w:line="360" w:lineRule="auto"/>
              <w:jc w:val="center"/>
            </w:pPr>
            <w:r w:rsidRPr="00C80EFF">
              <w:rPr>
                <w:color w:val="000000"/>
              </w:rPr>
              <w:t>SCr increase ≥2x or UO &lt;0.5 mL/kg/h x12h</w:t>
            </w:r>
          </w:p>
        </w:tc>
        <w:tc>
          <w:tcPr>
            <w:tcW w:w="1600" w:type="dxa"/>
            <w:vAlign w:val="center"/>
          </w:tcPr>
          <w:p w:rsidR="00016BF1" w:rsidRPr="00C80EFF" w:rsidRDefault="001414BE" w:rsidP="00C80EFF">
            <w:pPr>
              <w:spacing w:line="360" w:lineRule="auto"/>
              <w:jc w:val="center"/>
            </w:pPr>
            <w:r w:rsidRPr="00C80EFF">
              <w:rPr>
                <w:color w:val="000000"/>
              </w:rPr>
              <w:t>76</w:t>
            </w:r>
          </w:p>
        </w:tc>
        <w:tc>
          <w:tcPr>
            <w:tcW w:w="1800" w:type="dxa"/>
            <w:vAlign w:val="center"/>
          </w:tcPr>
          <w:p w:rsidR="00016BF1" w:rsidRPr="00C80EFF" w:rsidRDefault="001414BE" w:rsidP="00C80EFF">
            <w:pPr>
              <w:spacing w:line="360" w:lineRule="auto"/>
              <w:jc w:val="center"/>
            </w:pPr>
            <w:r w:rsidRPr="00C80EFF">
              <w:rPr>
                <w:color w:val="000000"/>
              </w:rPr>
              <w:t>36.2</w:t>
            </w:r>
          </w:p>
        </w:tc>
      </w:tr>
      <w:tr w:rsidR="00016BF1" w:rsidRPr="00C80EFF">
        <w:tc>
          <w:tcPr>
            <w:tcW w:w="2400" w:type="dxa"/>
            <w:vAlign w:val="center"/>
          </w:tcPr>
          <w:p w:rsidR="00016BF1" w:rsidRPr="00C80EFF" w:rsidRDefault="001414BE" w:rsidP="00C80EFF">
            <w:pPr>
              <w:spacing w:line="360" w:lineRule="auto"/>
              <w:jc w:val="center"/>
            </w:pPr>
            <w:r w:rsidRPr="00C80EFF">
              <w:rPr>
                <w:color w:val="000000"/>
              </w:rPr>
              <w:t>Failure</w:t>
            </w:r>
          </w:p>
        </w:tc>
        <w:tc>
          <w:tcPr>
            <w:tcW w:w="3800" w:type="dxa"/>
            <w:vAlign w:val="center"/>
          </w:tcPr>
          <w:p w:rsidR="00016BF1" w:rsidRPr="00C80EFF" w:rsidRDefault="001414BE" w:rsidP="00C80EFF">
            <w:pPr>
              <w:spacing w:line="360" w:lineRule="auto"/>
              <w:jc w:val="center"/>
            </w:pPr>
            <w:r w:rsidRPr="00C80EFF">
              <w:rPr>
                <w:color w:val="000000"/>
              </w:rPr>
              <w:t>SCr increase ≥3x or UO &lt;0.3 mL/kg/h x24h</w:t>
            </w:r>
          </w:p>
        </w:tc>
        <w:tc>
          <w:tcPr>
            <w:tcW w:w="1600" w:type="dxa"/>
            <w:vAlign w:val="center"/>
          </w:tcPr>
          <w:p w:rsidR="00016BF1" w:rsidRPr="00C80EFF" w:rsidRDefault="001414BE" w:rsidP="00C80EFF">
            <w:pPr>
              <w:spacing w:line="360" w:lineRule="auto"/>
              <w:jc w:val="center"/>
            </w:pPr>
            <w:r w:rsidRPr="00C80EFF">
              <w:rPr>
                <w:color w:val="000000"/>
              </w:rPr>
              <w:t>46</w:t>
            </w:r>
          </w:p>
        </w:tc>
        <w:tc>
          <w:tcPr>
            <w:tcW w:w="1800" w:type="dxa"/>
            <w:vAlign w:val="center"/>
          </w:tcPr>
          <w:p w:rsidR="00016BF1" w:rsidRPr="00C80EFF" w:rsidRDefault="001414BE" w:rsidP="00C80EFF">
            <w:pPr>
              <w:spacing w:line="360" w:lineRule="auto"/>
              <w:jc w:val="center"/>
            </w:pPr>
            <w:r w:rsidRPr="00C80EFF">
              <w:rPr>
                <w:color w:val="000000"/>
              </w:rPr>
              <w:t>21.9</w:t>
            </w:r>
          </w:p>
        </w:tc>
      </w:tr>
      <w:tr w:rsidR="00016BF1" w:rsidRPr="00C80EFF">
        <w:tc>
          <w:tcPr>
            <w:tcW w:w="2400" w:type="dxa"/>
            <w:vAlign w:val="center"/>
          </w:tcPr>
          <w:p w:rsidR="00016BF1" w:rsidRPr="00C80EFF" w:rsidRDefault="001414BE" w:rsidP="00C80EFF">
            <w:pPr>
              <w:spacing w:line="360" w:lineRule="auto"/>
              <w:jc w:val="center"/>
            </w:pPr>
            <w:r w:rsidRPr="00C80EFF">
              <w:rPr>
                <w:color w:val="000000"/>
              </w:rPr>
              <w:t>Total</w:t>
            </w:r>
          </w:p>
        </w:tc>
        <w:tc>
          <w:tcPr>
            <w:tcW w:w="3800" w:type="dxa"/>
            <w:vAlign w:val="center"/>
          </w:tcPr>
          <w:p w:rsidR="00016BF1" w:rsidRPr="00C80EFF" w:rsidRDefault="001414BE" w:rsidP="00C80EFF">
            <w:pPr>
              <w:spacing w:line="360" w:lineRule="auto"/>
              <w:jc w:val="center"/>
            </w:pPr>
            <w:r w:rsidRPr="00C80EFF">
              <w:rPr>
                <w:color w:val="000000"/>
              </w:rPr>
              <w:t>—</w:t>
            </w:r>
          </w:p>
        </w:tc>
        <w:tc>
          <w:tcPr>
            <w:tcW w:w="1600" w:type="dxa"/>
            <w:vAlign w:val="center"/>
          </w:tcPr>
          <w:p w:rsidR="00016BF1" w:rsidRPr="00C80EFF" w:rsidRDefault="001414BE" w:rsidP="00C80EFF">
            <w:pPr>
              <w:spacing w:line="360" w:lineRule="auto"/>
              <w:jc w:val="center"/>
            </w:pPr>
            <w:r w:rsidRPr="00C80EFF">
              <w:rPr>
                <w:color w:val="000000"/>
              </w:rPr>
              <w:t>210</w:t>
            </w:r>
          </w:p>
        </w:tc>
        <w:tc>
          <w:tcPr>
            <w:tcW w:w="1800" w:type="dxa"/>
            <w:vAlign w:val="center"/>
          </w:tcPr>
          <w:p w:rsidR="00016BF1" w:rsidRPr="00C80EFF" w:rsidRDefault="001414BE" w:rsidP="00C80EFF">
            <w:pPr>
              <w:spacing w:line="360" w:lineRule="auto"/>
              <w:jc w:val="center"/>
            </w:pPr>
            <w:r w:rsidRPr="00C80EFF">
              <w:rPr>
                <w:color w:val="000000"/>
              </w:rPr>
              <w:t>100.0</w:t>
            </w:r>
          </w:p>
        </w:tc>
      </w:tr>
    </w:tbl>
    <w:p w:rsidR="00016BF1" w:rsidRPr="00C80EFF" w:rsidRDefault="00016BF1" w:rsidP="00C80EFF">
      <w:pPr>
        <w:spacing w:line="360" w:lineRule="auto"/>
        <w:jc w:val="center"/>
      </w:pPr>
    </w:p>
    <w:p w:rsidR="00016BF1" w:rsidRPr="00C80EFF" w:rsidRDefault="001414BE" w:rsidP="00C80EFF">
      <w:pPr>
        <w:spacing w:line="360" w:lineRule="auto"/>
        <w:jc w:val="both"/>
      </w:pPr>
      <w:r w:rsidRPr="00C80EFF">
        <w:rPr>
          <w:noProof/>
          <w:lang w:val="en-IN" w:eastAsia="en-IN"/>
        </w:rPr>
        <w:drawing>
          <wp:inline distT="0" distB="0" distL="0" distR="0" wp14:anchorId="24CB1D8E" wp14:editId="1F3987CF">
            <wp:extent cx="4000500" cy="3067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cstate="print"/>
                    <a:srcRect/>
                    <a:stretch>
                      <a:fillRect/>
                    </a:stretch>
                  </pic:blipFill>
                  <pic:spPr bwMode="auto">
                    <a:xfrm>
                      <a:off x="0" y="0"/>
                      <a:ext cx="4000500" cy="3067050"/>
                    </a:xfrm>
                    <a:prstGeom prst="rect">
                      <a:avLst/>
                    </a:prstGeom>
                  </pic:spPr>
                </pic:pic>
              </a:graphicData>
            </a:graphic>
          </wp:inline>
        </w:drawing>
      </w:r>
    </w:p>
    <w:p w:rsidR="00016BF1" w:rsidRPr="00C80EFF" w:rsidRDefault="001414BE" w:rsidP="00C80EFF">
      <w:pPr>
        <w:spacing w:line="360" w:lineRule="auto"/>
        <w:jc w:val="both"/>
      </w:pPr>
      <w:r w:rsidRPr="00C80EFF">
        <w:rPr>
          <w:color w:val="000000"/>
        </w:rPr>
        <w:t>Sepsis was the leading aetiology of AKI (32.4%), followed by hypovolaemia (27.6%) and nephrotoxic drug exposure (21.9%) (Table 3, Figure 3).</w:t>
      </w:r>
    </w:p>
    <w:p w:rsidR="00C80EFF" w:rsidRDefault="00C80EFF" w:rsidP="00C80EFF">
      <w:pPr>
        <w:spacing w:line="360" w:lineRule="auto"/>
        <w:jc w:val="both"/>
        <w:rPr>
          <w:b/>
          <w:bCs/>
          <w:color w:val="000000"/>
        </w:rPr>
      </w:pPr>
    </w:p>
    <w:p w:rsidR="00C80EFF" w:rsidRDefault="00C80EFF" w:rsidP="00C80EFF">
      <w:pPr>
        <w:spacing w:line="360" w:lineRule="auto"/>
        <w:jc w:val="both"/>
        <w:rPr>
          <w:b/>
          <w:bCs/>
          <w:color w:val="000000"/>
        </w:rPr>
      </w:pPr>
    </w:p>
    <w:p w:rsidR="00016BF1" w:rsidRPr="00C80EFF" w:rsidRDefault="001414BE" w:rsidP="00C80EFF">
      <w:pPr>
        <w:spacing w:line="360" w:lineRule="auto"/>
        <w:jc w:val="both"/>
      </w:pPr>
      <w:r w:rsidRPr="00C80EFF">
        <w:rPr>
          <w:b/>
          <w:bCs/>
          <w:color w:val="000000"/>
        </w:rPr>
        <w:t>Table 3: Aetiology of Acute Kidney Injury</w:t>
      </w:r>
    </w:p>
    <w:tbl>
      <w:tblPr>
        <w:tblW w:w="8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56"/>
        <w:gridCol w:w="1953"/>
        <w:gridCol w:w="1953"/>
      </w:tblGrid>
      <w:tr w:rsidR="00016BF1" w:rsidRPr="00C80EFF" w:rsidTr="00C80EFF">
        <w:trPr>
          <w:trHeight w:val="375"/>
          <w:tblHeader/>
        </w:trPr>
        <w:tc>
          <w:tcPr>
            <w:tcW w:w="4756" w:type="dxa"/>
            <w:shd w:val="clear" w:color="auto" w:fill="E8E8E8"/>
            <w:vAlign w:val="center"/>
          </w:tcPr>
          <w:p w:rsidR="00016BF1" w:rsidRPr="00C80EFF" w:rsidRDefault="001414BE" w:rsidP="00C80EFF">
            <w:pPr>
              <w:spacing w:line="360" w:lineRule="auto"/>
              <w:jc w:val="center"/>
            </w:pPr>
            <w:r w:rsidRPr="00C80EFF">
              <w:rPr>
                <w:b/>
                <w:bCs/>
                <w:color w:val="000000"/>
              </w:rPr>
              <w:t>Aetiology</w:t>
            </w:r>
          </w:p>
        </w:tc>
        <w:tc>
          <w:tcPr>
            <w:tcW w:w="1953" w:type="dxa"/>
            <w:shd w:val="clear" w:color="auto" w:fill="E8E8E8"/>
            <w:vAlign w:val="center"/>
          </w:tcPr>
          <w:p w:rsidR="00016BF1" w:rsidRPr="00C80EFF" w:rsidRDefault="001414BE" w:rsidP="00C80EFF">
            <w:pPr>
              <w:spacing w:line="360" w:lineRule="auto"/>
              <w:jc w:val="center"/>
            </w:pPr>
            <w:r w:rsidRPr="00C80EFF">
              <w:rPr>
                <w:b/>
                <w:bCs/>
                <w:color w:val="000000"/>
              </w:rPr>
              <w:t>n</w:t>
            </w:r>
          </w:p>
        </w:tc>
        <w:tc>
          <w:tcPr>
            <w:tcW w:w="1953" w:type="dxa"/>
            <w:shd w:val="clear" w:color="auto" w:fill="E8E8E8"/>
            <w:vAlign w:val="center"/>
          </w:tcPr>
          <w:p w:rsidR="00016BF1" w:rsidRPr="00C80EFF" w:rsidRDefault="001414BE" w:rsidP="00C80EFF">
            <w:pPr>
              <w:spacing w:line="360" w:lineRule="auto"/>
              <w:jc w:val="center"/>
            </w:pPr>
            <w:r w:rsidRPr="00C80EFF">
              <w:rPr>
                <w:b/>
                <w:bCs/>
                <w:color w:val="000000"/>
              </w:rPr>
              <w:t>Percentage (%)</w:t>
            </w:r>
          </w:p>
        </w:tc>
      </w:tr>
      <w:tr w:rsidR="00016BF1" w:rsidRPr="00C80EFF" w:rsidTr="00C80EFF">
        <w:trPr>
          <w:trHeight w:val="375"/>
        </w:trPr>
        <w:tc>
          <w:tcPr>
            <w:tcW w:w="4756" w:type="dxa"/>
            <w:vAlign w:val="center"/>
          </w:tcPr>
          <w:p w:rsidR="00016BF1" w:rsidRPr="00C80EFF" w:rsidRDefault="001414BE" w:rsidP="00C80EFF">
            <w:pPr>
              <w:spacing w:line="360" w:lineRule="auto"/>
              <w:jc w:val="center"/>
            </w:pPr>
            <w:r w:rsidRPr="00C80EFF">
              <w:rPr>
                <w:color w:val="000000"/>
              </w:rPr>
              <w:t>Sepsis</w:t>
            </w:r>
          </w:p>
        </w:tc>
        <w:tc>
          <w:tcPr>
            <w:tcW w:w="1953" w:type="dxa"/>
            <w:vAlign w:val="center"/>
          </w:tcPr>
          <w:p w:rsidR="00016BF1" w:rsidRPr="00C80EFF" w:rsidRDefault="001414BE" w:rsidP="00C80EFF">
            <w:pPr>
              <w:spacing w:line="360" w:lineRule="auto"/>
              <w:jc w:val="center"/>
            </w:pPr>
            <w:r w:rsidRPr="00C80EFF">
              <w:rPr>
                <w:color w:val="000000"/>
              </w:rPr>
              <w:t>68</w:t>
            </w:r>
          </w:p>
        </w:tc>
        <w:tc>
          <w:tcPr>
            <w:tcW w:w="1953" w:type="dxa"/>
            <w:vAlign w:val="center"/>
          </w:tcPr>
          <w:p w:rsidR="00016BF1" w:rsidRPr="00C80EFF" w:rsidRDefault="001414BE" w:rsidP="00C80EFF">
            <w:pPr>
              <w:spacing w:line="360" w:lineRule="auto"/>
              <w:jc w:val="center"/>
            </w:pPr>
            <w:r w:rsidRPr="00C80EFF">
              <w:rPr>
                <w:color w:val="000000"/>
              </w:rPr>
              <w:t>32.4</w:t>
            </w:r>
          </w:p>
        </w:tc>
      </w:tr>
      <w:tr w:rsidR="00016BF1" w:rsidRPr="00C80EFF" w:rsidTr="00C80EFF">
        <w:trPr>
          <w:trHeight w:val="362"/>
        </w:trPr>
        <w:tc>
          <w:tcPr>
            <w:tcW w:w="4756" w:type="dxa"/>
            <w:vAlign w:val="center"/>
          </w:tcPr>
          <w:p w:rsidR="00016BF1" w:rsidRPr="00C80EFF" w:rsidRDefault="001414BE" w:rsidP="00C80EFF">
            <w:pPr>
              <w:spacing w:line="360" w:lineRule="auto"/>
              <w:jc w:val="center"/>
            </w:pPr>
            <w:r w:rsidRPr="00C80EFF">
              <w:rPr>
                <w:color w:val="000000"/>
              </w:rPr>
              <w:t>Hypovolaemia</w:t>
            </w:r>
          </w:p>
        </w:tc>
        <w:tc>
          <w:tcPr>
            <w:tcW w:w="1953" w:type="dxa"/>
            <w:vAlign w:val="center"/>
          </w:tcPr>
          <w:p w:rsidR="00016BF1" w:rsidRPr="00C80EFF" w:rsidRDefault="001414BE" w:rsidP="00C80EFF">
            <w:pPr>
              <w:spacing w:line="360" w:lineRule="auto"/>
              <w:jc w:val="center"/>
            </w:pPr>
            <w:r w:rsidRPr="00C80EFF">
              <w:rPr>
                <w:color w:val="000000"/>
              </w:rPr>
              <w:t>58</w:t>
            </w:r>
          </w:p>
        </w:tc>
        <w:tc>
          <w:tcPr>
            <w:tcW w:w="1953" w:type="dxa"/>
            <w:vAlign w:val="center"/>
          </w:tcPr>
          <w:p w:rsidR="00016BF1" w:rsidRPr="00C80EFF" w:rsidRDefault="001414BE" w:rsidP="00C80EFF">
            <w:pPr>
              <w:spacing w:line="360" w:lineRule="auto"/>
              <w:jc w:val="center"/>
            </w:pPr>
            <w:r w:rsidRPr="00C80EFF">
              <w:rPr>
                <w:color w:val="000000"/>
              </w:rPr>
              <w:t>27.6</w:t>
            </w:r>
          </w:p>
        </w:tc>
      </w:tr>
      <w:tr w:rsidR="00016BF1" w:rsidRPr="00C80EFF" w:rsidTr="00C80EFF">
        <w:trPr>
          <w:trHeight w:val="375"/>
        </w:trPr>
        <w:tc>
          <w:tcPr>
            <w:tcW w:w="4756" w:type="dxa"/>
            <w:vAlign w:val="center"/>
          </w:tcPr>
          <w:p w:rsidR="00016BF1" w:rsidRPr="00C80EFF" w:rsidRDefault="001414BE" w:rsidP="00C80EFF">
            <w:pPr>
              <w:spacing w:line="360" w:lineRule="auto"/>
              <w:jc w:val="center"/>
            </w:pPr>
            <w:r w:rsidRPr="00C80EFF">
              <w:rPr>
                <w:color w:val="000000"/>
              </w:rPr>
              <w:t>Nephrotoxic drugs</w:t>
            </w:r>
          </w:p>
        </w:tc>
        <w:tc>
          <w:tcPr>
            <w:tcW w:w="1953" w:type="dxa"/>
            <w:vAlign w:val="center"/>
          </w:tcPr>
          <w:p w:rsidR="00016BF1" w:rsidRPr="00C80EFF" w:rsidRDefault="001414BE" w:rsidP="00C80EFF">
            <w:pPr>
              <w:spacing w:line="360" w:lineRule="auto"/>
              <w:jc w:val="center"/>
            </w:pPr>
            <w:r w:rsidRPr="00C80EFF">
              <w:rPr>
                <w:color w:val="000000"/>
              </w:rPr>
              <w:t>46</w:t>
            </w:r>
          </w:p>
        </w:tc>
        <w:tc>
          <w:tcPr>
            <w:tcW w:w="1953" w:type="dxa"/>
            <w:vAlign w:val="center"/>
          </w:tcPr>
          <w:p w:rsidR="00016BF1" w:rsidRPr="00C80EFF" w:rsidRDefault="001414BE" w:rsidP="00C80EFF">
            <w:pPr>
              <w:spacing w:line="360" w:lineRule="auto"/>
              <w:jc w:val="center"/>
            </w:pPr>
            <w:r w:rsidRPr="00C80EFF">
              <w:rPr>
                <w:color w:val="000000"/>
              </w:rPr>
              <w:t>21.9</w:t>
            </w:r>
          </w:p>
        </w:tc>
      </w:tr>
      <w:tr w:rsidR="00016BF1" w:rsidRPr="00C80EFF" w:rsidTr="00C80EFF">
        <w:trPr>
          <w:trHeight w:val="362"/>
        </w:trPr>
        <w:tc>
          <w:tcPr>
            <w:tcW w:w="4756" w:type="dxa"/>
            <w:vAlign w:val="center"/>
          </w:tcPr>
          <w:p w:rsidR="00016BF1" w:rsidRPr="00C80EFF" w:rsidRDefault="001414BE" w:rsidP="00C80EFF">
            <w:pPr>
              <w:spacing w:line="360" w:lineRule="auto"/>
              <w:jc w:val="center"/>
            </w:pPr>
            <w:r w:rsidRPr="00C80EFF">
              <w:rPr>
                <w:color w:val="000000"/>
              </w:rPr>
              <w:t>Obstructive uropathy</w:t>
            </w:r>
          </w:p>
        </w:tc>
        <w:tc>
          <w:tcPr>
            <w:tcW w:w="1953" w:type="dxa"/>
            <w:vAlign w:val="center"/>
          </w:tcPr>
          <w:p w:rsidR="00016BF1" w:rsidRPr="00C80EFF" w:rsidRDefault="001414BE" w:rsidP="00C80EFF">
            <w:pPr>
              <w:spacing w:line="360" w:lineRule="auto"/>
              <w:jc w:val="center"/>
            </w:pPr>
            <w:r w:rsidRPr="00C80EFF">
              <w:rPr>
                <w:color w:val="000000"/>
              </w:rPr>
              <w:t>22</w:t>
            </w:r>
          </w:p>
        </w:tc>
        <w:tc>
          <w:tcPr>
            <w:tcW w:w="1953" w:type="dxa"/>
            <w:vAlign w:val="center"/>
          </w:tcPr>
          <w:p w:rsidR="00016BF1" w:rsidRPr="00C80EFF" w:rsidRDefault="001414BE" w:rsidP="00C80EFF">
            <w:pPr>
              <w:spacing w:line="360" w:lineRule="auto"/>
              <w:jc w:val="center"/>
            </w:pPr>
            <w:r w:rsidRPr="00C80EFF">
              <w:rPr>
                <w:color w:val="000000"/>
              </w:rPr>
              <w:t>10.5</w:t>
            </w:r>
          </w:p>
        </w:tc>
      </w:tr>
      <w:tr w:rsidR="00016BF1" w:rsidRPr="00C80EFF" w:rsidTr="00C80EFF">
        <w:trPr>
          <w:trHeight w:val="388"/>
        </w:trPr>
        <w:tc>
          <w:tcPr>
            <w:tcW w:w="4756" w:type="dxa"/>
            <w:vAlign w:val="center"/>
          </w:tcPr>
          <w:p w:rsidR="00016BF1" w:rsidRPr="00C80EFF" w:rsidRDefault="001414BE" w:rsidP="00C80EFF">
            <w:pPr>
              <w:spacing w:line="360" w:lineRule="auto"/>
              <w:jc w:val="center"/>
            </w:pPr>
            <w:r w:rsidRPr="00C80EFF">
              <w:rPr>
                <w:color w:val="000000"/>
              </w:rPr>
              <w:t>Contrast-induced</w:t>
            </w:r>
          </w:p>
        </w:tc>
        <w:tc>
          <w:tcPr>
            <w:tcW w:w="1953" w:type="dxa"/>
            <w:vAlign w:val="center"/>
          </w:tcPr>
          <w:p w:rsidR="00016BF1" w:rsidRPr="00C80EFF" w:rsidRDefault="001414BE" w:rsidP="00C80EFF">
            <w:pPr>
              <w:spacing w:line="360" w:lineRule="auto"/>
              <w:jc w:val="center"/>
            </w:pPr>
            <w:r w:rsidRPr="00C80EFF">
              <w:rPr>
                <w:color w:val="000000"/>
              </w:rPr>
              <w:t>16</w:t>
            </w:r>
          </w:p>
        </w:tc>
        <w:tc>
          <w:tcPr>
            <w:tcW w:w="1953" w:type="dxa"/>
            <w:vAlign w:val="center"/>
          </w:tcPr>
          <w:p w:rsidR="00016BF1" w:rsidRPr="00C80EFF" w:rsidRDefault="001414BE" w:rsidP="00C80EFF">
            <w:pPr>
              <w:spacing w:line="360" w:lineRule="auto"/>
              <w:jc w:val="center"/>
            </w:pPr>
            <w:r w:rsidRPr="00C80EFF">
              <w:rPr>
                <w:color w:val="000000"/>
              </w:rPr>
              <w:t>7.6</w:t>
            </w:r>
          </w:p>
        </w:tc>
      </w:tr>
    </w:tbl>
    <w:p w:rsidR="00016BF1" w:rsidRPr="00C80EFF" w:rsidRDefault="00016BF1" w:rsidP="00C80EFF">
      <w:pPr>
        <w:spacing w:line="360" w:lineRule="auto"/>
        <w:jc w:val="both"/>
      </w:pPr>
    </w:p>
    <w:p w:rsidR="00016BF1" w:rsidRPr="00C80EFF" w:rsidRDefault="001414BE" w:rsidP="00C80EFF">
      <w:pPr>
        <w:spacing w:line="360" w:lineRule="auto"/>
        <w:jc w:val="both"/>
      </w:pPr>
      <w:r w:rsidRPr="00C80EFF">
        <w:rPr>
          <w:noProof/>
          <w:lang w:val="en-IN" w:eastAsia="en-IN"/>
        </w:rPr>
        <w:drawing>
          <wp:inline distT="0" distB="0" distL="0" distR="0" wp14:anchorId="7D1BE504" wp14:editId="322DBBF8">
            <wp:extent cx="4572000" cy="2781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srcRect/>
                    <a:stretch>
                      <a:fillRect/>
                    </a:stretch>
                  </pic:blipFill>
                  <pic:spPr bwMode="auto">
                    <a:xfrm>
                      <a:off x="0" y="0"/>
                      <a:ext cx="4572000" cy="2781300"/>
                    </a:xfrm>
                    <a:prstGeom prst="rect">
                      <a:avLst/>
                    </a:prstGeom>
                  </pic:spPr>
                </pic:pic>
              </a:graphicData>
            </a:graphic>
          </wp:inline>
        </w:drawing>
      </w:r>
    </w:p>
    <w:p w:rsidR="00016BF1" w:rsidRPr="00C80EFF" w:rsidRDefault="001414BE" w:rsidP="00C80EFF">
      <w:pPr>
        <w:spacing w:line="360" w:lineRule="auto"/>
        <w:jc w:val="both"/>
      </w:pPr>
      <w:r w:rsidRPr="00C80EFF">
        <w:rPr>
          <w:color w:val="000000"/>
        </w:rPr>
        <w:t>In-hospital mortality increased markedly with RIFLE severity, from 9.1% in the Risk category to 45.7% in the Failure category, giving an overall mortality of 21.9% (Table 4, Figure 4).</w:t>
      </w:r>
    </w:p>
    <w:p w:rsidR="00016BF1" w:rsidRPr="00C80EFF" w:rsidRDefault="001414BE" w:rsidP="00C80EFF">
      <w:pPr>
        <w:spacing w:line="360" w:lineRule="auto"/>
        <w:jc w:val="both"/>
      </w:pPr>
      <w:r w:rsidRPr="00C80EFF">
        <w:rPr>
          <w:b/>
          <w:bCs/>
          <w:color w:val="000000"/>
        </w:rPr>
        <w:t>Table 4: In-hospital Mortality by RIFLE Category</w:t>
      </w:r>
    </w:p>
    <w:tbl>
      <w:tblPr>
        <w:tblW w:w="8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32"/>
        <w:gridCol w:w="2025"/>
        <w:gridCol w:w="2025"/>
        <w:gridCol w:w="1857"/>
      </w:tblGrid>
      <w:tr w:rsidR="00016BF1" w:rsidRPr="00C80EFF" w:rsidTr="00C80EFF">
        <w:trPr>
          <w:trHeight w:val="1018"/>
          <w:tblHeader/>
        </w:trPr>
        <w:tc>
          <w:tcPr>
            <w:tcW w:w="2532" w:type="dxa"/>
            <w:shd w:val="clear" w:color="auto" w:fill="E8E8E8"/>
            <w:vAlign w:val="center"/>
          </w:tcPr>
          <w:p w:rsidR="00016BF1" w:rsidRPr="00C80EFF" w:rsidRDefault="001414BE" w:rsidP="00C80EFF">
            <w:pPr>
              <w:spacing w:line="360" w:lineRule="auto"/>
              <w:jc w:val="center"/>
            </w:pPr>
            <w:r w:rsidRPr="00C80EFF">
              <w:rPr>
                <w:b/>
                <w:bCs/>
                <w:color w:val="000000"/>
              </w:rPr>
              <w:t>RIFLE Category</w:t>
            </w:r>
          </w:p>
        </w:tc>
        <w:tc>
          <w:tcPr>
            <w:tcW w:w="2025" w:type="dxa"/>
            <w:shd w:val="clear" w:color="auto" w:fill="E8E8E8"/>
            <w:vAlign w:val="center"/>
          </w:tcPr>
          <w:p w:rsidR="00016BF1" w:rsidRPr="00C80EFF" w:rsidRDefault="001414BE" w:rsidP="00C80EFF">
            <w:pPr>
              <w:spacing w:line="360" w:lineRule="auto"/>
              <w:jc w:val="center"/>
            </w:pPr>
            <w:r w:rsidRPr="00C80EFF">
              <w:rPr>
                <w:b/>
                <w:bCs/>
                <w:color w:val="000000"/>
              </w:rPr>
              <w:t>Total (n)</w:t>
            </w:r>
          </w:p>
        </w:tc>
        <w:tc>
          <w:tcPr>
            <w:tcW w:w="2025" w:type="dxa"/>
            <w:shd w:val="clear" w:color="auto" w:fill="E8E8E8"/>
            <w:vAlign w:val="center"/>
          </w:tcPr>
          <w:p w:rsidR="00016BF1" w:rsidRPr="00C80EFF" w:rsidRDefault="001414BE" w:rsidP="00C80EFF">
            <w:pPr>
              <w:spacing w:line="360" w:lineRule="auto"/>
              <w:jc w:val="center"/>
            </w:pPr>
            <w:r w:rsidRPr="00C80EFF">
              <w:rPr>
                <w:b/>
                <w:bCs/>
                <w:color w:val="000000"/>
              </w:rPr>
              <w:t>Deaths, n (%)</w:t>
            </w:r>
          </w:p>
        </w:tc>
        <w:tc>
          <w:tcPr>
            <w:tcW w:w="1857" w:type="dxa"/>
            <w:shd w:val="clear" w:color="auto" w:fill="E8E8E8"/>
            <w:vAlign w:val="center"/>
          </w:tcPr>
          <w:p w:rsidR="00016BF1" w:rsidRPr="00C80EFF" w:rsidRDefault="001414BE" w:rsidP="00C80EFF">
            <w:pPr>
              <w:spacing w:line="360" w:lineRule="auto"/>
              <w:jc w:val="center"/>
            </w:pPr>
            <w:r w:rsidRPr="00C80EFF">
              <w:rPr>
                <w:b/>
                <w:bCs/>
                <w:color w:val="000000"/>
              </w:rPr>
              <w:t>In-hospital Mortality (%)</w:t>
            </w:r>
          </w:p>
        </w:tc>
      </w:tr>
      <w:tr w:rsidR="00016BF1" w:rsidRPr="00C80EFF" w:rsidTr="00C80EFF">
        <w:trPr>
          <w:trHeight w:val="492"/>
        </w:trPr>
        <w:tc>
          <w:tcPr>
            <w:tcW w:w="2532" w:type="dxa"/>
            <w:vAlign w:val="center"/>
          </w:tcPr>
          <w:p w:rsidR="00016BF1" w:rsidRPr="00C80EFF" w:rsidRDefault="001414BE" w:rsidP="00C80EFF">
            <w:pPr>
              <w:spacing w:line="360" w:lineRule="auto"/>
              <w:jc w:val="center"/>
            </w:pPr>
            <w:r w:rsidRPr="00C80EFF">
              <w:rPr>
                <w:color w:val="000000"/>
              </w:rPr>
              <w:t>Risk</w:t>
            </w:r>
          </w:p>
        </w:tc>
        <w:tc>
          <w:tcPr>
            <w:tcW w:w="2025" w:type="dxa"/>
            <w:vAlign w:val="center"/>
          </w:tcPr>
          <w:p w:rsidR="00016BF1" w:rsidRPr="00C80EFF" w:rsidRDefault="001414BE" w:rsidP="00C80EFF">
            <w:pPr>
              <w:spacing w:line="360" w:lineRule="auto"/>
              <w:jc w:val="center"/>
            </w:pPr>
            <w:r w:rsidRPr="00C80EFF">
              <w:rPr>
                <w:color w:val="000000"/>
              </w:rPr>
              <w:t>88</w:t>
            </w:r>
          </w:p>
        </w:tc>
        <w:tc>
          <w:tcPr>
            <w:tcW w:w="2025" w:type="dxa"/>
            <w:vAlign w:val="center"/>
          </w:tcPr>
          <w:p w:rsidR="00016BF1" w:rsidRPr="00C80EFF" w:rsidRDefault="001414BE" w:rsidP="00C80EFF">
            <w:pPr>
              <w:spacing w:line="360" w:lineRule="auto"/>
              <w:jc w:val="center"/>
            </w:pPr>
            <w:r w:rsidRPr="00C80EFF">
              <w:rPr>
                <w:color w:val="000000"/>
              </w:rPr>
              <w:t>8 (9.1)</w:t>
            </w:r>
          </w:p>
        </w:tc>
        <w:tc>
          <w:tcPr>
            <w:tcW w:w="1857" w:type="dxa"/>
            <w:vAlign w:val="center"/>
          </w:tcPr>
          <w:p w:rsidR="00016BF1" w:rsidRPr="00C80EFF" w:rsidRDefault="001414BE" w:rsidP="00C80EFF">
            <w:pPr>
              <w:spacing w:line="360" w:lineRule="auto"/>
              <w:jc w:val="center"/>
            </w:pPr>
            <w:r w:rsidRPr="00C80EFF">
              <w:rPr>
                <w:color w:val="000000"/>
              </w:rPr>
              <w:t>9.1</w:t>
            </w:r>
          </w:p>
        </w:tc>
      </w:tr>
      <w:tr w:rsidR="00016BF1" w:rsidRPr="00C80EFF" w:rsidTr="00C80EFF">
        <w:trPr>
          <w:trHeight w:val="509"/>
        </w:trPr>
        <w:tc>
          <w:tcPr>
            <w:tcW w:w="2532" w:type="dxa"/>
            <w:vAlign w:val="center"/>
          </w:tcPr>
          <w:p w:rsidR="00016BF1" w:rsidRPr="00C80EFF" w:rsidRDefault="001414BE" w:rsidP="00C80EFF">
            <w:pPr>
              <w:spacing w:line="360" w:lineRule="auto"/>
              <w:jc w:val="center"/>
            </w:pPr>
            <w:r w:rsidRPr="00C80EFF">
              <w:rPr>
                <w:color w:val="000000"/>
              </w:rPr>
              <w:t>Injury</w:t>
            </w:r>
          </w:p>
        </w:tc>
        <w:tc>
          <w:tcPr>
            <w:tcW w:w="2025" w:type="dxa"/>
            <w:vAlign w:val="center"/>
          </w:tcPr>
          <w:p w:rsidR="00016BF1" w:rsidRPr="00C80EFF" w:rsidRDefault="001414BE" w:rsidP="00C80EFF">
            <w:pPr>
              <w:spacing w:line="360" w:lineRule="auto"/>
              <w:jc w:val="center"/>
            </w:pPr>
            <w:r w:rsidRPr="00C80EFF">
              <w:rPr>
                <w:color w:val="000000"/>
              </w:rPr>
              <w:t>76</w:t>
            </w:r>
          </w:p>
        </w:tc>
        <w:tc>
          <w:tcPr>
            <w:tcW w:w="2025" w:type="dxa"/>
            <w:vAlign w:val="center"/>
          </w:tcPr>
          <w:p w:rsidR="00016BF1" w:rsidRPr="00C80EFF" w:rsidRDefault="001414BE" w:rsidP="00C80EFF">
            <w:pPr>
              <w:spacing w:line="360" w:lineRule="auto"/>
              <w:jc w:val="center"/>
            </w:pPr>
            <w:r w:rsidRPr="00C80EFF">
              <w:rPr>
                <w:color w:val="000000"/>
              </w:rPr>
              <w:t>17 (22.4)</w:t>
            </w:r>
          </w:p>
        </w:tc>
        <w:tc>
          <w:tcPr>
            <w:tcW w:w="1857" w:type="dxa"/>
            <w:vAlign w:val="center"/>
          </w:tcPr>
          <w:p w:rsidR="00016BF1" w:rsidRPr="00C80EFF" w:rsidRDefault="001414BE" w:rsidP="00C80EFF">
            <w:pPr>
              <w:spacing w:line="360" w:lineRule="auto"/>
              <w:jc w:val="center"/>
            </w:pPr>
            <w:r w:rsidRPr="00C80EFF">
              <w:rPr>
                <w:color w:val="000000"/>
              </w:rPr>
              <w:t>22.4</w:t>
            </w:r>
          </w:p>
        </w:tc>
      </w:tr>
      <w:tr w:rsidR="00016BF1" w:rsidRPr="00C80EFF" w:rsidTr="00C80EFF">
        <w:trPr>
          <w:trHeight w:val="492"/>
        </w:trPr>
        <w:tc>
          <w:tcPr>
            <w:tcW w:w="2532" w:type="dxa"/>
            <w:vAlign w:val="center"/>
          </w:tcPr>
          <w:p w:rsidR="00016BF1" w:rsidRPr="00C80EFF" w:rsidRDefault="001414BE" w:rsidP="00C80EFF">
            <w:pPr>
              <w:spacing w:line="360" w:lineRule="auto"/>
              <w:jc w:val="center"/>
            </w:pPr>
            <w:r w:rsidRPr="00C80EFF">
              <w:rPr>
                <w:color w:val="000000"/>
              </w:rPr>
              <w:t>Failure</w:t>
            </w:r>
          </w:p>
        </w:tc>
        <w:tc>
          <w:tcPr>
            <w:tcW w:w="2025" w:type="dxa"/>
            <w:vAlign w:val="center"/>
          </w:tcPr>
          <w:p w:rsidR="00016BF1" w:rsidRPr="00C80EFF" w:rsidRDefault="001414BE" w:rsidP="00C80EFF">
            <w:pPr>
              <w:spacing w:line="360" w:lineRule="auto"/>
              <w:jc w:val="center"/>
            </w:pPr>
            <w:r w:rsidRPr="00C80EFF">
              <w:rPr>
                <w:color w:val="000000"/>
              </w:rPr>
              <w:t>46</w:t>
            </w:r>
          </w:p>
        </w:tc>
        <w:tc>
          <w:tcPr>
            <w:tcW w:w="2025" w:type="dxa"/>
            <w:vAlign w:val="center"/>
          </w:tcPr>
          <w:p w:rsidR="00016BF1" w:rsidRPr="00C80EFF" w:rsidRDefault="001414BE" w:rsidP="00C80EFF">
            <w:pPr>
              <w:spacing w:line="360" w:lineRule="auto"/>
              <w:jc w:val="center"/>
            </w:pPr>
            <w:r w:rsidRPr="00C80EFF">
              <w:rPr>
                <w:color w:val="000000"/>
              </w:rPr>
              <w:t>21 (45.7)</w:t>
            </w:r>
          </w:p>
        </w:tc>
        <w:tc>
          <w:tcPr>
            <w:tcW w:w="1857" w:type="dxa"/>
            <w:vAlign w:val="center"/>
          </w:tcPr>
          <w:p w:rsidR="00016BF1" w:rsidRPr="00C80EFF" w:rsidRDefault="001414BE" w:rsidP="00C80EFF">
            <w:pPr>
              <w:spacing w:line="360" w:lineRule="auto"/>
              <w:jc w:val="center"/>
            </w:pPr>
            <w:r w:rsidRPr="00C80EFF">
              <w:rPr>
                <w:color w:val="000000"/>
              </w:rPr>
              <w:t>45.7</w:t>
            </w:r>
          </w:p>
        </w:tc>
      </w:tr>
      <w:tr w:rsidR="00016BF1" w:rsidRPr="00C80EFF" w:rsidTr="00C80EFF">
        <w:trPr>
          <w:trHeight w:val="527"/>
        </w:trPr>
        <w:tc>
          <w:tcPr>
            <w:tcW w:w="2532" w:type="dxa"/>
            <w:vAlign w:val="center"/>
          </w:tcPr>
          <w:p w:rsidR="00016BF1" w:rsidRPr="00C80EFF" w:rsidRDefault="001414BE" w:rsidP="00C80EFF">
            <w:pPr>
              <w:spacing w:line="360" w:lineRule="auto"/>
              <w:jc w:val="center"/>
            </w:pPr>
            <w:r w:rsidRPr="00C80EFF">
              <w:rPr>
                <w:color w:val="000000"/>
              </w:rPr>
              <w:t>Total</w:t>
            </w:r>
          </w:p>
        </w:tc>
        <w:tc>
          <w:tcPr>
            <w:tcW w:w="2025" w:type="dxa"/>
            <w:vAlign w:val="center"/>
          </w:tcPr>
          <w:p w:rsidR="00016BF1" w:rsidRPr="00C80EFF" w:rsidRDefault="001414BE" w:rsidP="00C80EFF">
            <w:pPr>
              <w:spacing w:line="360" w:lineRule="auto"/>
              <w:jc w:val="center"/>
            </w:pPr>
            <w:r w:rsidRPr="00C80EFF">
              <w:rPr>
                <w:color w:val="000000"/>
              </w:rPr>
              <w:t>210</w:t>
            </w:r>
          </w:p>
        </w:tc>
        <w:tc>
          <w:tcPr>
            <w:tcW w:w="2025" w:type="dxa"/>
            <w:vAlign w:val="center"/>
          </w:tcPr>
          <w:p w:rsidR="00016BF1" w:rsidRPr="00C80EFF" w:rsidRDefault="001414BE" w:rsidP="00C80EFF">
            <w:pPr>
              <w:spacing w:line="360" w:lineRule="auto"/>
              <w:jc w:val="center"/>
            </w:pPr>
            <w:r w:rsidRPr="00C80EFF">
              <w:rPr>
                <w:color w:val="000000"/>
              </w:rPr>
              <w:t>46 (21.9)</w:t>
            </w:r>
          </w:p>
        </w:tc>
        <w:tc>
          <w:tcPr>
            <w:tcW w:w="1857" w:type="dxa"/>
            <w:vAlign w:val="center"/>
          </w:tcPr>
          <w:p w:rsidR="00016BF1" w:rsidRPr="00C80EFF" w:rsidRDefault="001414BE" w:rsidP="00C80EFF">
            <w:pPr>
              <w:spacing w:line="360" w:lineRule="auto"/>
              <w:jc w:val="center"/>
            </w:pPr>
            <w:r w:rsidRPr="00C80EFF">
              <w:rPr>
                <w:color w:val="000000"/>
              </w:rPr>
              <w:t>21.9</w:t>
            </w:r>
          </w:p>
        </w:tc>
      </w:tr>
    </w:tbl>
    <w:p w:rsidR="00016BF1" w:rsidRPr="00C80EFF" w:rsidRDefault="00016BF1" w:rsidP="00C80EFF">
      <w:pPr>
        <w:spacing w:line="360" w:lineRule="auto"/>
        <w:jc w:val="both"/>
      </w:pPr>
    </w:p>
    <w:p w:rsidR="00016BF1" w:rsidRPr="00C80EFF" w:rsidRDefault="001414BE" w:rsidP="00C80EFF">
      <w:pPr>
        <w:spacing w:line="360" w:lineRule="auto"/>
        <w:jc w:val="both"/>
      </w:pPr>
      <w:r w:rsidRPr="00C80EFF">
        <w:rPr>
          <w:noProof/>
          <w:lang w:val="en-IN" w:eastAsia="en-IN"/>
        </w:rPr>
        <w:drawing>
          <wp:inline distT="0" distB="0" distL="0" distR="0" wp14:anchorId="1F90FA21" wp14:editId="17D88015">
            <wp:extent cx="4191000" cy="2743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print"/>
                    <a:srcRect/>
                    <a:stretch>
                      <a:fillRect/>
                    </a:stretch>
                  </pic:blipFill>
                  <pic:spPr bwMode="auto">
                    <a:xfrm>
                      <a:off x="0" y="0"/>
                      <a:ext cx="4191000" cy="2743200"/>
                    </a:xfrm>
                    <a:prstGeom prst="rect">
                      <a:avLst/>
                    </a:prstGeom>
                  </pic:spPr>
                </pic:pic>
              </a:graphicData>
            </a:graphic>
          </wp:inline>
        </w:drawing>
      </w:r>
    </w:p>
    <w:p w:rsidR="00016BF1" w:rsidRPr="00C80EFF" w:rsidRDefault="001414BE" w:rsidP="00C80EFF">
      <w:pPr>
        <w:spacing w:line="360" w:lineRule="auto"/>
        <w:jc w:val="both"/>
      </w:pPr>
      <w:r w:rsidRPr="00C80EFF">
        <w:rPr>
          <w:color w:val="000000"/>
        </w:rPr>
        <w:t>Overall, 51.4% of patients achieved complete renal recovery, 26.7% had partial recovery with residual dysfunction, and 21.9% died during hospitalisation (Table 5).</w:t>
      </w:r>
    </w:p>
    <w:p w:rsidR="00016BF1" w:rsidRPr="00C80EFF" w:rsidRDefault="001414BE" w:rsidP="00C80EFF">
      <w:pPr>
        <w:spacing w:line="360" w:lineRule="auto"/>
        <w:jc w:val="both"/>
      </w:pPr>
      <w:r w:rsidRPr="00C80EFF">
        <w:rPr>
          <w:b/>
          <w:bCs/>
          <w:color w:val="000000"/>
        </w:rPr>
        <w:t>Table 5: Overall Renal Outcome of Study Participants</w:t>
      </w:r>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967"/>
        <w:gridCol w:w="2040"/>
        <w:gridCol w:w="2040"/>
      </w:tblGrid>
      <w:tr w:rsidR="00016BF1" w:rsidRPr="00C80EFF" w:rsidTr="00C80EFF">
        <w:trPr>
          <w:trHeight w:val="494"/>
          <w:tblHeader/>
        </w:trPr>
        <w:tc>
          <w:tcPr>
            <w:tcW w:w="4967" w:type="dxa"/>
            <w:shd w:val="clear" w:color="auto" w:fill="E8E8E8"/>
            <w:vAlign w:val="center"/>
          </w:tcPr>
          <w:p w:rsidR="00016BF1" w:rsidRPr="00C80EFF" w:rsidRDefault="001414BE" w:rsidP="00C80EFF">
            <w:pPr>
              <w:spacing w:line="360" w:lineRule="auto"/>
              <w:jc w:val="center"/>
            </w:pPr>
            <w:r w:rsidRPr="00C80EFF">
              <w:rPr>
                <w:b/>
                <w:bCs/>
                <w:color w:val="000000"/>
              </w:rPr>
              <w:t>Outcome</w:t>
            </w:r>
          </w:p>
        </w:tc>
        <w:tc>
          <w:tcPr>
            <w:tcW w:w="2040" w:type="dxa"/>
            <w:shd w:val="clear" w:color="auto" w:fill="E8E8E8"/>
            <w:vAlign w:val="center"/>
          </w:tcPr>
          <w:p w:rsidR="00016BF1" w:rsidRPr="00C80EFF" w:rsidRDefault="001414BE" w:rsidP="00C80EFF">
            <w:pPr>
              <w:spacing w:line="360" w:lineRule="auto"/>
              <w:jc w:val="center"/>
            </w:pPr>
            <w:r w:rsidRPr="00C80EFF">
              <w:rPr>
                <w:b/>
                <w:bCs/>
                <w:color w:val="000000"/>
              </w:rPr>
              <w:t>n</w:t>
            </w:r>
          </w:p>
        </w:tc>
        <w:tc>
          <w:tcPr>
            <w:tcW w:w="2040" w:type="dxa"/>
            <w:shd w:val="clear" w:color="auto" w:fill="E8E8E8"/>
            <w:vAlign w:val="center"/>
          </w:tcPr>
          <w:p w:rsidR="00016BF1" w:rsidRPr="00C80EFF" w:rsidRDefault="001414BE" w:rsidP="00C80EFF">
            <w:pPr>
              <w:spacing w:line="360" w:lineRule="auto"/>
              <w:jc w:val="center"/>
            </w:pPr>
            <w:r w:rsidRPr="00C80EFF">
              <w:rPr>
                <w:b/>
                <w:bCs/>
                <w:color w:val="000000"/>
              </w:rPr>
              <w:t>Percentage (%)</w:t>
            </w:r>
          </w:p>
        </w:tc>
      </w:tr>
      <w:tr w:rsidR="00016BF1" w:rsidRPr="00C80EFF" w:rsidTr="00C80EFF">
        <w:trPr>
          <w:trHeight w:val="494"/>
        </w:trPr>
        <w:tc>
          <w:tcPr>
            <w:tcW w:w="4967" w:type="dxa"/>
            <w:vAlign w:val="center"/>
          </w:tcPr>
          <w:p w:rsidR="00016BF1" w:rsidRPr="00C80EFF" w:rsidRDefault="001414BE" w:rsidP="00C80EFF">
            <w:pPr>
              <w:spacing w:line="360" w:lineRule="auto"/>
              <w:jc w:val="center"/>
            </w:pPr>
            <w:r w:rsidRPr="00C80EFF">
              <w:rPr>
                <w:color w:val="000000"/>
              </w:rPr>
              <w:t>Complete renal recovery</w:t>
            </w:r>
          </w:p>
        </w:tc>
        <w:tc>
          <w:tcPr>
            <w:tcW w:w="2040" w:type="dxa"/>
            <w:vAlign w:val="center"/>
          </w:tcPr>
          <w:p w:rsidR="00016BF1" w:rsidRPr="00C80EFF" w:rsidRDefault="001414BE" w:rsidP="00C80EFF">
            <w:pPr>
              <w:spacing w:line="360" w:lineRule="auto"/>
              <w:jc w:val="center"/>
            </w:pPr>
            <w:r w:rsidRPr="00C80EFF">
              <w:rPr>
                <w:color w:val="000000"/>
              </w:rPr>
              <w:t>108</w:t>
            </w:r>
          </w:p>
        </w:tc>
        <w:tc>
          <w:tcPr>
            <w:tcW w:w="2040" w:type="dxa"/>
            <w:vAlign w:val="center"/>
          </w:tcPr>
          <w:p w:rsidR="00016BF1" w:rsidRPr="00C80EFF" w:rsidRDefault="001414BE" w:rsidP="00C80EFF">
            <w:pPr>
              <w:spacing w:line="360" w:lineRule="auto"/>
              <w:jc w:val="center"/>
            </w:pPr>
            <w:r w:rsidRPr="00C80EFF">
              <w:rPr>
                <w:color w:val="000000"/>
              </w:rPr>
              <w:t>51.4</w:t>
            </w:r>
          </w:p>
        </w:tc>
      </w:tr>
      <w:tr w:rsidR="00016BF1" w:rsidRPr="00C80EFF" w:rsidTr="00C80EFF">
        <w:trPr>
          <w:trHeight w:val="477"/>
        </w:trPr>
        <w:tc>
          <w:tcPr>
            <w:tcW w:w="4967" w:type="dxa"/>
            <w:vAlign w:val="center"/>
          </w:tcPr>
          <w:p w:rsidR="00016BF1" w:rsidRPr="00C80EFF" w:rsidRDefault="001414BE" w:rsidP="00C80EFF">
            <w:pPr>
              <w:spacing w:line="360" w:lineRule="auto"/>
              <w:jc w:val="center"/>
            </w:pPr>
            <w:r w:rsidRPr="00C80EFF">
              <w:rPr>
                <w:color w:val="000000"/>
              </w:rPr>
              <w:t>Partial recovery / residual dysfunction</w:t>
            </w:r>
          </w:p>
        </w:tc>
        <w:tc>
          <w:tcPr>
            <w:tcW w:w="2040" w:type="dxa"/>
            <w:vAlign w:val="center"/>
          </w:tcPr>
          <w:p w:rsidR="00016BF1" w:rsidRPr="00C80EFF" w:rsidRDefault="001414BE" w:rsidP="00C80EFF">
            <w:pPr>
              <w:spacing w:line="360" w:lineRule="auto"/>
              <w:jc w:val="center"/>
            </w:pPr>
            <w:r w:rsidRPr="00C80EFF">
              <w:rPr>
                <w:color w:val="000000"/>
              </w:rPr>
              <w:t>56</w:t>
            </w:r>
          </w:p>
        </w:tc>
        <w:tc>
          <w:tcPr>
            <w:tcW w:w="2040" w:type="dxa"/>
            <w:vAlign w:val="center"/>
          </w:tcPr>
          <w:p w:rsidR="00016BF1" w:rsidRPr="00C80EFF" w:rsidRDefault="001414BE" w:rsidP="00C80EFF">
            <w:pPr>
              <w:spacing w:line="360" w:lineRule="auto"/>
              <w:jc w:val="center"/>
            </w:pPr>
            <w:r w:rsidRPr="00C80EFF">
              <w:rPr>
                <w:color w:val="000000"/>
              </w:rPr>
              <w:t>26.7</w:t>
            </w:r>
          </w:p>
        </w:tc>
      </w:tr>
      <w:tr w:rsidR="00016BF1" w:rsidRPr="00C80EFF" w:rsidTr="00C80EFF">
        <w:trPr>
          <w:trHeight w:val="511"/>
        </w:trPr>
        <w:tc>
          <w:tcPr>
            <w:tcW w:w="4967" w:type="dxa"/>
            <w:vAlign w:val="center"/>
          </w:tcPr>
          <w:p w:rsidR="00016BF1" w:rsidRPr="00C80EFF" w:rsidRDefault="001414BE" w:rsidP="00C80EFF">
            <w:pPr>
              <w:spacing w:line="360" w:lineRule="auto"/>
              <w:jc w:val="center"/>
            </w:pPr>
            <w:r w:rsidRPr="00C80EFF">
              <w:rPr>
                <w:color w:val="000000"/>
              </w:rPr>
              <w:t>Died during hospitalisation</w:t>
            </w:r>
          </w:p>
        </w:tc>
        <w:tc>
          <w:tcPr>
            <w:tcW w:w="2040" w:type="dxa"/>
            <w:vAlign w:val="center"/>
          </w:tcPr>
          <w:p w:rsidR="00016BF1" w:rsidRPr="00C80EFF" w:rsidRDefault="001414BE" w:rsidP="00C80EFF">
            <w:pPr>
              <w:spacing w:line="360" w:lineRule="auto"/>
              <w:jc w:val="center"/>
            </w:pPr>
            <w:r w:rsidRPr="00C80EFF">
              <w:rPr>
                <w:color w:val="000000"/>
              </w:rPr>
              <w:t>46</w:t>
            </w:r>
          </w:p>
        </w:tc>
        <w:tc>
          <w:tcPr>
            <w:tcW w:w="2040" w:type="dxa"/>
            <w:vAlign w:val="center"/>
          </w:tcPr>
          <w:p w:rsidR="00016BF1" w:rsidRPr="00C80EFF" w:rsidRDefault="001414BE" w:rsidP="00C80EFF">
            <w:pPr>
              <w:spacing w:line="360" w:lineRule="auto"/>
              <w:jc w:val="center"/>
            </w:pPr>
            <w:r w:rsidRPr="00C80EFF">
              <w:rPr>
                <w:color w:val="000000"/>
              </w:rPr>
              <w:t>21.9</w:t>
            </w:r>
          </w:p>
        </w:tc>
      </w:tr>
    </w:tbl>
    <w:p w:rsidR="00016BF1" w:rsidRPr="00C80EFF" w:rsidRDefault="00016BF1" w:rsidP="00C80EFF">
      <w:pPr>
        <w:spacing w:line="360" w:lineRule="auto"/>
        <w:jc w:val="both"/>
      </w:pPr>
    </w:p>
    <w:p w:rsidR="00016BF1" w:rsidRPr="00C80EFF" w:rsidRDefault="001414BE" w:rsidP="00C80EFF">
      <w:pPr>
        <w:spacing w:line="360" w:lineRule="auto"/>
        <w:jc w:val="both"/>
      </w:pPr>
      <w:r w:rsidRPr="00C80EFF">
        <w:rPr>
          <w:color w:val="000000"/>
        </w:rPr>
        <w:t>On univariate analysis, RIFLE Failure category, age ≥60 years, sepsis as the cause of AKI, and need for dialysis were significantly associated with in-hospital mortality (Table 6).</w:t>
      </w:r>
    </w:p>
    <w:p w:rsidR="00016BF1" w:rsidRPr="00C80EFF" w:rsidRDefault="001414BE" w:rsidP="00C80EFF">
      <w:pPr>
        <w:spacing w:line="360" w:lineRule="auto"/>
        <w:jc w:val="both"/>
      </w:pPr>
      <w:r w:rsidRPr="00C80EFF">
        <w:rPr>
          <w:b/>
          <w:bCs/>
          <w:color w:val="000000"/>
        </w:rPr>
        <w:t>Table 6: Univariate Analysis of Factors Associated with In-hospital Mortality</w:t>
      </w:r>
    </w:p>
    <w:tbl>
      <w:tblPr>
        <w:tblW w:w="9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2300"/>
        <w:gridCol w:w="1238"/>
        <w:gridCol w:w="1592"/>
        <w:gridCol w:w="1592"/>
      </w:tblGrid>
      <w:tr w:rsidR="00016BF1" w:rsidRPr="00C80EFF" w:rsidTr="00C80EFF">
        <w:trPr>
          <w:trHeight w:val="380"/>
          <w:tblHeader/>
        </w:trPr>
        <w:tc>
          <w:tcPr>
            <w:tcW w:w="2300" w:type="dxa"/>
            <w:shd w:val="clear" w:color="auto" w:fill="E8E8E8"/>
            <w:vAlign w:val="center"/>
          </w:tcPr>
          <w:p w:rsidR="00016BF1" w:rsidRPr="00C80EFF" w:rsidRDefault="001414BE" w:rsidP="00C80EFF">
            <w:pPr>
              <w:spacing w:line="360" w:lineRule="auto"/>
              <w:jc w:val="center"/>
            </w:pPr>
            <w:r w:rsidRPr="00C80EFF">
              <w:rPr>
                <w:b/>
                <w:bCs/>
                <w:color w:val="000000"/>
              </w:rPr>
              <w:t>Variable</w:t>
            </w:r>
          </w:p>
        </w:tc>
        <w:tc>
          <w:tcPr>
            <w:tcW w:w="2300" w:type="dxa"/>
            <w:shd w:val="clear" w:color="auto" w:fill="E8E8E8"/>
            <w:vAlign w:val="center"/>
          </w:tcPr>
          <w:p w:rsidR="00016BF1" w:rsidRPr="00C80EFF" w:rsidRDefault="001414BE" w:rsidP="00C80EFF">
            <w:pPr>
              <w:spacing w:line="360" w:lineRule="auto"/>
              <w:jc w:val="center"/>
            </w:pPr>
            <w:r w:rsidRPr="00C80EFF">
              <w:rPr>
                <w:b/>
                <w:bCs/>
                <w:color w:val="000000"/>
              </w:rPr>
              <w:t>Category</w:t>
            </w:r>
          </w:p>
        </w:tc>
        <w:tc>
          <w:tcPr>
            <w:tcW w:w="1238" w:type="dxa"/>
            <w:shd w:val="clear" w:color="auto" w:fill="E8E8E8"/>
            <w:vAlign w:val="center"/>
          </w:tcPr>
          <w:p w:rsidR="00016BF1" w:rsidRPr="00C80EFF" w:rsidRDefault="001414BE" w:rsidP="00C80EFF">
            <w:pPr>
              <w:spacing w:line="360" w:lineRule="auto"/>
              <w:jc w:val="center"/>
            </w:pPr>
            <w:r w:rsidRPr="00C80EFF">
              <w:rPr>
                <w:b/>
                <w:bCs/>
                <w:color w:val="000000"/>
              </w:rPr>
              <w:t>OR</w:t>
            </w:r>
          </w:p>
        </w:tc>
        <w:tc>
          <w:tcPr>
            <w:tcW w:w="1592" w:type="dxa"/>
            <w:shd w:val="clear" w:color="auto" w:fill="E8E8E8"/>
            <w:vAlign w:val="center"/>
          </w:tcPr>
          <w:p w:rsidR="00016BF1" w:rsidRPr="00C80EFF" w:rsidRDefault="001414BE" w:rsidP="00C80EFF">
            <w:pPr>
              <w:spacing w:line="360" w:lineRule="auto"/>
              <w:jc w:val="center"/>
            </w:pPr>
            <w:r w:rsidRPr="00C80EFF">
              <w:rPr>
                <w:b/>
                <w:bCs/>
                <w:color w:val="000000"/>
              </w:rPr>
              <w:t>95% CI</w:t>
            </w:r>
          </w:p>
        </w:tc>
        <w:tc>
          <w:tcPr>
            <w:tcW w:w="1592" w:type="dxa"/>
            <w:shd w:val="clear" w:color="auto" w:fill="E8E8E8"/>
            <w:vAlign w:val="center"/>
          </w:tcPr>
          <w:p w:rsidR="00016BF1" w:rsidRPr="00C80EFF" w:rsidRDefault="001414BE" w:rsidP="00C80EFF">
            <w:pPr>
              <w:spacing w:line="360" w:lineRule="auto"/>
              <w:jc w:val="center"/>
            </w:pPr>
            <w:r w:rsidRPr="00C80EFF">
              <w:rPr>
                <w:b/>
                <w:bCs/>
                <w:color w:val="000000"/>
              </w:rPr>
              <w:t>P-value</w:t>
            </w:r>
          </w:p>
        </w:tc>
      </w:tr>
      <w:tr w:rsidR="00016BF1" w:rsidRPr="00C80EFF" w:rsidTr="00C80EFF">
        <w:trPr>
          <w:trHeight w:val="393"/>
        </w:trPr>
        <w:tc>
          <w:tcPr>
            <w:tcW w:w="2300" w:type="dxa"/>
            <w:vAlign w:val="center"/>
          </w:tcPr>
          <w:p w:rsidR="00016BF1" w:rsidRPr="00C80EFF" w:rsidRDefault="001414BE" w:rsidP="00C80EFF">
            <w:pPr>
              <w:spacing w:line="360" w:lineRule="auto"/>
              <w:jc w:val="center"/>
            </w:pPr>
            <w:r w:rsidRPr="00C80EFF">
              <w:rPr>
                <w:color w:val="000000"/>
              </w:rPr>
              <w:t>RIFLE category</w:t>
            </w:r>
          </w:p>
        </w:tc>
        <w:tc>
          <w:tcPr>
            <w:tcW w:w="2300" w:type="dxa"/>
            <w:vAlign w:val="center"/>
          </w:tcPr>
          <w:p w:rsidR="00016BF1" w:rsidRPr="00C80EFF" w:rsidRDefault="001414BE" w:rsidP="00C80EFF">
            <w:pPr>
              <w:spacing w:line="360" w:lineRule="auto"/>
              <w:jc w:val="center"/>
            </w:pPr>
            <w:r w:rsidRPr="00C80EFF">
              <w:rPr>
                <w:color w:val="000000"/>
              </w:rPr>
              <w:t>Failure vs Risk</w:t>
            </w:r>
          </w:p>
        </w:tc>
        <w:tc>
          <w:tcPr>
            <w:tcW w:w="1238" w:type="dxa"/>
            <w:vAlign w:val="center"/>
          </w:tcPr>
          <w:p w:rsidR="00016BF1" w:rsidRPr="00C80EFF" w:rsidRDefault="001414BE" w:rsidP="00C80EFF">
            <w:pPr>
              <w:spacing w:line="360" w:lineRule="auto"/>
              <w:jc w:val="center"/>
            </w:pPr>
            <w:r w:rsidRPr="00C80EFF">
              <w:rPr>
                <w:color w:val="000000"/>
              </w:rPr>
              <w:t>8.34</w:t>
            </w:r>
          </w:p>
        </w:tc>
        <w:tc>
          <w:tcPr>
            <w:tcW w:w="1592" w:type="dxa"/>
            <w:vAlign w:val="center"/>
          </w:tcPr>
          <w:p w:rsidR="00016BF1" w:rsidRPr="00C80EFF" w:rsidRDefault="001414BE" w:rsidP="00C80EFF">
            <w:pPr>
              <w:spacing w:line="360" w:lineRule="auto"/>
              <w:jc w:val="center"/>
            </w:pPr>
            <w:r w:rsidRPr="00C80EFF">
              <w:rPr>
                <w:color w:val="000000"/>
              </w:rPr>
              <w:t>3.31 – 21.0</w:t>
            </w:r>
          </w:p>
        </w:tc>
        <w:tc>
          <w:tcPr>
            <w:tcW w:w="1592" w:type="dxa"/>
            <w:vAlign w:val="center"/>
          </w:tcPr>
          <w:p w:rsidR="00016BF1" w:rsidRPr="00C80EFF" w:rsidRDefault="001414BE" w:rsidP="00C80EFF">
            <w:pPr>
              <w:spacing w:line="360" w:lineRule="auto"/>
              <w:jc w:val="center"/>
            </w:pPr>
            <w:r w:rsidRPr="00C80EFF">
              <w:rPr>
                <w:color w:val="000000"/>
              </w:rPr>
              <w:t>&lt;0.001</w:t>
            </w:r>
          </w:p>
        </w:tc>
      </w:tr>
      <w:tr w:rsidR="00016BF1" w:rsidRPr="00C80EFF" w:rsidTr="00C80EFF">
        <w:trPr>
          <w:trHeight w:val="380"/>
        </w:trPr>
        <w:tc>
          <w:tcPr>
            <w:tcW w:w="2300" w:type="dxa"/>
            <w:vAlign w:val="center"/>
          </w:tcPr>
          <w:p w:rsidR="00016BF1" w:rsidRPr="00C80EFF" w:rsidRDefault="001414BE" w:rsidP="00C80EFF">
            <w:pPr>
              <w:spacing w:line="360" w:lineRule="auto"/>
              <w:jc w:val="center"/>
            </w:pPr>
            <w:r w:rsidRPr="00C80EFF">
              <w:rPr>
                <w:color w:val="000000"/>
              </w:rPr>
              <w:t>Age</w:t>
            </w:r>
          </w:p>
        </w:tc>
        <w:tc>
          <w:tcPr>
            <w:tcW w:w="2300" w:type="dxa"/>
            <w:vAlign w:val="center"/>
          </w:tcPr>
          <w:p w:rsidR="00016BF1" w:rsidRPr="00C80EFF" w:rsidRDefault="001414BE" w:rsidP="00C80EFF">
            <w:pPr>
              <w:spacing w:line="360" w:lineRule="auto"/>
              <w:jc w:val="center"/>
            </w:pPr>
            <w:r w:rsidRPr="00C80EFF">
              <w:rPr>
                <w:color w:val="000000"/>
              </w:rPr>
              <w:t>≥60 vs &lt;60 years</w:t>
            </w:r>
          </w:p>
        </w:tc>
        <w:tc>
          <w:tcPr>
            <w:tcW w:w="1238" w:type="dxa"/>
            <w:vAlign w:val="center"/>
          </w:tcPr>
          <w:p w:rsidR="00016BF1" w:rsidRPr="00C80EFF" w:rsidRDefault="001414BE" w:rsidP="00C80EFF">
            <w:pPr>
              <w:spacing w:line="360" w:lineRule="auto"/>
              <w:jc w:val="center"/>
            </w:pPr>
            <w:r w:rsidRPr="00C80EFF">
              <w:rPr>
                <w:color w:val="000000"/>
              </w:rPr>
              <w:t>2.42</w:t>
            </w:r>
          </w:p>
        </w:tc>
        <w:tc>
          <w:tcPr>
            <w:tcW w:w="1592" w:type="dxa"/>
            <w:vAlign w:val="center"/>
          </w:tcPr>
          <w:p w:rsidR="00016BF1" w:rsidRPr="00C80EFF" w:rsidRDefault="001414BE" w:rsidP="00C80EFF">
            <w:pPr>
              <w:spacing w:line="360" w:lineRule="auto"/>
              <w:jc w:val="center"/>
            </w:pPr>
            <w:r w:rsidRPr="00C80EFF">
              <w:rPr>
                <w:color w:val="000000"/>
              </w:rPr>
              <w:t>1.29 – 4.54</w:t>
            </w:r>
          </w:p>
        </w:tc>
        <w:tc>
          <w:tcPr>
            <w:tcW w:w="1592" w:type="dxa"/>
            <w:vAlign w:val="center"/>
          </w:tcPr>
          <w:p w:rsidR="00016BF1" w:rsidRPr="00C80EFF" w:rsidRDefault="001414BE" w:rsidP="00C80EFF">
            <w:pPr>
              <w:spacing w:line="360" w:lineRule="auto"/>
              <w:jc w:val="center"/>
            </w:pPr>
            <w:r w:rsidRPr="00C80EFF">
              <w:rPr>
                <w:color w:val="000000"/>
              </w:rPr>
              <w:t>0.006</w:t>
            </w:r>
          </w:p>
        </w:tc>
      </w:tr>
      <w:tr w:rsidR="00016BF1" w:rsidRPr="00C80EFF" w:rsidTr="00C80EFF">
        <w:trPr>
          <w:trHeight w:val="393"/>
        </w:trPr>
        <w:tc>
          <w:tcPr>
            <w:tcW w:w="2300" w:type="dxa"/>
            <w:vAlign w:val="center"/>
          </w:tcPr>
          <w:p w:rsidR="00016BF1" w:rsidRPr="00C80EFF" w:rsidRDefault="001414BE" w:rsidP="00C80EFF">
            <w:pPr>
              <w:spacing w:line="360" w:lineRule="auto"/>
              <w:jc w:val="center"/>
            </w:pPr>
            <w:r w:rsidRPr="00C80EFF">
              <w:rPr>
                <w:color w:val="000000"/>
              </w:rPr>
              <w:t>Sepsis as cause</w:t>
            </w:r>
          </w:p>
        </w:tc>
        <w:tc>
          <w:tcPr>
            <w:tcW w:w="2300" w:type="dxa"/>
            <w:vAlign w:val="center"/>
          </w:tcPr>
          <w:p w:rsidR="00016BF1" w:rsidRPr="00C80EFF" w:rsidRDefault="001414BE" w:rsidP="00C80EFF">
            <w:pPr>
              <w:spacing w:line="360" w:lineRule="auto"/>
              <w:jc w:val="center"/>
            </w:pPr>
            <w:r w:rsidRPr="00C80EFF">
              <w:rPr>
                <w:color w:val="000000"/>
              </w:rPr>
              <w:t>Present vs absent</w:t>
            </w:r>
          </w:p>
        </w:tc>
        <w:tc>
          <w:tcPr>
            <w:tcW w:w="1238" w:type="dxa"/>
            <w:vAlign w:val="center"/>
          </w:tcPr>
          <w:p w:rsidR="00016BF1" w:rsidRPr="00C80EFF" w:rsidRDefault="001414BE" w:rsidP="00C80EFF">
            <w:pPr>
              <w:spacing w:line="360" w:lineRule="auto"/>
              <w:jc w:val="center"/>
            </w:pPr>
            <w:r w:rsidRPr="00C80EFF">
              <w:rPr>
                <w:color w:val="000000"/>
              </w:rPr>
              <w:t>2.87</w:t>
            </w:r>
          </w:p>
        </w:tc>
        <w:tc>
          <w:tcPr>
            <w:tcW w:w="1592" w:type="dxa"/>
            <w:vAlign w:val="center"/>
          </w:tcPr>
          <w:p w:rsidR="00016BF1" w:rsidRPr="00C80EFF" w:rsidRDefault="001414BE" w:rsidP="00C80EFF">
            <w:pPr>
              <w:spacing w:line="360" w:lineRule="auto"/>
              <w:jc w:val="center"/>
            </w:pPr>
            <w:r w:rsidRPr="00C80EFF">
              <w:rPr>
                <w:color w:val="000000"/>
              </w:rPr>
              <w:t>1.53 – 5.38</w:t>
            </w:r>
          </w:p>
        </w:tc>
        <w:tc>
          <w:tcPr>
            <w:tcW w:w="1592" w:type="dxa"/>
            <w:vAlign w:val="center"/>
          </w:tcPr>
          <w:p w:rsidR="00016BF1" w:rsidRPr="00C80EFF" w:rsidRDefault="001414BE" w:rsidP="00C80EFF">
            <w:pPr>
              <w:spacing w:line="360" w:lineRule="auto"/>
              <w:jc w:val="center"/>
            </w:pPr>
            <w:r w:rsidRPr="00C80EFF">
              <w:rPr>
                <w:color w:val="000000"/>
              </w:rPr>
              <w:t>0.001</w:t>
            </w:r>
          </w:p>
        </w:tc>
      </w:tr>
      <w:tr w:rsidR="00016BF1" w:rsidRPr="00C80EFF" w:rsidTr="00C80EFF">
        <w:trPr>
          <w:trHeight w:val="393"/>
        </w:trPr>
        <w:tc>
          <w:tcPr>
            <w:tcW w:w="2300" w:type="dxa"/>
            <w:vAlign w:val="center"/>
          </w:tcPr>
          <w:p w:rsidR="00016BF1" w:rsidRPr="00C80EFF" w:rsidRDefault="001414BE" w:rsidP="00C80EFF">
            <w:pPr>
              <w:spacing w:line="360" w:lineRule="auto"/>
              <w:jc w:val="center"/>
            </w:pPr>
            <w:r w:rsidRPr="00C80EFF">
              <w:rPr>
                <w:color w:val="000000"/>
              </w:rPr>
              <w:t>Need for dialysis</w:t>
            </w:r>
          </w:p>
        </w:tc>
        <w:tc>
          <w:tcPr>
            <w:tcW w:w="2300" w:type="dxa"/>
            <w:vAlign w:val="center"/>
          </w:tcPr>
          <w:p w:rsidR="00016BF1" w:rsidRPr="00C80EFF" w:rsidRDefault="001414BE" w:rsidP="00C80EFF">
            <w:pPr>
              <w:spacing w:line="360" w:lineRule="auto"/>
              <w:jc w:val="center"/>
            </w:pPr>
            <w:r w:rsidRPr="00C80EFF">
              <w:rPr>
                <w:color w:val="000000"/>
              </w:rPr>
              <w:t>Present vs absent</w:t>
            </w:r>
          </w:p>
        </w:tc>
        <w:tc>
          <w:tcPr>
            <w:tcW w:w="1238" w:type="dxa"/>
            <w:vAlign w:val="center"/>
          </w:tcPr>
          <w:p w:rsidR="00016BF1" w:rsidRPr="00C80EFF" w:rsidRDefault="001414BE" w:rsidP="00C80EFF">
            <w:pPr>
              <w:spacing w:line="360" w:lineRule="auto"/>
              <w:jc w:val="center"/>
            </w:pPr>
            <w:r w:rsidRPr="00C80EFF">
              <w:rPr>
                <w:color w:val="000000"/>
              </w:rPr>
              <w:t>3.61</w:t>
            </w:r>
          </w:p>
        </w:tc>
        <w:tc>
          <w:tcPr>
            <w:tcW w:w="1592" w:type="dxa"/>
            <w:vAlign w:val="center"/>
          </w:tcPr>
          <w:p w:rsidR="00016BF1" w:rsidRPr="00C80EFF" w:rsidRDefault="001414BE" w:rsidP="00C80EFF">
            <w:pPr>
              <w:spacing w:line="360" w:lineRule="auto"/>
              <w:jc w:val="center"/>
            </w:pPr>
            <w:r w:rsidRPr="00C80EFF">
              <w:rPr>
                <w:color w:val="000000"/>
              </w:rPr>
              <w:t>1.79 – 7.28</w:t>
            </w:r>
          </w:p>
        </w:tc>
        <w:tc>
          <w:tcPr>
            <w:tcW w:w="1592" w:type="dxa"/>
            <w:vAlign w:val="center"/>
          </w:tcPr>
          <w:p w:rsidR="00016BF1" w:rsidRPr="00C80EFF" w:rsidRDefault="001414BE" w:rsidP="00C80EFF">
            <w:pPr>
              <w:spacing w:line="360" w:lineRule="auto"/>
              <w:jc w:val="center"/>
            </w:pPr>
            <w:r w:rsidRPr="00C80EFF">
              <w:rPr>
                <w:color w:val="000000"/>
              </w:rPr>
              <w:t>&lt;0.001</w:t>
            </w:r>
          </w:p>
        </w:tc>
      </w:tr>
      <w:tr w:rsidR="00016BF1" w:rsidRPr="00C80EFF" w:rsidTr="00C80EFF">
        <w:trPr>
          <w:trHeight w:val="393"/>
        </w:trPr>
        <w:tc>
          <w:tcPr>
            <w:tcW w:w="2300" w:type="dxa"/>
            <w:vAlign w:val="center"/>
          </w:tcPr>
          <w:p w:rsidR="00016BF1" w:rsidRPr="00C80EFF" w:rsidRDefault="001414BE" w:rsidP="00C80EFF">
            <w:pPr>
              <w:spacing w:line="360" w:lineRule="auto"/>
              <w:jc w:val="center"/>
            </w:pPr>
            <w:r w:rsidRPr="00C80EFF">
              <w:rPr>
                <w:color w:val="000000"/>
              </w:rPr>
              <w:t>Pre-existing CKD</w:t>
            </w:r>
          </w:p>
        </w:tc>
        <w:tc>
          <w:tcPr>
            <w:tcW w:w="2300" w:type="dxa"/>
            <w:vAlign w:val="center"/>
          </w:tcPr>
          <w:p w:rsidR="00016BF1" w:rsidRPr="00C80EFF" w:rsidRDefault="001414BE" w:rsidP="00C80EFF">
            <w:pPr>
              <w:spacing w:line="360" w:lineRule="auto"/>
              <w:jc w:val="center"/>
            </w:pPr>
            <w:r w:rsidRPr="00C80EFF">
              <w:rPr>
                <w:color w:val="000000"/>
              </w:rPr>
              <w:t>Present vs absent</w:t>
            </w:r>
          </w:p>
        </w:tc>
        <w:tc>
          <w:tcPr>
            <w:tcW w:w="1238" w:type="dxa"/>
            <w:vAlign w:val="center"/>
          </w:tcPr>
          <w:p w:rsidR="00016BF1" w:rsidRPr="00C80EFF" w:rsidRDefault="001414BE" w:rsidP="00C80EFF">
            <w:pPr>
              <w:spacing w:line="360" w:lineRule="auto"/>
              <w:jc w:val="center"/>
            </w:pPr>
            <w:r w:rsidRPr="00C80EFF">
              <w:rPr>
                <w:color w:val="000000"/>
              </w:rPr>
              <w:t>1.86</w:t>
            </w:r>
          </w:p>
        </w:tc>
        <w:tc>
          <w:tcPr>
            <w:tcW w:w="1592" w:type="dxa"/>
            <w:vAlign w:val="center"/>
          </w:tcPr>
          <w:p w:rsidR="00016BF1" w:rsidRPr="00C80EFF" w:rsidRDefault="001414BE" w:rsidP="00C80EFF">
            <w:pPr>
              <w:spacing w:line="360" w:lineRule="auto"/>
              <w:jc w:val="center"/>
            </w:pPr>
            <w:r w:rsidRPr="00C80EFF">
              <w:rPr>
                <w:color w:val="000000"/>
              </w:rPr>
              <w:t>0.94 – 3.68</w:t>
            </w:r>
          </w:p>
        </w:tc>
        <w:tc>
          <w:tcPr>
            <w:tcW w:w="1592" w:type="dxa"/>
            <w:vAlign w:val="center"/>
          </w:tcPr>
          <w:p w:rsidR="00016BF1" w:rsidRPr="00C80EFF" w:rsidRDefault="001414BE" w:rsidP="00C80EFF">
            <w:pPr>
              <w:spacing w:line="360" w:lineRule="auto"/>
              <w:jc w:val="center"/>
            </w:pPr>
            <w:r w:rsidRPr="00C80EFF">
              <w:rPr>
                <w:color w:val="000000"/>
              </w:rPr>
              <w:t>0.075</w:t>
            </w:r>
          </w:p>
        </w:tc>
      </w:tr>
    </w:tbl>
    <w:p w:rsidR="00016BF1" w:rsidRPr="00C80EFF" w:rsidRDefault="00016BF1" w:rsidP="00C80EFF">
      <w:pPr>
        <w:spacing w:line="360" w:lineRule="auto"/>
        <w:jc w:val="center"/>
      </w:pPr>
    </w:p>
    <w:p w:rsidR="00016BF1" w:rsidRPr="00C80EFF" w:rsidRDefault="001414BE" w:rsidP="00C80EFF">
      <w:pPr>
        <w:spacing w:line="360" w:lineRule="auto"/>
        <w:jc w:val="both"/>
      </w:pPr>
      <w:r w:rsidRPr="00C80EFF">
        <w:rPr>
          <w:color w:val="000000"/>
        </w:rPr>
        <w:t>On multivariate analysis, RIFLE Failure category (adjusted OR 5.92, 95% CI 2.21–15.9, p&lt;0.001), need for dialysis (adjusted OR 2.68, 95% CI 1.24–5.79, p=0.012), and age ≥60 years (adjusted OR 1.98, 95% CI 1.01–3.88, p=0.047) remained independently associated with mortality (Table 7).</w:t>
      </w:r>
    </w:p>
    <w:p w:rsidR="00C80EFF" w:rsidRDefault="00C80EFF" w:rsidP="00C80EFF">
      <w:pPr>
        <w:spacing w:line="360" w:lineRule="auto"/>
        <w:jc w:val="both"/>
        <w:rPr>
          <w:b/>
          <w:bCs/>
          <w:color w:val="000000"/>
        </w:rPr>
      </w:pPr>
    </w:p>
    <w:p w:rsidR="00C80EFF" w:rsidRDefault="00C80EFF" w:rsidP="00C80EFF">
      <w:pPr>
        <w:spacing w:line="360" w:lineRule="auto"/>
        <w:jc w:val="both"/>
        <w:rPr>
          <w:b/>
          <w:bCs/>
          <w:color w:val="000000"/>
        </w:rPr>
      </w:pPr>
    </w:p>
    <w:p w:rsidR="00C80EFF" w:rsidRDefault="00C80EFF" w:rsidP="00C80EFF">
      <w:pPr>
        <w:spacing w:line="360" w:lineRule="auto"/>
        <w:jc w:val="both"/>
        <w:rPr>
          <w:b/>
          <w:bCs/>
          <w:color w:val="000000"/>
        </w:rPr>
      </w:pPr>
    </w:p>
    <w:p w:rsidR="00C80EFF" w:rsidRDefault="00C80EFF" w:rsidP="00C80EFF">
      <w:pPr>
        <w:spacing w:line="360" w:lineRule="auto"/>
        <w:jc w:val="both"/>
        <w:rPr>
          <w:b/>
          <w:bCs/>
          <w:color w:val="000000"/>
        </w:rPr>
      </w:pPr>
    </w:p>
    <w:p w:rsidR="00C80EFF" w:rsidRDefault="00C80EFF" w:rsidP="00C80EFF">
      <w:pPr>
        <w:spacing w:line="360" w:lineRule="auto"/>
        <w:jc w:val="both"/>
        <w:rPr>
          <w:b/>
          <w:bCs/>
          <w:color w:val="000000"/>
        </w:rPr>
      </w:pPr>
    </w:p>
    <w:p w:rsidR="00016BF1" w:rsidRPr="00C80EFF" w:rsidRDefault="001414BE" w:rsidP="00C80EFF">
      <w:pPr>
        <w:spacing w:line="360" w:lineRule="auto"/>
        <w:jc w:val="both"/>
      </w:pPr>
      <w:r w:rsidRPr="00C80EFF">
        <w:rPr>
          <w:b/>
          <w:bCs/>
          <w:color w:val="000000"/>
        </w:rPr>
        <w:t>Table 7: Multivariate Logistic Regression Analysis of Independent Predictors of In-hospital Mortality</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84"/>
        <w:gridCol w:w="1780"/>
        <w:gridCol w:w="1780"/>
        <w:gridCol w:w="1618"/>
      </w:tblGrid>
      <w:tr w:rsidR="00016BF1" w:rsidRPr="00C80EFF" w:rsidTr="00C80EFF">
        <w:trPr>
          <w:trHeight w:val="376"/>
          <w:tblHeader/>
        </w:trPr>
        <w:tc>
          <w:tcPr>
            <w:tcW w:w="3884" w:type="dxa"/>
            <w:shd w:val="clear" w:color="auto" w:fill="E8E8E8"/>
            <w:vAlign w:val="center"/>
          </w:tcPr>
          <w:p w:rsidR="00016BF1" w:rsidRPr="00C80EFF" w:rsidRDefault="001414BE" w:rsidP="00C80EFF">
            <w:pPr>
              <w:spacing w:line="360" w:lineRule="auto"/>
              <w:jc w:val="center"/>
            </w:pPr>
            <w:r w:rsidRPr="00C80EFF">
              <w:rPr>
                <w:b/>
                <w:bCs/>
                <w:color w:val="000000"/>
              </w:rPr>
              <w:t>Variable</w:t>
            </w:r>
          </w:p>
        </w:tc>
        <w:tc>
          <w:tcPr>
            <w:tcW w:w="1780" w:type="dxa"/>
            <w:shd w:val="clear" w:color="auto" w:fill="E8E8E8"/>
            <w:vAlign w:val="center"/>
          </w:tcPr>
          <w:p w:rsidR="00016BF1" w:rsidRPr="00C80EFF" w:rsidRDefault="001414BE" w:rsidP="00C80EFF">
            <w:pPr>
              <w:spacing w:line="360" w:lineRule="auto"/>
              <w:jc w:val="center"/>
            </w:pPr>
            <w:r w:rsidRPr="00C80EFF">
              <w:rPr>
                <w:b/>
                <w:bCs/>
                <w:color w:val="000000"/>
              </w:rPr>
              <w:t>Adjusted OR</w:t>
            </w:r>
          </w:p>
        </w:tc>
        <w:tc>
          <w:tcPr>
            <w:tcW w:w="1780" w:type="dxa"/>
            <w:shd w:val="clear" w:color="auto" w:fill="E8E8E8"/>
            <w:vAlign w:val="center"/>
          </w:tcPr>
          <w:p w:rsidR="00016BF1" w:rsidRPr="00C80EFF" w:rsidRDefault="001414BE" w:rsidP="00C80EFF">
            <w:pPr>
              <w:spacing w:line="360" w:lineRule="auto"/>
              <w:jc w:val="center"/>
            </w:pPr>
            <w:r w:rsidRPr="00C80EFF">
              <w:rPr>
                <w:b/>
                <w:bCs/>
                <w:color w:val="000000"/>
              </w:rPr>
              <w:t>95% CI</w:t>
            </w:r>
          </w:p>
        </w:tc>
        <w:tc>
          <w:tcPr>
            <w:tcW w:w="1618" w:type="dxa"/>
            <w:shd w:val="clear" w:color="auto" w:fill="E8E8E8"/>
            <w:vAlign w:val="center"/>
          </w:tcPr>
          <w:p w:rsidR="00016BF1" w:rsidRPr="00C80EFF" w:rsidRDefault="001414BE" w:rsidP="00C80EFF">
            <w:pPr>
              <w:spacing w:line="360" w:lineRule="auto"/>
              <w:jc w:val="center"/>
            </w:pPr>
            <w:r w:rsidRPr="00C80EFF">
              <w:rPr>
                <w:b/>
                <w:bCs/>
                <w:color w:val="000000"/>
              </w:rPr>
              <w:t>P-value</w:t>
            </w:r>
          </w:p>
        </w:tc>
      </w:tr>
      <w:tr w:rsidR="00016BF1" w:rsidRPr="00C80EFF" w:rsidTr="00C80EFF">
        <w:trPr>
          <w:trHeight w:val="389"/>
        </w:trPr>
        <w:tc>
          <w:tcPr>
            <w:tcW w:w="3884" w:type="dxa"/>
            <w:vAlign w:val="center"/>
          </w:tcPr>
          <w:p w:rsidR="00016BF1" w:rsidRPr="00C80EFF" w:rsidRDefault="001414BE" w:rsidP="00C80EFF">
            <w:pPr>
              <w:spacing w:line="360" w:lineRule="auto"/>
              <w:jc w:val="center"/>
            </w:pPr>
            <w:r w:rsidRPr="00C80EFF">
              <w:rPr>
                <w:color w:val="000000"/>
              </w:rPr>
              <w:t>RIFLE Failure category</w:t>
            </w:r>
          </w:p>
        </w:tc>
        <w:tc>
          <w:tcPr>
            <w:tcW w:w="1780" w:type="dxa"/>
            <w:vAlign w:val="center"/>
          </w:tcPr>
          <w:p w:rsidR="00016BF1" w:rsidRPr="00C80EFF" w:rsidRDefault="001414BE" w:rsidP="00C80EFF">
            <w:pPr>
              <w:spacing w:line="360" w:lineRule="auto"/>
              <w:jc w:val="center"/>
            </w:pPr>
            <w:r w:rsidRPr="00C80EFF">
              <w:rPr>
                <w:color w:val="000000"/>
              </w:rPr>
              <w:t>5.92</w:t>
            </w:r>
          </w:p>
        </w:tc>
        <w:tc>
          <w:tcPr>
            <w:tcW w:w="1780" w:type="dxa"/>
            <w:vAlign w:val="center"/>
          </w:tcPr>
          <w:p w:rsidR="00016BF1" w:rsidRPr="00C80EFF" w:rsidRDefault="001414BE" w:rsidP="00C80EFF">
            <w:pPr>
              <w:spacing w:line="360" w:lineRule="auto"/>
              <w:jc w:val="center"/>
            </w:pPr>
            <w:r w:rsidRPr="00C80EFF">
              <w:rPr>
                <w:color w:val="000000"/>
              </w:rPr>
              <w:t>2.21 – 15.9</w:t>
            </w:r>
          </w:p>
        </w:tc>
        <w:tc>
          <w:tcPr>
            <w:tcW w:w="1618" w:type="dxa"/>
            <w:vAlign w:val="center"/>
          </w:tcPr>
          <w:p w:rsidR="00016BF1" w:rsidRPr="00C80EFF" w:rsidRDefault="001414BE" w:rsidP="00C80EFF">
            <w:pPr>
              <w:spacing w:line="360" w:lineRule="auto"/>
              <w:jc w:val="center"/>
            </w:pPr>
            <w:r w:rsidRPr="00C80EFF">
              <w:rPr>
                <w:color w:val="000000"/>
              </w:rPr>
              <w:t>&lt;0.001</w:t>
            </w:r>
          </w:p>
        </w:tc>
      </w:tr>
      <w:tr w:rsidR="00016BF1" w:rsidRPr="00C80EFF" w:rsidTr="00C80EFF">
        <w:trPr>
          <w:trHeight w:val="376"/>
        </w:trPr>
        <w:tc>
          <w:tcPr>
            <w:tcW w:w="3884" w:type="dxa"/>
            <w:vAlign w:val="center"/>
          </w:tcPr>
          <w:p w:rsidR="00016BF1" w:rsidRPr="00C80EFF" w:rsidRDefault="001414BE" w:rsidP="00C80EFF">
            <w:pPr>
              <w:spacing w:line="360" w:lineRule="auto"/>
              <w:jc w:val="center"/>
            </w:pPr>
            <w:r w:rsidRPr="00C80EFF">
              <w:rPr>
                <w:color w:val="000000"/>
              </w:rPr>
              <w:t>Need for dialysis</w:t>
            </w:r>
          </w:p>
        </w:tc>
        <w:tc>
          <w:tcPr>
            <w:tcW w:w="1780" w:type="dxa"/>
            <w:vAlign w:val="center"/>
          </w:tcPr>
          <w:p w:rsidR="00016BF1" w:rsidRPr="00C80EFF" w:rsidRDefault="001414BE" w:rsidP="00C80EFF">
            <w:pPr>
              <w:spacing w:line="360" w:lineRule="auto"/>
              <w:jc w:val="center"/>
            </w:pPr>
            <w:r w:rsidRPr="00C80EFF">
              <w:rPr>
                <w:color w:val="000000"/>
              </w:rPr>
              <w:t>2.68</w:t>
            </w:r>
          </w:p>
        </w:tc>
        <w:tc>
          <w:tcPr>
            <w:tcW w:w="1780" w:type="dxa"/>
            <w:vAlign w:val="center"/>
          </w:tcPr>
          <w:p w:rsidR="00016BF1" w:rsidRPr="00C80EFF" w:rsidRDefault="001414BE" w:rsidP="00C80EFF">
            <w:pPr>
              <w:spacing w:line="360" w:lineRule="auto"/>
              <w:jc w:val="center"/>
            </w:pPr>
            <w:r w:rsidRPr="00C80EFF">
              <w:rPr>
                <w:color w:val="000000"/>
              </w:rPr>
              <w:t>1.24 – 5.79</w:t>
            </w:r>
          </w:p>
        </w:tc>
        <w:tc>
          <w:tcPr>
            <w:tcW w:w="1618" w:type="dxa"/>
            <w:vAlign w:val="center"/>
          </w:tcPr>
          <w:p w:rsidR="00016BF1" w:rsidRPr="00C80EFF" w:rsidRDefault="001414BE" w:rsidP="00C80EFF">
            <w:pPr>
              <w:spacing w:line="360" w:lineRule="auto"/>
              <w:jc w:val="center"/>
            </w:pPr>
            <w:r w:rsidRPr="00C80EFF">
              <w:rPr>
                <w:color w:val="000000"/>
              </w:rPr>
              <w:t>0.012</w:t>
            </w:r>
          </w:p>
        </w:tc>
      </w:tr>
      <w:tr w:rsidR="00016BF1" w:rsidRPr="00C80EFF" w:rsidTr="00C80EFF">
        <w:trPr>
          <w:trHeight w:val="403"/>
        </w:trPr>
        <w:tc>
          <w:tcPr>
            <w:tcW w:w="3884" w:type="dxa"/>
            <w:vAlign w:val="center"/>
          </w:tcPr>
          <w:p w:rsidR="00016BF1" w:rsidRPr="00C80EFF" w:rsidRDefault="001414BE" w:rsidP="00C80EFF">
            <w:pPr>
              <w:spacing w:line="360" w:lineRule="auto"/>
              <w:jc w:val="center"/>
            </w:pPr>
            <w:r w:rsidRPr="00C80EFF">
              <w:rPr>
                <w:color w:val="000000"/>
              </w:rPr>
              <w:t>Age ≥60 years</w:t>
            </w:r>
          </w:p>
        </w:tc>
        <w:tc>
          <w:tcPr>
            <w:tcW w:w="1780" w:type="dxa"/>
            <w:vAlign w:val="center"/>
          </w:tcPr>
          <w:p w:rsidR="00016BF1" w:rsidRPr="00C80EFF" w:rsidRDefault="001414BE" w:rsidP="00C80EFF">
            <w:pPr>
              <w:spacing w:line="360" w:lineRule="auto"/>
              <w:jc w:val="center"/>
            </w:pPr>
            <w:r w:rsidRPr="00C80EFF">
              <w:rPr>
                <w:color w:val="000000"/>
              </w:rPr>
              <w:t>1.98</w:t>
            </w:r>
          </w:p>
        </w:tc>
        <w:tc>
          <w:tcPr>
            <w:tcW w:w="1780" w:type="dxa"/>
            <w:vAlign w:val="center"/>
          </w:tcPr>
          <w:p w:rsidR="00016BF1" w:rsidRPr="00C80EFF" w:rsidRDefault="001414BE" w:rsidP="00C80EFF">
            <w:pPr>
              <w:spacing w:line="360" w:lineRule="auto"/>
              <w:jc w:val="center"/>
            </w:pPr>
            <w:r w:rsidRPr="00C80EFF">
              <w:rPr>
                <w:color w:val="000000"/>
              </w:rPr>
              <w:t>1.01 – 3.88</w:t>
            </w:r>
          </w:p>
        </w:tc>
        <w:tc>
          <w:tcPr>
            <w:tcW w:w="1618" w:type="dxa"/>
            <w:vAlign w:val="center"/>
          </w:tcPr>
          <w:p w:rsidR="00016BF1" w:rsidRPr="00C80EFF" w:rsidRDefault="001414BE" w:rsidP="00C80EFF">
            <w:pPr>
              <w:spacing w:line="360" w:lineRule="auto"/>
              <w:jc w:val="center"/>
            </w:pPr>
            <w:r w:rsidRPr="00C80EFF">
              <w:rPr>
                <w:color w:val="000000"/>
              </w:rPr>
              <w:t>0.047</w:t>
            </w:r>
          </w:p>
        </w:tc>
      </w:tr>
    </w:tbl>
    <w:p w:rsidR="00016BF1" w:rsidRPr="00C80EFF" w:rsidRDefault="00016BF1" w:rsidP="00C80EFF">
      <w:pPr>
        <w:spacing w:line="360" w:lineRule="auto"/>
        <w:jc w:val="both"/>
      </w:pPr>
    </w:p>
    <w:p w:rsidR="00016BF1" w:rsidRPr="00C80EFF" w:rsidRDefault="001414BE" w:rsidP="00C80EFF">
      <w:pPr>
        <w:spacing w:line="360" w:lineRule="auto"/>
        <w:jc w:val="both"/>
      </w:pPr>
      <w:r w:rsidRPr="00C80EFF">
        <w:rPr>
          <w:noProof/>
          <w:lang w:val="en-IN" w:eastAsia="en-IN"/>
        </w:rPr>
        <w:drawing>
          <wp:inline distT="0" distB="0" distL="0" distR="0" wp14:anchorId="67B67307" wp14:editId="5D67C5BB">
            <wp:extent cx="4381500" cy="46577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cstate="print"/>
                    <a:srcRect/>
                    <a:stretch>
                      <a:fillRect/>
                    </a:stretch>
                  </pic:blipFill>
                  <pic:spPr bwMode="auto">
                    <a:xfrm>
                      <a:off x="0" y="0"/>
                      <a:ext cx="4381500" cy="4657725"/>
                    </a:xfrm>
                    <a:prstGeom prst="rect">
                      <a:avLst/>
                    </a:prstGeom>
                  </pic:spPr>
                </pic:pic>
              </a:graphicData>
            </a:graphic>
          </wp:inline>
        </w:drawing>
      </w:r>
    </w:p>
    <w:p w:rsidR="00016BF1" w:rsidRPr="00C80EFF" w:rsidRDefault="001414BE" w:rsidP="00C80EFF">
      <w:pPr>
        <w:spacing w:line="360" w:lineRule="auto"/>
        <w:jc w:val="both"/>
      </w:pPr>
      <w:r w:rsidRPr="00C80EFF">
        <w:rPr>
          <w:color w:val="000000"/>
        </w:rPr>
        <w:t>Figure 5: Clinical workflow for RIFLE-based classification and management of acute kidney injury.</w:t>
      </w:r>
    </w:p>
    <w:p w:rsidR="00016BF1" w:rsidRPr="00C80EFF" w:rsidRDefault="001414BE" w:rsidP="00C80EFF">
      <w:pPr>
        <w:pStyle w:val="Heading1"/>
        <w:spacing w:line="360" w:lineRule="auto"/>
        <w:jc w:val="both"/>
        <w:rPr>
          <w:sz w:val="20"/>
          <w:szCs w:val="20"/>
        </w:rPr>
      </w:pPr>
      <w:r w:rsidRPr="00C80EFF">
        <w:rPr>
          <w:b/>
          <w:bCs/>
          <w:color w:val="000000"/>
          <w:sz w:val="20"/>
          <w:szCs w:val="20"/>
        </w:rPr>
        <w:t>Discussion</w:t>
      </w:r>
    </w:p>
    <w:p w:rsidR="00016BF1" w:rsidRPr="00C80EFF" w:rsidRDefault="001414BE" w:rsidP="00C80EFF">
      <w:pPr>
        <w:spacing w:line="360" w:lineRule="auto"/>
        <w:jc w:val="both"/>
      </w:pPr>
      <w:r w:rsidRPr="00C80EFF">
        <w:rPr>
          <w:color w:val="000000"/>
        </w:rPr>
        <w:t>The RIFLE severity distribution and the graded relationship with mortality observed in this study are consistent with the original derivation and validation of the classification by Bellomo and colleagues, and with subsequent large-scale validation studies, including the multinational cohort reported by Uchino and colleagues and the cohort analysis by Hoste and colleagues, both of which demonstrated a strong, stepwise increase in mortality risk with advancing RIFLE category.</w:t>
      </w:r>
      <w:r w:rsidRPr="00C80EFF">
        <w:rPr>
          <w:color w:val="000000"/>
          <w:vertAlign w:val="superscript"/>
        </w:rPr>
        <w:t>1,7,8</w:t>
      </w:r>
      <w:r w:rsidRPr="00C80EFF">
        <w:rPr>
          <w:color w:val="000000"/>
        </w:rPr>
        <w:t xml:space="preserve"> The systematic review by Ricci and colleagues similarly confirmed this consistent mortality gradient across a large body of published literature, reinforcing the prognostic reliability of the RIFLE framework across diverse clinical settings.</w:t>
      </w:r>
      <w:r w:rsidRPr="00C80EFF">
        <w:rPr>
          <w:color w:val="000000"/>
          <w:vertAlign w:val="superscript"/>
        </w:rPr>
        <w:t>9</w:t>
      </w:r>
    </w:p>
    <w:p w:rsidR="00016BF1" w:rsidRPr="00C80EFF" w:rsidRDefault="001414BE" w:rsidP="00C80EFF">
      <w:pPr>
        <w:spacing w:line="360" w:lineRule="auto"/>
        <w:jc w:val="both"/>
      </w:pPr>
      <w:r w:rsidRPr="00C80EFF">
        <w:rPr>
          <w:color w:val="000000"/>
        </w:rPr>
        <w:t>The predominance of sepsis as the leading aetiology of AKI in this study is consistent with the contemporary analysis by Lopes and colleagues, which similarly identified sepsis as a major and increasingly recognised contributor to AKI in hospitalised patients, reflecting the complex interplay of haemodynamic, inflammatory, and direct tubular injury mechanisms characteristic of septic AKI.</w:t>
      </w:r>
      <w:r w:rsidRPr="00C80EFF">
        <w:rPr>
          <w:color w:val="000000"/>
          <w:vertAlign w:val="superscript"/>
        </w:rPr>
        <w:t>10</w:t>
      </w:r>
      <w:r w:rsidRPr="00C80EFF">
        <w:rPr>
          <w:color w:val="000000"/>
        </w:rPr>
        <w:t xml:space="preserve"> The independent association observed between need for dialysis and mortality in this study reinforces the well-established prognostic significance of renal replacement therapy requirement as a marker of AKI severity, consistent with findings from earlier intensive care outcome studies such as that by Schaefer and colleagues.</w:t>
      </w:r>
      <w:r w:rsidRPr="00C80EFF">
        <w:rPr>
          <w:color w:val="000000"/>
          <w:vertAlign w:val="superscript"/>
        </w:rPr>
        <w:t>12</w:t>
      </w:r>
    </w:p>
    <w:p w:rsidR="00016BF1" w:rsidRPr="00C80EFF" w:rsidRDefault="001414BE" w:rsidP="00C80EFF">
      <w:pPr>
        <w:spacing w:line="360" w:lineRule="auto"/>
        <w:jc w:val="both"/>
      </w:pPr>
      <w:r w:rsidRPr="00C80EFF">
        <w:rPr>
          <w:color w:val="000000"/>
        </w:rPr>
        <w:t>These findings collectively reinforce the clinical utility of the RIFLE classification as a simple, readily applicable tool for early risk stratification in patients with AKI, enabling clinicians to identify patients at highest risk of adverse outcome for closer monitoring and more aggressive supportive intervention.</w:t>
      </w:r>
      <w:r w:rsidRPr="00C80EFF">
        <w:rPr>
          <w:color w:val="000000"/>
          <w:vertAlign w:val="superscript"/>
        </w:rPr>
        <w:t>1,8</w:t>
      </w:r>
      <w:r w:rsidRPr="00C80EFF">
        <w:rPr>
          <w:color w:val="000000"/>
        </w:rPr>
        <w:t xml:space="preserve"> Given the substantial contribution of sepsis and hypovolaemia to the overall AKI burden in this study, early haemodynamic optimisation and judicious avoidance of nephrotoxic agents in hospitalised patients at risk remain important preventive strategies.</w:t>
      </w:r>
      <w:r w:rsidRPr="00C80EFF">
        <w:rPr>
          <w:color w:val="000000"/>
          <w:vertAlign w:val="superscript"/>
        </w:rPr>
        <w:t>4,10</w:t>
      </w:r>
    </w:p>
    <w:p w:rsidR="00016BF1" w:rsidRPr="00C80EFF" w:rsidRDefault="001414BE" w:rsidP="00C80EFF">
      <w:pPr>
        <w:pStyle w:val="Heading1"/>
        <w:spacing w:line="360" w:lineRule="auto"/>
        <w:jc w:val="both"/>
        <w:rPr>
          <w:sz w:val="20"/>
          <w:szCs w:val="20"/>
        </w:rPr>
      </w:pPr>
      <w:r w:rsidRPr="00C80EFF">
        <w:rPr>
          <w:b/>
          <w:bCs/>
          <w:color w:val="000000"/>
          <w:sz w:val="20"/>
          <w:szCs w:val="20"/>
        </w:rPr>
        <w:t>Strengths and Limitations</w:t>
      </w:r>
    </w:p>
    <w:p w:rsidR="00016BF1" w:rsidRPr="00C80EFF" w:rsidRDefault="001414BE" w:rsidP="00C80EFF">
      <w:pPr>
        <w:spacing w:line="360" w:lineRule="auto"/>
        <w:jc w:val="both"/>
      </w:pPr>
      <w:r w:rsidRPr="00C80EFF">
        <w:rPr>
          <w:color w:val="000000"/>
        </w:rPr>
        <w:t>This study's strengths include systematic RIFLE classification of all participants based on serial creatinine and urine output measurements, and complete in-hospital outcome ascertainment. Limitations include the single-centre, cross-sectional design, which limits generalisability and precludes assessment of longer-term renal outcomes beyond hospital discharge; and reliance on RIFLE rather than the subsequently developed AKIN or KDIGO criteria, which may show modest differences in AKI staging sensitivity as documented in comparative studies of these classification systems.</w:t>
      </w:r>
      <w:r w:rsidRPr="00C80EFF">
        <w:rPr>
          <w:color w:val="000000"/>
          <w:vertAlign w:val="superscript"/>
        </w:rPr>
        <w:t>11</w:t>
      </w:r>
    </w:p>
    <w:p w:rsidR="00016BF1" w:rsidRPr="00C80EFF" w:rsidRDefault="001414BE" w:rsidP="00C80EFF">
      <w:pPr>
        <w:pStyle w:val="Heading1"/>
        <w:spacing w:line="360" w:lineRule="auto"/>
        <w:jc w:val="both"/>
        <w:rPr>
          <w:sz w:val="20"/>
          <w:szCs w:val="20"/>
        </w:rPr>
      </w:pPr>
      <w:r w:rsidRPr="00C80EFF">
        <w:rPr>
          <w:b/>
          <w:bCs/>
          <w:color w:val="000000"/>
          <w:sz w:val="20"/>
          <w:szCs w:val="20"/>
        </w:rPr>
        <w:t>Conclusion</w:t>
      </w:r>
    </w:p>
    <w:p w:rsidR="00016BF1" w:rsidRPr="00C80EFF" w:rsidRDefault="001414BE" w:rsidP="00C80EFF">
      <w:pPr>
        <w:spacing w:line="360" w:lineRule="auto"/>
        <w:jc w:val="both"/>
      </w:pPr>
      <w:r w:rsidRPr="00C80EFF">
        <w:rPr>
          <w:color w:val="000000"/>
        </w:rPr>
        <w:t>RIFLE severity category correlates strongly with in-hospital mortality among patients with acute kidney injury in this population, with sepsis as the leading identified aetiology. These findings support the continued use of RIFLE as a practical, readily applicable tool for early risk stratification and support the prioritisation of sepsis prevention and management as a key strategy for reducing AKI-associated mortality in hospitalised patients.</w:t>
      </w:r>
    </w:p>
    <w:p w:rsidR="00C80EFF" w:rsidRDefault="00C80EFF" w:rsidP="00C80EFF">
      <w:pPr>
        <w:pStyle w:val="Heading1"/>
        <w:spacing w:line="360" w:lineRule="auto"/>
        <w:jc w:val="both"/>
        <w:rPr>
          <w:b/>
          <w:bCs/>
          <w:color w:val="000000"/>
          <w:sz w:val="20"/>
          <w:szCs w:val="20"/>
        </w:rPr>
      </w:pPr>
    </w:p>
    <w:p w:rsidR="00016BF1" w:rsidRPr="00C80EFF" w:rsidRDefault="001414BE" w:rsidP="00C80EFF">
      <w:pPr>
        <w:pStyle w:val="Heading1"/>
        <w:spacing w:line="360" w:lineRule="auto"/>
        <w:jc w:val="both"/>
        <w:rPr>
          <w:sz w:val="20"/>
          <w:szCs w:val="20"/>
        </w:rPr>
      </w:pPr>
      <w:r w:rsidRPr="00C80EFF">
        <w:rPr>
          <w:b/>
          <w:bCs/>
          <w:color w:val="000000"/>
          <w:sz w:val="20"/>
          <w:szCs w:val="20"/>
        </w:rPr>
        <w:t>References</w:t>
      </w:r>
    </w:p>
    <w:p w:rsidR="00016BF1" w:rsidRPr="00C80EFF" w:rsidRDefault="001414BE" w:rsidP="00C80EFF">
      <w:pPr>
        <w:spacing w:line="360" w:lineRule="auto"/>
        <w:ind w:left="400" w:hanging="400"/>
        <w:jc w:val="both"/>
      </w:pPr>
      <w:r w:rsidRPr="00C80EFF">
        <w:rPr>
          <w:color w:val="000000"/>
        </w:rPr>
        <w:t>1. Bellomo R, Ronco C, Kellum JA, Mehta RL, Palevsky P; Acute Dialysis Quality Initiative workgroup. Acute renal failure - definition, outcome measures, animal models, fluid therapy and information technology needs: the Second International Consensus Conference of the Acute Dialysis Quality Initiative (ADQI) Group. Crit Care. 2004;8(4):R204-12.</w:t>
      </w:r>
    </w:p>
    <w:p w:rsidR="00016BF1" w:rsidRPr="00C80EFF" w:rsidRDefault="001414BE" w:rsidP="00C80EFF">
      <w:pPr>
        <w:spacing w:line="360" w:lineRule="auto"/>
        <w:ind w:left="400" w:hanging="400"/>
        <w:jc w:val="both"/>
      </w:pPr>
      <w:r w:rsidRPr="00C80EFF">
        <w:rPr>
          <w:color w:val="000000"/>
        </w:rPr>
        <w:t>2. Mehta RL, Kellum JA, Shah SV, et al; Acute Kidney Injury Network. Acute Kidney Injury Network: report of an initiative to improve outcomes in acute kidney injury. Crit Care. 2007;11(2):R31.</w:t>
      </w:r>
    </w:p>
    <w:p w:rsidR="00016BF1" w:rsidRPr="00C80EFF" w:rsidRDefault="001414BE" w:rsidP="00C80EFF">
      <w:pPr>
        <w:spacing w:line="360" w:lineRule="auto"/>
        <w:ind w:left="400" w:hanging="400"/>
        <w:jc w:val="both"/>
      </w:pPr>
      <w:r w:rsidRPr="00C80EFF">
        <w:rPr>
          <w:color w:val="000000"/>
        </w:rPr>
        <w:t>3. Kellum JA, Levin N, Bouman C, Lameire N. Developing a consensus classification system for acute renal failure. Curr Opin Crit Care. 2002;8(6):509-14.</w:t>
      </w:r>
    </w:p>
    <w:p w:rsidR="00016BF1" w:rsidRPr="00C80EFF" w:rsidRDefault="001414BE" w:rsidP="00C80EFF">
      <w:pPr>
        <w:spacing w:line="360" w:lineRule="auto"/>
        <w:ind w:left="400" w:hanging="400"/>
        <w:jc w:val="both"/>
      </w:pPr>
      <w:r w:rsidRPr="00C80EFF">
        <w:rPr>
          <w:color w:val="000000"/>
        </w:rPr>
        <w:t>4. Thadhani R, Pascual M, Bonventre JV. Acute renal failure. N Engl J Med. 1996;334(22):1448-60.</w:t>
      </w:r>
    </w:p>
    <w:p w:rsidR="00016BF1" w:rsidRPr="00C80EFF" w:rsidRDefault="001414BE" w:rsidP="00C80EFF">
      <w:pPr>
        <w:spacing w:line="360" w:lineRule="auto"/>
        <w:ind w:left="400" w:hanging="400"/>
        <w:jc w:val="both"/>
      </w:pPr>
      <w:r w:rsidRPr="00C80EFF">
        <w:rPr>
          <w:color w:val="000000"/>
        </w:rPr>
        <w:t>5. Liano F, Pascual J; Madrid Acute Renal Failure Study Group. Epidemiology of acute renal failure: a prospective, multicenter, community-based study. Kidney Int. 1996;50(3):811-8.</w:t>
      </w:r>
    </w:p>
    <w:p w:rsidR="00016BF1" w:rsidRPr="00C80EFF" w:rsidRDefault="001414BE" w:rsidP="00C80EFF">
      <w:pPr>
        <w:spacing w:line="360" w:lineRule="auto"/>
        <w:ind w:left="400" w:hanging="400"/>
        <w:jc w:val="both"/>
      </w:pPr>
      <w:r w:rsidRPr="00C80EFF">
        <w:rPr>
          <w:color w:val="000000"/>
        </w:rPr>
        <w:t>6. Brivet FG, Kleinknecht DJ, Loirat P, Landais PJ. Acute renal failure in intensive care units--causes, outcome, and prognostic factors of hospital mortality: a prospective, multicenter study. Crit Care Med. 1996;24(2):192-8.</w:t>
      </w:r>
    </w:p>
    <w:p w:rsidR="00016BF1" w:rsidRPr="00C80EFF" w:rsidRDefault="001414BE" w:rsidP="00C80EFF">
      <w:pPr>
        <w:spacing w:line="360" w:lineRule="auto"/>
        <w:ind w:left="400" w:hanging="400"/>
        <w:jc w:val="both"/>
      </w:pPr>
      <w:r w:rsidRPr="00C80EFF">
        <w:rPr>
          <w:color w:val="000000"/>
        </w:rPr>
        <w:t>7. Uchino S, Kellum JA, Bellomo R, et al; Beginning and Ending Supportive Therapy for the Kidney (BEST Kidney) Investigators. Acute renal failure in critically ill patients: a multinational, multicenter study. JAMA. 2005;294(7):813-8.</w:t>
      </w:r>
    </w:p>
    <w:p w:rsidR="00016BF1" w:rsidRPr="00C80EFF" w:rsidRDefault="001414BE" w:rsidP="00C80EFF">
      <w:pPr>
        <w:spacing w:line="360" w:lineRule="auto"/>
        <w:ind w:left="400" w:hanging="400"/>
        <w:jc w:val="both"/>
      </w:pPr>
      <w:r w:rsidRPr="00C80EFF">
        <w:rPr>
          <w:color w:val="000000"/>
        </w:rPr>
        <w:t>8. Hoste EA, Clermont G, Kersten A, et al. RIFLE criteria for acute kidney injury are associated with hospital mortality in critically ill patients: a cohort analysis. Crit Care. 2006;10(3):R73.</w:t>
      </w:r>
    </w:p>
    <w:p w:rsidR="00016BF1" w:rsidRPr="00C80EFF" w:rsidRDefault="001414BE" w:rsidP="00C80EFF">
      <w:pPr>
        <w:spacing w:line="360" w:lineRule="auto"/>
        <w:ind w:left="400" w:hanging="400"/>
        <w:jc w:val="both"/>
      </w:pPr>
      <w:r w:rsidRPr="00C80EFF">
        <w:rPr>
          <w:color w:val="000000"/>
        </w:rPr>
        <w:t>9. Ricci Z, Cruz D, Ronco C. The RIFLE criteria and mortality in acute kidney injury: a systematic review. Kidney Int. 2008;73(5):538-46.</w:t>
      </w:r>
    </w:p>
    <w:p w:rsidR="00016BF1" w:rsidRPr="00C80EFF" w:rsidRDefault="001414BE" w:rsidP="00C80EFF">
      <w:pPr>
        <w:spacing w:line="360" w:lineRule="auto"/>
        <w:ind w:left="400" w:hanging="400"/>
        <w:jc w:val="both"/>
      </w:pPr>
      <w:r w:rsidRPr="00C80EFF">
        <w:rPr>
          <w:color w:val="000000"/>
        </w:rPr>
        <w:t>10. Lopes JA, Jorge S, Resina C, et al. Acute kidney injury in patients with sepsis: a contemporary analysis. Int J Infect Dis. 2009;13(2):176-81.</w:t>
      </w:r>
    </w:p>
    <w:p w:rsidR="00016BF1" w:rsidRPr="00C80EFF" w:rsidRDefault="001414BE" w:rsidP="00C80EFF">
      <w:pPr>
        <w:spacing w:line="360" w:lineRule="auto"/>
        <w:ind w:left="400" w:hanging="400"/>
        <w:jc w:val="both"/>
      </w:pPr>
      <w:r w:rsidRPr="00C80EFF">
        <w:rPr>
          <w:color w:val="000000"/>
        </w:rPr>
        <w:t>11. Lin CY, Chen YC. Acute kidney injury classification: AKIN and RIFLE criteria in critical patients. World J Crit Care Med. 2012;1(2):40-5.</w:t>
      </w:r>
    </w:p>
    <w:p w:rsidR="00016BF1" w:rsidRPr="00C80EFF" w:rsidRDefault="001414BE" w:rsidP="00C80EFF">
      <w:pPr>
        <w:spacing w:line="360" w:lineRule="auto"/>
        <w:ind w:left="400" w:hanging="400"/>
        <w:jc w:val="both"/>
      </w:pPr>
      <w:r w:rsidRPr="00C80EFF">
        <w:rPr>
          <w:color w:val="000000"/>
        </w:rPr>
        <w:t>12. Schaefer JH, Jochimsen F, Keller F, Wegscheider K, Distler A. Outcome prediction of acute renal failure in medical intensive care. Inte</w:t>
      </w:r>
      <w:bookmarkStart w:id="0" w:name="_GoBack"/>
      <w:bookmarkEnd w:id="0"/>
      <w:r w:rsidRPr="00C80EFF">
        <w:rPr>
          <w:color w:val="000000"/>
        </w:rPr>
        <w:t>nsive Care Med. 1991;17(1):19-24.</w:t>
      </w:r>
    </w:p>
    <w:sectPr w:rsidR="00016BF1" w:rsidRPr="00C80EFF" w:rsidSect="00C80EFF">
      <w:headerReference w:type="default" r:id="rId13"/>
      <w:footerReference w:type="default" r:id="rId14"/>
      <w:pgSz w:w="11906" w:h="16838"/>
      <w:pgMar w:top="1440" w:right="1440" w:bottom="1440" w:left="1440" w:header="708" w:footer="708" w:gutter="0"/>
      <w:pgNumType w:start="70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0AA" w:rsidRDefault="00D500AA" w:rsidP="00C80EFF">
      <w:r>
        <w:separator/>
      </w:r>
    </w:p>
  </w:endnote>
  <w:endnote w:type="continuationSeparator" w:id="0">
    <w:p w:rsidR="00D500AA" w:rsidRDefault="00D500AA" w:rsidP="00C80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2375925"/>
      <w:docPartObj>
        <w:docPartGallery w:val="Page Numbers (Bottom of Page)"/>
        <w:docPartUnique/>
      </w:docPartObj>
    </w:sdtPr>
    <w:sdtEndPr>
      <w:rPr>
        <w:noProof/>
      </w:rPr>
    </w:sdtEndPr>
    <w:sdtContent>
      <w:p w:rsidR="00C80EFF" w:rsidRDefault="00C80EFF">
        <w:pPr>
          <w:pStyle w:val="Footer"/>
          <w:jc w:val="right"/>
        </w:pPr>
        <w:r>
          <w:fldChar w:fldCharType="begin"/>
        </w:r>
        <w:r>
          <w:instrText xml:space="preserve"> PAGE   \* MERGEFORMAT </w:instrText>
        </w:r>
        <w:r>
          <w:fldChar w:fldCharType="separate"/>
        </w:r>
        <w:r w:rsidR="00D500AA">
          <w:rPr>
            <w:noProof/>
          </w:rPr>
          <w:t>707</w:t>
        </w:r>
        <w:r>
          <w:rPr>
            <w:noProof/>
          </w:rPr>
          <w:fldChar w:fldCharType="end"/>
        </w:r>
      </w:p>
    </w:sdtContent>
  </w:sdt>
  <w:p w:rsidR="00C80EFF" w:rsidRPr="00C80EFF" w:rsidRDefault="00C80EFF" w:rsidP="00C80EFF">
    <w:pPr>
      <w:tabs>
        <w:tab w:val="center" w:pos="4513"/>
        <w:tab w:val="right" w:pos="9026"/>
      </w:tabs>
      <w:jc w:val="center"/>
      <w:rPr>
        <w:rFonts w:ascii="Calibri" w:eastAsia="Calibri" w:hAnsi="Calibri"/>
        <w:sz w:val="22"/>
        <w:szCs w:val="22"/>
      </w:rPr>
    </w:pPr>
    <w:r w:rsidRPr="00C80EFF">
      <w:rPr>
        <w:rFonts w:ascii="Calibri" w:eastAsia="Calibri" w:hAnsi="Calibri"/>
        <w:sz w:val="22"/>
        <w:szCs w:val="22"/>
      </w:rPr>
      <w:t>www.ijbamr.com</w:t>
    </w:r>
  </w:p>
  <w:p w:rsidR="00C80EFF" w:rsidRDefault="00C80E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0AA" w:rsidRDefault="00D500AA" w:rsidP="00C80EFF">
      <w:r>
        <w:separator/>
      </w:r>
    </w:p>
  </w:footnote>
  <w:footnote w:type="continuationSeparator" w:id="0">
    <w:p w:rsidR="00D500AA" w:rsidRDefault="00D500AA" w:rsidP="00C80E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EFF" w:rsidRPr="00C80EFF" w:rsidRDefault="00C80EFF" w:rsidP="00C80EFF">
    <w:pPr>
      <w:tabs>
        <w:tab w:val="center" w:pos="4513"/>
        <w:tab w:val="right" w:pos="9026"/>
      </w:tabs>
      <w:jc w:val="center"/>
      <w:rPr>
        <w:rFonts w:eastAsia="Calibri"/>
        <w:sz w:val="22"/>
        <w:szCs w:val="22"/>
      </w:rPr>
    </w:pPr>
    <w:r w:rsidRPr="00C80EFF">
      <w:rPr>
        <w:rFonts w:eastAsia="Calibri"/>
        <w:sz w:val="22"/>
        <w:szCs w:val="22"/>
      </w:rPr>
      <w:t xml:space="preserve">Indian Journal of Basic &amp; Applied Medical Research; March 2013: Issue-6, Vol.-2, P. </w:t>
    </w:r>
    <w:r>
      <w:rPr>
        <w:rFonts w:eastAsia="Calibri"/>
        <w:sz w:val="22"/>
        <w:szCs w:val="22"/>
      </w:rPr>
      <w:t>707 - 714</w:t>
    </w:r>
  </w:p>
  <w:p w:rsidR="00C80EFF" w:rsidRPr="00C80EFF" w:rsidRDefault="00C80EFF" w:rsidP="00C80EFF">
    <w:pPr>
      <w:tabs>
        <w:tab w:val="center" w:pos="4513"/>
        <w:tab w:val="right" w:pos="9026"/>
      </w:tabs>
      <w:rPr>
        <w:rFonts w:ascii="Calibri" w:eastAsia="Calibri" w:hAnsi="Calibri"/>
        <w:sz w:val="22"/>
        <w:szCs w:val="22"/>
        <w:lang w:val="en-IN"/>
      </w:rPr>
    </w:pPr>
  </w:p>
  <w:p w:rsidR="00C80EFF" w:rsidRDefault="00C80E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BF16DF"/>
    <w:multiLevelType w:val="hybridMultilevel"/>
    <w:tmpl w:val="B1B04928"/>
    <w:lvl w:ilvl="0" w:tplc="041618DC">
      <w:start w:val="1"/>
      <w:numFmt w:val="bullet"/>
      <w:lvlText w:val="●"/>
      <w:lvlJc w:val="left"/>
      <w:pPr>
        <w:ind w:left="720" w:hanging="360"/>
      </w:pPr>
    </w:lvl>
    <w:lvl w:ilvl="1" w:tplc="1D4AF7C4">
      <w:start w:val="1"/>
      <w:numFmt w:val="bullet"/>
      <w:lvlText w:val="○"/>
      <w:lvlJc w:val="left"/>
      <w:pPr>
        <w:ind w:left="1440" w:hanging="360"/>
      </w:pPr>
    </w:lvl>
    <w:lvl w:ilvl="2" w:tplc="CD1AFD70">
      <w:start w:val="1"/>
      <w:numFmt w:val="bullet"/>
      <w:lvlText w:val="■"/>
      <w:lvlJc w:val="left"/>
      <w:pPr>
        <w:ind w:left="2160" w:hanging="360"/>
      </w:pPr>
    </w:lvl>
    <w:lvl w:ilvl="3" w:tplc="528E6DE2">
      <w:start w:val="1"/>
      <w:numFmt w:val="bullet"/>
      <w:lvlText w:val="●"/>
      <w:lvlJc w:val="left"/>
      <w:pPr>
        <w:ind w:left="2880" w:hanging="360"/>
      </w:pPr>
    </w:lvl>
    <w:lvl w:ilvl="4" w:tplc="1AB04240">
      <w:start w:val="1"/>
      <w:numFmt w:val="bullet"/>
      <w:lvlText w:val="○"/>
      <w:lvlJc w:val="left"/>
      <w:pPr>
        <w:ind w:left="3600" w:hanging="360"/>
      </w:pPr>
    </w:lvl>
    <w:lvl w:ilvl="5" w:tplc="0706D0A8">
      <w:start w:val="1"/>
      <w:numFmt w:val="bullet"/>
      <w:lvlText w:val="■"/>
      <w:lvlJc w:val="left"/>
      <w:pPr>
        <w:ind w:left="4320" w:hanging="360"/>
      </w:pPr>
    </w:lvl>
    <w:lvl w:ilvl="6" w:tplc="4ED25ED8">
      <w:start w:val="1"/>
      <w:numFmt w:val="bullet"/>
      <w:lvlText w:val="●"/>
      <w:lvlJc w:val="left"/>
      <w:pPr>
        <w:ind w:left="5040" w:hanging="360"/>
      </w:pPr>
    </w:lvl>
    <w:lvl w:ilvl="7" w:tplc="DAF0D708">
      <w:start w:val="1"/>
      <w:numFmt w:val="bullet"/>
      <w:lvlText w:val="●"/>
      <w:lvlJc w:val="left"/>
      <w:pPr>
        <w:ind w:left="5760" w:hanging="360"/>
      </w:pPr>
    </w:lvl>
    <w:lvl w:ilvl="8" w:tplc="D060A10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016BF1"/>
    <w:rsid w:val="00016BF1"/>
    <w:rsid w:val="001414BE"/>
    <w:rsid w:val="0038506B"/>
    <w:rsid w:val="00552D27"/>
    <w:rsid w:val="00871CBA"/>
    <w:rsid w:val="00C80EFF"/>
    <w:rsid w:val="00D50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06B"/>
  </w:style>
  <w:style w:type="paragraph" w:styleId="Heading1">
    <w:name w:val="heading 1"/>
    <w:qFormat/>
    <w:rsid w:val="00016BF1"/>
    <w:pPr>
      <w:outlineLvl w:val="0"/>
    </w:pPr>
    <w:rPr>
      <w:color w:val="2E74B5"/>
      <w:sz w:val="32"/>
      <w:szCs w:val="32"/>
    </w:rPr>
  </w:style>
  <w:style w:type="paragraph" w:styleId="Heading2">
    <w:name w:val="heading 2"/>
    <w:qFormat/>
    <w:rsid w:val="00016BF1"/>
    <w:pPr>
      <w:outlineLvl w:val="1"/>
    </w:pPr>
    <w:rPr>
      <w:color w:val="2E74B5"/>
      <w:sz w:val="26"/>
      <w:szCs w:val="26"/>
    </w:rPr>
  </w:style>
  <w:style w:type="paragraph" w:styleId="Heading3">
    <w:name w:val="heading 3"/>
    <w:qFormat/>
    <w:rsid w:val="00016BF1"/>
    <w:pPr>
      <w:outlineLvl w:val="2"/>
    </w:pPr>
    <w:rPr>
      <w:color w:val="1F4D78"/>
      <w:sz w:val="24"/>
      <w:szCs w:val="24"/>
    </w:rPr>
  </w:style>
  <w:style w:type="paragraph" w:styleId="Heading4">
    <w:name w:val="heading 4"/>
    <w:qFormat/>
    <w:rsid w:val="00016BF1"/>
    <w:pPr>
      <w:outlineLvl w:val="3"/>
    </w:pPr>
    <w:rPr>
      <w:i/>
      <w:iCs/>
      <w:color w:val="2E74B5"/>
    </w:rPr>
  </w:style>
  <w:style w:type="paragraph" w:styleId="Heading5">
    <w:name w:val="heading 5"/>
    <w:qFormat/>
    <w:rsid w:val="00016BF1"/>
    <w:pPr>
      <w:outlineLvl w:val="4"/>
    </w:pPr>
    <w:rPr>
      <w:color w:val="2E74B5"/>
    </w:rPr>
  </w:style>
  <w:style w:type="paragraph" w:styleId="Heading6">
    <w:name w:val="heading 6"/>
    <w:qFormat/>
    <w:rsid w:val="00016BF1"/>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016BF1"/>
    <w:rPr>
      <w:sz w:val="56"/>
      <w:szCs w:val="56"/>
    </w:rPr>
  </w:style>
  <w:style w:type="paragraph" w:customStyle="1" w:styleId="Strong1">
    <w:name w:val="Strong1"/>
    <w:qFormat/>
    <w:rsid w:val="00016BF1"/>
    <w:rPr>
      <w:b/>
      <w:bCs/>
    </w:rPr>
  </w:style>
  <w:style w:type="paragraph" w:styleId="ListParagraph">
    <w:name w:val="List Paragraph"/>
    <w:qFormat/>
    <w:rsid w:val="00016BF1"/>
  </w:style>
  <w:style w:type="character" w:styleId="Hyperlink">
    <w:name w:val="Hyperlink"/>
    <w:uiPriority w:val="99"/>
    <w:unhideWhenUsed/>
    <w:rsid w:val="00016BF1"/>
    <w:rPr>
      <w:color w:val="0563C1"/>
      <w:u w:val="single"/>
    </w:rPr>
  </w:style>
  <w:style w:type="character" w:styleId="FootnoteReference">
    <w:name w:val="footnote reference"/>
    <w:uiPriority w:val="99"/>
    <w:semiHidden/>
    <w:unhideWhenUsed/>
    <w:rsid w:val="00016BF1"/>
    <w:rPr>
      <w:vertAlign w:val="superscript"/>
    </w:rPr>
  </w:style>
  <w:style w:type="paragraph" w:styleId="FootnoteText">
    <w:name w:val="footnote text"/>
    <w:link w:val="FootnoteTextChar"/>
    <w:uiPriority w:val="99"/>
    <w:semiHidden/>
    <w:unhideWhenUsed/>
    <w:rsid w:val="00016BF1"/>
  </w:style>
  <w:style w:type="character" w:customStyle="1" w:styleId="FootnoteTextChar">
    <w:name w:val="Footnote Text Char"/>
    <w:link w:val="FootnoteText"/>
    <w:uiPriority w:val="99"/>
    <w:semiHidden/>
    <w:unhideWhenUsed/>
    <w:rsid w:val="00016BF1"/>
    <w:rPr>
      <w:sz w:val="20"/>
      <w:szCs w:val="20"/>
    </w:rPr>
  </w:style>
  <w:style w:type="character" w:styleId="EndnoteReference">
    <w:name w:val="endnote reference"/>
    <w:uiPriority w:val="99"/>
    <w:semiHidden/>
    <w:unhideWhenUsed/>
    <w:rsid w:val="00016BF1"/>
    <w:rPr>
      <w:vertAlign w:val="superscript"/>
    </w:rPr>
  </w:style>
  <w:style w:type="paragraph" w:styleId="EndnoteText">
    <w:name w:val="endnote text"/>
    <w:link w:val="EndnoteTextChar"/>
    <w:uiPriority w:val="99"/>
    <w:semiHidden/>
    <w:unhideWhenUsed/>
    <w:rsid w:val="00016BF1"/>
  </w:style>
  <w:style w:type="character" w:customStyle="1" w:styleId="EndnoteTextChar">
    <w:name w:val="Endnote Text Char"/>
    <w:link w:val="EndnoteText"/>
    <w:uiPriority w:val="99"/>
    <w:semiHidden/>
    <w:unhideWhenUsed/>
    <w:rsid w:val="00016BF1"/>
    <w:rPr>
      <w:sz w:val="20"/>
      <w:szCs w:val="20"/>
    </w:rPr>
  </w:style>
  <w:style w:type="paragraph" w:styleId="BalloonText">
    <w:name w:val="Balloon Text"/>
    <w:basedOn w:val="Normal"/>
    <w:link w:val="BalloonTextChar"/>
    <w:uiPriority w:val="99"/>
    <w:semiHidden/>
    <w:unhideWhenUsed/>
    <w:rsid w:val="00871CBA"/>
    <w:rPr>
      <w:rFonts w:ascii="Tahoma" w:hAnsi="Tahoma" w:cs="Tahoma"/>
      <w:sz w:val="16"/>
      <w:szCs w:val="16"/>
    </w:rPr>
  </w:style>
  <w:style w:type="character" w:customStyle="1" w:styleId="BalloonTextChar">
    <w:name w:val="Balloon Text Char"/>
    <w:basedOn w:val="DefaultParagraphFont"/>
    <w:link w:val="BalloonText"/>
    <w:uiPriority w:val="99"/>
    <w:semiHidden/>
    <w:rsid w:val="00871CBA"/>
    <w:rPr>
      <w:rFonts w:ascii="Tahoma" w:hAnsi="Tahoma" w:cs="Tahoma"/>
      <w:sz w:val="16"/>
      <w:szCs w:val="16"/>
    </w:rPr>
  </w:style>
  <w:style w:type="paragraph" w:styleId="Header">
    <w:name w:val="header"/>
    <w:basedOn w:val="Normal"/>
    <w:link w:val="HeaderChar"/>
    <w:uiPriority w:val="99"/>
    <w:unhideWhenUsed/>
    <w:rsid w:val="00C80EFF"/>
    <w:pPr>
      <w:tabs>
        <w:tab w:val="center" w:pos="4513"/>
        <w:tab w:val="right" w:pos="9026"/>
      </w:tabs>
    </w:pPr>
  </w:style>
  <w:style w:type="character" w:customStyle="1" w:styleId="HeaderChar">
    <w:name w:val="Header Char"/>
    <w:basedOn w:val="DefaultParagraphFont"/>
    <w:link w:val="Header"/>
    <w:uiPriority w:val="99"/>
    <w:rsid w:val="00C80EFF"/>
  </w:style>
  <w:style w:type="paragraph" w:styleId="Footer">
    <w:name w:val="footer"/>
    <w:basedOn w:val="Normal"/>
    <w:link w:val="FooterChar"/>
    <w:uiPriority w:val="99"/>
    <w:unhideWhenUsed/>
    <w:rsid w:val="00C80EFF"/>
    <w:pPr>
      <w:tabs>
        <w:tab w:val="center" w:pos="4513"/>
        <w:tab w:val="right" w:pos="9026"/>
      </w:tabs>
    </w:pPr>
  </w:style>
  <w:style w:type="character" w:customStyle="1" w:styleId="FooterChar">
    <w:name w:val="Footer Char"/>
    <w:basedOn w:val="DefaultParagraphFont"/>
    <w:link w:val="Footer"/>
    <w:uiPriority w:val="99"/>
    <w:rsid w:val="00C80E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51071">
      <w:bodyDiv w:val="1"/>
      <w:marLeft w:val="0"/>
      <w:marRight w:val="0"/>
      <w:marTop w:val="0"/>
      <w:marBottom w:val="0"/>
      <w:divBdr>
        <w:top w:val="none" w:sz="0" w:space="0" w:color="auto"/>
        <w:left w:val="none" w:sz="0" w:space="0" w:color="auto"/>
        <w:bottom w:val="none" w:sz="0" w:space="0" w:color="auto"/>
        <w:right w:val="none" w:sz="0" w:space="0" w:color="auto"/>
      </w:divBdr>
    </w:div>
    <w:div w:id="1629125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2082</Words>
  <Characters>11871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RDRL</cp:lastModifiedBy>
  <cp:revision>4</cp:revision>
  <cp:lastPrinted>2026-07-23T16:10:00Z</cp:lastPrinted>
  <dcterms:created xsi:type="dcterms:W3CDTF">2026-07-23T07:59:00Z</dcterms:created>
  <dcterms:modified xsi:type="dcterms:W3CDTF">2026-07-23T16:11:00Z</dcterms:modified>
</cp:coreProperties>
</file>