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4ECC" w:rsidRPr="00955EBA" w:rsidRDefault="00BA4ECC" w:rsidP="00BF0A7B">
      <w:pPr>
        <w:spacing w:after="0" w:line="360" w:lineRule="auto"/>
        <w:outlineLvl w:val="2"/>
        <w:rPr>
          <w:rFonts w:asciiTheme="majorHAnsi" w:hAnsiTheme="majorHAnsi" w:cs="Times New Roman"/>
          <w:b/>
          <w:sz w:val="24"/>
          <w:szCs w:val="24"/>
        </w:rPr>
      </w:pPr>
      <w:r w:rsidRPr="00955EBA">
        <w:rPr>
          <w:rFonts w:asciiTheme="majorHAnsi" w:hAnsiTheme="majorHAnsi" w:cs="Times New Roman"/>
          <w:b/>
          <w:sz w:val="24"/>
          <w:szCs w:val="24"/>
          <w:highlight w:val="lightGray"/>
        </w:rPr>
        <w:t>Original article</w:t>
      </w:r>
    </w:p>
    <w:p w:rsidR="00BA4ECC" w:rsidRPr="00955EBA" w:rsidRDefault="00BA4ECC" w:rsidP="00BF0A7B">
      <w:pPr>
        <w:spacing w:after="0" w:line="360" w:lineRule="auto"/>
        <w:outlineLvl w:val="2"/>
        <w:rPr>
          <w:rFonts w:asciiTheme="majorHAnsi" w:eastAsia="Times New Roman" w:hAnsiTheme="majorHAnsi" w:cs="Times New Roman"/>
          <w:b/>
          <w:bCs/>
          <w:color w:val="0070C0"/>
          <w:sz w:val="28"/>
          <w:szCs w:val="28"/>
          <w:lang w:eastAsia="en-IN"/>
        </w:rPr>
      </w:pPr>
      <w:r w:rsidRPr="00955EBA">
        <w:rPr>
          <w:rFonts w:asciiTheme="majorHAnsi" w:hAnsiTheme="majorHAnsi" w:cs="Times New Roman"/>
          <w:b/>
          <w:color w:val="0070C0"/>
          <w:sz w:val="28"/>
          <w:szCs w:val="28"/>
        </w:rPr>
        <w:t>Evaluation of Clinical, Functional, and Radiological Outcomes Following Arthroscopic versus Open Repair of Rotator Cuff Tears: A Prospective Comparative Study</w:t>
      </w:r>
    </w:p>
    <w:p w:rsidR="00BF0A7B" w:rsidRPr="00955EBA" w:rsidRDefault="00BF0A7B" w:rsidP="00BF0A7B">
      <w:pPr>
        <w:spacing w:after="0" w:line="360" w:lineRule="auto"/>
        <w:rPr>
          <w:rFonts w:asciiTheme="majorHAnsi" w:hAnsiTheme="majorHAnsi" w:cs="Times New Roman"/>
          <w:b/>
          <w:sz w:val="20"/>
          <w:szCs w:val="20"/>
          <w:lang w:val="en-US"/>
        </w:rPr>
      </w:pPr>
      <w:r w:rsidRPr="00955EBA">
        <w:rPr>
          <w:rFonts w:asciiTheme="majorHAnsi" w:hAnsiTheme="majorHAnsi" w:cs="Times New Roman"/>
          <w:b/>
          <w:sz w:val="20"/>
          <w:szCs w:val="20"/>
          <w:vertAlign w:val="superscript"/>
          <w:lang w:val="en-US"/>
        </w:rPr>
        <w:t>1</w:t>
      </w:r>
      <w:r w:rsidR="00955EBA">
        <w:rPr>
          <w:rFonts w:asciiTheme="majorHAnsi" w:hAnsiTheme="majorHAnsi" w:cs="Times New Roman"/>
          <w:b/>
          <w:sz w:val="20"/>
          <w:szCs w:val="20"/>
          <w:lang w:val="en-US"/>
        </w:rPr>
        <w:t>Dr S</w:t>
      </w:r>
      <w:r w:rsidRPr="00955EBA">
        <w:rPr>
          <w:rFonts w:asciiTheme="majorHAnsi" w:hAnsiTheme="majorHAnsi" w:cs="Times New Roman"/>
          <w:b/>
          <w:sz w:val="20"/>
          <w:szCs w:val="20"/>
          <w:lang w:val="en-US"/>
        </w:rPr>
        <w:t xml:space="preserve">hrenik Prabhudas Dharaskar, </w:t>
      </w:r>
      <w:r w:rsidRPr="00955EBA">
        <w:rPr>
          <w:rFonts w:asciiTheme="majorHAnsi" w:hAnsiTheme="majorHAnsi" w:cs="Times New Roman"/>
          <w:b/>
          <w:sz w:val="20"/>
          <w:szCs w:val="20"/>
          <w:vertAlign w:val="superscript"/>
          <w:lang w:val="en-US"/>
        </w:rPr>
        <w:t>2</w:t>
      </w:r>
      <w:r w:rsidRPr="00955EBA">
        <w:rPr>
          <w:rFonts w:asciiTheme="majorHAnsi" w:hAnsiTheme="majorHAnsi" w:cs="Times New Roman"/>
          <w:b/>
          <w:sz w:val="20"/>
          <w:szCs w:val="20"/>
          <w:lang w:val="en-US"/>
        </w:rPr>
        <w:t>Dr Gopal Mahadeo Shinde</w:t>
      </w:r>
      <w:r w:rsidR="00C84E0E">
        <w:rPr>
          <w:rFonts w:asciiTheme="majorHAnsi" w:hAnsiTheme="majorHAnsi" w:cs="Times New Roman"/>
          <w:b/>
          <w:sz w:val="20"/>
          <w:szCs w:val="20"/>
          <w:lang w:val="en-US"/>
        </w:rPr>
        <w:t>*</w:t>
      </w:r>
      <w:r w:rsidRPr="00955EBA">
        <w:rPr>
          <w:rFonts w:asciiTheme="majorHAnsi" w:hAnsiTheme="majorHAnsi" w:cs="Times New Roman"/>
          <w:b/>
          <w:sz w:val="20"/>
          <w:szCs w:val="20"/>
          <w:lang w:val="en-US"/>
        </w:rPr>
        <w:t xml:space="preserve">, </w:t>
      </w:r>
      <w:r w:rsidRPr="00955EBA">
        <w:rPr>
          <w:rFonts w:asciiTheme="majorHAnsi" w:hAnsiTheme="majorHAnsi" w:cs="Times New Roman"/>
          <w:b/>
          <w:sz w:val="20"/>
          <w:szCs w:val="20"/>
          <w:vertAlign w:val="superscript"/>
          <w:lang w:val="en-US"/>
        </w:rPr>
        <w:t>3</w:t>
      </w:r>
      <w:r w:rsidR="00955EBA">
        <w:rPr>
          <w:rFonts w:asciiTheme="majorHAnsi" w:hAnsiTheme="majorHAnsi" w:cs="Times New Roman"/>
          <w:b/>
          <w:sz w:val="20"/>
          <w:szCs w:val="20"/>
          <w:lang w:val="en-US"/>
        </w:rPr>
        <w:t>Dr Rajani S</w:t>
      </w:r>
      <w:r w:rsidRPr="00955EBA">
        <w:rPr>
          <w:rFonts w:asciiTheme="majorHAnsi" w:hAnsiTheme="majorHAnsi" w:cs="Times New Roman"/>
          <w:b/>
          <w:sz w:val="20"/>
          <w:szCs w:val="20"/>
          <w:lang w:val="en-US"/>
        </w:rPr>
        <w:t xml:space="preserve">hrenik </w:t>
      </w:r>
      <w:r w:rsidR="00C84E0E">
        <w:rPr>
          <w:rFonts w:asciiTheme="majorHAnsi" w:hAnsiTheme="majorHAnsi" w:cs="Times New Roman"/>
          <w:b/>
          <w:sz w:val="20"/>
          <w:szCs w:val="20"/>
          <w:lang w:val="en-US"/>
        </w:rPr>
        <w:t xml:space="preserve">Dharaskar </w:t>
      </w:r>
    </w:p>
    <w:p w:rsidR="00BF0A7B" w:rsidRPr="00955EBA" w:rsidRDefault="00BF0A7B" w:rsidP="00BF0A7B">
      <w:pPr>
        <w:spacing w:after="0" w:line="360" w:lineRule="auto"/>
        <w:rPr>
          <w:rFonts w:asciiTheme="majorHAnsi" w:hAnsiTheme="majorHAnsi" w:cs="Times New Roman"/>
          <w:sz w:val="20"/>
          <w:szCs w:val="20"/>
          <w:lang w:val="en-US"/>
        </w:rPr>
      </w:pPr>
    </w:p>
    <w:p w:rsidR="00BF0A7B" w:rsidRPr="00955EBA" w:rsidRDefault="00BF0A7B" w:rsidP="00BF0A7B">
      <w:pPr>
        <w:spacing w:after="0" w:line="360" w:lineRule="auto"/>
        <w:rPr>
          <w:rFonts w:asciiTheme="majorHAnsi" w:hAnsiTheme="majorHAnsi" w:cs="Times New Roman"/>
          <w:sz w:val="20"/>
          <w:szCs w:val="20"/>
          <w:lang w:val="en-US"/>
        </w:rPr>
      </w:pPr>
      <w:r w:rsidRPr="00955EBA">
        <w:rPr>
          <w:rFonts w:asciiTheme="majorHAnsi" w:hAnsiTheme="majorHAnsi" w:cs="Times New Roman"/>
          <w:sz w:val="20"/>
          <w:szCs w:val="20"/>
          <w:vertAlign w:val="superscript"/>
          <w:lang w:val="en-US"/>
        </w:rPr>
        <w:t>1</w:t>
      </w:r>
      <w:r w:rsidR="00955EBA">
        <w:rPr>
          <w:rFonts w:asciiTheme="majorHAnsi" w:hAnsiTheme="majorHAnsi" w:cs="Times New Roman"/>
          <w:sz w:val="20"/>
          <w:szCs w:val="20"/>
          <w:lang w:val="en-US"/>
        </w:rPr>
        <w:t>Assistant P</w:t>
      </w:r>
      <w:r w:rsidRPr="00955EBA">
        <w:rPr>
          <w:rFonts w:asciiTheme="majorHAnsi" w:hAnsiTheme="majorHAnsi" w:cs="Times New Roman"/>
          <w:sz w:val="20"/>
          <w:szCs w:val="20"/>
          <w:lang w:val="en-US"/>
        </w:rPr>
        <w:t xml:space="preserve">rofessor, Dept of Orthopaedics, Ulhas Patil Medical College and Hospital, Jalgaon. </w:t>
      </w:r>
    </w:p>
    <w:p w:rsidR="00BF0A7B" w:rsidRPr="00955EBA" w:rsidRDefault="00BF0A7B" w:rsidP="00BF0A7B">
      <w:pPr>
        <w:spacing w:after="0" w:line="360" w:lineRule="auto"/>
        <w:rPr>
          <w:rFonts w:asciiTheme="majorHAnsi" w:hAnsiTheme="majorHAnsi" w:cs="Times New Roman"/>
          <w:sz w:val="20"/>
          <w:szCs w:val="20"/>
          <w:lang w:val="en-US"/>
        </w:rPr>
      </w:pPr>
      <w:r w:rsidRPr="00955EBA">
        <w:rPr>
          <w:rFonts w:asciiTheme="majorHAnsi" w:hAnsiTheme="majorHAnsi" w:cs="Times New Roman"/>
          <w:sz w:val="20"/>
          <w:szCs w:val="20"/>
          <w:vertAlign w:val="superscript"/>
          <w:lang w:val="en-US"/>
        </w:rPr>
        <w:t>2</w:t>
      </w:r>
      <w:r w:rsidRPr="00955EBA">
        <w:rPr>
          <w:rFonts w:asciiTheme="majorHAnsi" w:hAnsiTheme="majorHAnsi" w:cs="Times New Roman"/>
          <w:sz w:val="20"/>
          <w:szCs w:val="20"/>
          <w:lang w:val="en-US"/>
        </w:rPr>
        <w:t>Assistant Professor, Dept of Orthopaedics, SMBT Institute of Medical Sciences and Research Centre, Dhamangaon.</w:t>
      </w:r>
    </w:p>
    <w:p w:rsidR="00BF0A7B" w:rsidRPr="00955EBA" w:rsidRDefault="00BF0A7B" w:rsidP="00BF0A7B">
      <w:pPr>
        <w:spacing w:after="0" w:line="360" w:lineRule="auto"/>
        <w:rPr>
          <w:rFonts w:asciiTheme="majorHAnsi" w:hAnsiTheme="majorHAnsi" w:cs="Times New Roman"/>
          <w:sz w:val="20"/>
          <w:szCs w:val="20"/>
          <w:lang w:val="en-US"/>
        </w:rPr>
      </w:pPr>
      <w:r w:rsidRPr="00955EBA">
        <w:rPr>
          <w:rFonts w:asciiTheme="majorHAnsi" w:hAnsiTheme="majorHAnsi" w:cs="Times New Roman"/>
          <w:sz w:val="20"/>
          <w:szCs w:val="20"/>
          <w:vertAlign w:val="superscript"/>
          <w:lang w:val="en-US"/>
        </w:rPr>
        <w:t>3</w:t>
      </w:r>
      <w:r w:rsidRPr="00955EBA">
        <w:rPr>
          <w:rFonts w:asciiTheme="majorHAnsi" w:hAnsiTheme="majorHAnsi" w:cs="Times New Roman"/>
          <w:sz w:val="20"/>
          <w:szCs w:val="20"/>
          <w:lang w:val="en-US"/>
        </w:rPr>
        <w:t>Consultant, Medall Spark Diagnostic Center, Nashik</w:t>
      </w:r>
    </w:p>
    <w:p w:rsidR="00BF0A7B" w:rsidRPr="00955EBA" w:rsidRDefault="00BF0A7B" w:rsidP="00BF0A7B">
      <w:pPr>
        <w:spacing w:after="0" w:line="360" w:lineRule="auto"/>
        <w:rPr>
          <w:rFonts w:asciiTheme="majorHAnsi" w:hAnsiTheme="majorHAnsi" w:cs="Times New Roman"/>
          <w:sz w:val="20"/>
          <w:szCs w:val="20"/>
          <w:lang w:val="en-US"/>
        </w:rPr>
      </w:pPr>
      <w:r w:rsidRPr="00955EBA">
        <w:rPr>
          <w:rFonts w:asciiTheme="majorHAnsi" w:hAnsiTheme="majorHAnsi" w:cs="Times New Roman"/>
          <w:sz w:val="20"/>
          <w:szCs w:val="20"/>
          <w:lang w:val="en-US"/>
        </w:rPr>
        <w:t>Corresponding author*</w:t>
      </w:r>
    </w:p>
    <w:p w:rsidR="00BF0A7B" w:rsidRPr="00955EBA" w:rsidRDefault="00BF0A7B" w:rsidP="00BF0A7B">
      <w:pPr>
        <w:spacing w:after="0" w:line="360" w:lineRule="auto"/>
        <w:jc w:val="both"/>
        <w:outlineLvl w:val="1"/>
        <w:rPr>
          <w:rFonts w:asciiTheme="majorHAnsi" w:eastAsia="Times New Roman" w:hAnsiTheme="majorHAnsi" w:cs="Times New Roman"/>
          <w:b/>
          <w:bCs/>
          <w:sz w:val="24"/>
          <w:szCs w:val="24"/>
          <w:lang w:eastAsia="en-IN"/>
        </w:rPr>
      </w:pPr>
      <w:bookmarkStart w:id="0" w:name="_GoBack"/>
      <w:bookmarkEnd w:id="0"/>
    </w:p>
    <w:p w:rsidR="00BA4ECC" w:rsidRPr="00955EBA" w:rsidRDefault="00BA4ECC" w:rsidP="00BF0A7B">
      <w:pPr>
        <w:spacing w:after="0" w:line="360" w:lineRule="auto"/>
        <w:jc w:val="both"/>
        <w:outlineLvl w:val="1"/>
        <w:rPr>
          <w:rFonts w:asciiTheme="majorHAnsi" w:eastAsia="Times New Roman" w:hAnsiTheme="majorHAnsi" w:cs="Times New Roman"/>
          <w:b/>
          <w:bCs/>
          <w:sz w:val="20"/>
          <w:szCs w:val="20"/>
          <w:lang w:eastAsia="en-IN"/>
        </w:rPr>
      </w:pPr>
      <w:r w:rsidRPr="00955EBA">
        <w:rPr>
          <w:rFonts w:asciiTheme="majorHAnsi" w:eastAsia="Times New Roman" w:hAnsiTheme="majorHAnsi" w:cs="Times New Roman"/>
          <w:b/>
          <w:bCs/>
          <w:sz w:val="20"/>
          <w:szCs w:val="20"/>
          <w:lang w:eastAsia="en-IN"/>
        </w:rPr>
        <w:t>Abstract</w:t>
      </w:r>
    </w:p>
    <w:p w:rsidR="00BA4ECC" w:rsidRPr="00955EBA" w:rsidRDefault="00BA4ECC" w:rsidP="00BF0A7B">
      <w:pPr>
        <w:spacing w:after="0" w:line="360" w:lineRule="auto"/>
        <w:jc w:val="both"/>
        <w:outlineLvl w:val="2"/>
        <w:rPr>
          <w:rFonts w:asciiTheme="majorHAnsi" w:eastAsia="Times New Roman" w:hAnsiTheme="majorHAnsi" w:cs="Times New Roman"/>
          <w:b/>
          <w:bCs/>
          <w:sz w:val="18"/>
          <w:szCs w:val="18"/>
          <w:lang w:eastAsia="en-IN"/>
        </w:rPr>
      </w:pPr>
      <w:r w:rsidRPr="00955EBA">
        <w:rPr>
          <w:rFonts w:asciiTheme="majorHAnsi" w:eastAsia="Times New Roman" w:hAnsiTheme="majorHAnsi" w:cs="Times New Roman"/>
          <w:b/>
          <w:bCs/>
          <w:sz w:val="18"/>
          <w:szCs w:val="18"/>
          <w:lang w:eastAsia="en-IN"/>
        </w:rPr>
        <w:t xml:space="preserve">Background- </w:t>
      </w:r>
      <w:r w:rsidRPr="00955EBA">
        <w:rPr>
          <w:rFonts w:asciiTheme="majorHAnsi" w:eastAsia="Times New Roman" w:hAnsiTheme="majorHAnsi" w:cs="Times New Roman"/>
          <w:sz w:val="18"/>
          <w:szCs w:val="18"/>
          <w:lang w:eastAsia="en-IN"/>
        </w:rPr>
        <w:t>Rotator cuff tears are a major cause of shoulder pain and disability. Although both arthroscopic and open repair techniques are widely practiced, their comparative effectiveness regarding clinical, functional, and radiological outcomes remains an area of ongoing research.</w:t>
      </w:r>
    </w:p>
    <w:p w:rsidR="00BA4ECC" w:rsidRPr="00955EBA" w:rsidRDefault="00BA4ECC" w:rsidP="00BA4ECC">
      <w:pPr>
        <w:spacing w:after="0" w:line="360" w:lineRule="auto"/>
        <w:jc w:val="both"/>
        <w:outlineLvl w:val="2"/>
        <w:rPr>
          <w:rFonts w:asciiTheme="majorHAnsi" w:eastAsia="Times New Roman" w:hAnsiTheme="majorHAnsi" w:cs="Times New Roman"/>
          <w:b/>
          <w:bCs/>
          <w:sz w:val="18"/>
          <w:szCs w:val="18"/>
          <w:lang w:eastAsia="en-IN"/>
        </w:rPr>
      </w:pPr>
      <w:r w:rsidRPr="00955EBA">
        <w:rPr>
          <w:rFonts w:asciiTheme="majorHAnsi" w:eastAsia="Times New Roman" w:hAnsiTheme="majorHAnsi" w:cs="Times New Roman"/>
          <w:b/>
          <w:bCs/>
          <w:sz w:val="18"/>
          <w:szCs w:val="18"/>
          <w:lang w:eastAsia="en-IN"/>
        </w:rPr>
        <w:t xml:space="preserve">Aim- </w:t>
      </w:r>
      <w:r w:rsidRPr="00955EBA">
        <w:rPr>
          <w:rFonts w:asciiTheme="majorHAnsi" w:eastAsia="Times New Roman" w:hAnsiTheme="majorHAnsi" w:cs="Times New Roman"/>
          <w:sz w:val="18"/>
          <w:szCs w:val="18"/>
          <w:lang w:eastAsia="en-IN"/>
        </w:rPr>
        <w:t>To compare the clinical, functional, and radiological outcomes of arthroscopic versus open repair in patients with rotator cuff tears.</w:t>
      </w:r>
    </w:p>
    <w:p w:rsidR="00BA4ECC" w:rsidRPr="00955EBA" w:rsidRDefault="00BA4ECC" w:rsidP="00BA4ECC">
      <w:pPr>
        <w:spacing w:after="0" w:line="360" w:lineRule="auto"/>
        <w:jc w:val="both"/>
        <w:outlineLvl w:val="2"/>
        <w:rPr>
          <w:rFonts w:asciiTheme="majorHAnsi" w:eastAsia="Times New Roman" w:hAnsiTheme="majorHAnsi" w:cs="Times New Roman"/>
          <w:b/>
          <w:bCs/>
          <w:sz w:val="18"/>
          <w:szCs w:val="18"/>
          <w:lang w:eastAsia="en-IN"/>
        </w:rPr>
      </w:pPr>
      <w:r w:rsidRPr="00955EBA">
        <w:rPr>
          <w:rFonts w:asciiTheme="majorHAnsi" w:eastAsia="Times New Roman" w:hAnsiTheme="majorHAnsi" w:cs="Times New Roman"/>
          <w:b/>
          <w:bCs/>
          <w:sz w:val="18"/>
          <w:szCs w:val="18"/>
          <w:lang w:eastAsia="en-IN"/>
        </w:rPr>
        <w:t xml:space="preserve">Materials and Methods- </w:t>
      </w:r>
      <w:r w:rsidRPr="00955EBA">
        <w:rPr>
          <w:rFonts w:asciiTheme="majorHAnsi" w:eastAsia="Times New Roman" w:hAnsiTheme="majorHAnsi" w:cs="Times New Roman"/>
          <w:sz w:val="18"/>
          <w:szCs w:val="18"/>
          <w:lang w:eastAsia="en-IN"/>
        </w:rPr>
        <w:t xml:space="preserve">This prospective comparative study included </w:t>
      </w:r>
      <w:r w:rsidRPr="00955EBA">
        <w:rPr>
          <w:rFonts w:asciiTheme="majorHAnsi" w:eastAsia="Times New Roman" w:hAnsiTheme="majorHAnsi" w:cs="Times New Roman"/>
          <w:b/>
          <w:bCs/>
          <w:sz w:val="18"/>
          <w:szCs w:val="18"/>
          <w:lang w:eastAsia="en-IN"/>
        </w:rPr>
        <w:t>45 patients</w:t>
      </w:r>
      <w:r w:rsidRPr="00955EBA">
        <w:rPr>
          <w:rFonts w:asciiTheme="majorHAnsi" w:eastAsia="Times New Roman" w:hAnsiTheme="majorHAnsi" w:cs="Times New Roman"/>
          <w:sz w:val="18"/>
          <w:szCs w:val="18"/>
          <w:lang w:eastAsia="en-IN"/>
        </w:rPr>
        <w:t xml:space="preserve"> with symptomatic full-thickness rotator cuff tears treated at a tertiary care hospital. Patients underwent either </w:t>
      </w:r>
      <w:r w:rsidRPr="00955EBA">
        <w:rPr>
          <w:rFonts w:asciiTheme="majorHAnsi" w:eastAsia="Times New Roman" w:hAnsiTheme="majorHAnsi" w:cs="Times New Roman"/>
          <w:b/>
          <w:bCs/>
          <w:sz w:val="18"/>
          <w:szCs w:val="18"/>
          <w:lang w:eastAsia="en-IN"/>
        </w:rPr>
        <w:t>arthroscopic repair (n = 23)</w:t>
      </w:r>
      <w:r w:rsidRPr="00955EBA">
        <w:rPr>
          <w:rFonts w:asciiTheme="majorHAnsi" w:eastAsia="Times New Roman" w:hAnsiTheme="majorHAnsi" w:cs="Times New Roman"/>
          <w:sz w:val="18"/>
          <w:szCs w:val="18"/>
          <w:lang w:eastAsia="en-IN"/>
        </w:rPr>
        <w:t xml:space="preserve"> or </w:t>
      </w:r>
      <w:r w:rsidRPr="00955EBA">
        <w:rPr>
          <w:rFonts w:asciiTheme="majorHAnsi" w:eastAsia="Times New Roman" w:hAnsiTheme="majorHAnsi" w:cs="Times New Roman"/>
          <w:b/>
          <w:bCs/>
          <w:sz w:val="18"/>
          <w:szCs w:val="18"/>
          <w:lang w:eastAsia="en-IN"/>
        </w:rPr>
        <w:t>open repair (n = 22)</w:t>
      </w:r>
      <w:r w:rsidRPr="00955EBA">
        <w:rPr>
          <w:rFonts w:asciiTheme="majorHAnsi" w:eastAsia="Times New Roman" w:hAnsiTheme="majorHAnsi" w:cs="Times New Roman"/>
          <w:sz w:val="18"/>
          <w:szCs w:val="18"/>
          <w:lang w:eastAsia="en-IN"/>
        </w:rPr>
        <w:t xml:space="preserve">. Clinical assessment was performed using the Visual Analog Scale (VAS), while functional outcomes were evaluated using the Constant-Murley Score and UCLA Shoulder Rating Scale. Radiological tendon healing was assessed at the final follow-up. Patients were followed for 12 months, and data were analyzed using appropriate statistical tests with </w:t>
      </w:r>
      <w:r w:rsidRPr="00955EBA">
        <w:rPr>
          <w:rFonts w:asciiTheme="majorHAnsi" w:eastAsia="Times New Roman" w:hAnsiTheme="majorHAnsi" w:cs="Times New Roman"/>
          <w:i/>
          <w:iCs/>
          <w:sz w:val="18"/>
          <w:szCs w:val="18"/>
          <w:lang w:eastAsia="en-IN"/>
        </w:rPr>
        <w:t>p</w:t>
      </w:r>
      <w:r w:rsidRPr="00955EBA">
        <w:rPr>
          <w:rFonts w:asciiTheme="majorHAnsi" w:eastAsia="Times New Roman" w:hAnsiTheme="majorHAnsi" w:cs="Times New Roman"/>
          <w:sz w:val="18"/>
          <w:szCs w:val="18"/>
          <w:lang w:eastAsia="en-IN"/>
        </w:rPr>
        <w:t xml:space="preserve"> &lt; 0.05 considered significant.</w:t>
      </w:r>
    </w:p>
    <w:p w:rsidR="00BA4ECC" w:rsidRPr="00955EBA" w:rsidRDefault="00BA4ECC" w:rsidP="00BA4ECC">
      <w:pPr>
        <w:spacing w:after="0" w:line="360" w:lineRule="auto"/>
        <w:jc w:val="both"/>
        <w:outlineLvl w:val="2"/>
        <w:rPr>
          <w:rFonts w:asciiTheme="majorHAnsi" w:eastAsia="Times New Roman" w:hAnsiTheme="majorHAnsi" w:cs="Times New Roman"/>
          <w:b/>
          <w:bCs/>
          <w:sz w:val="18"/>
          <w:szCs w:val="18"/>
          <w:lang w:eastAsia="en-IN"/>
        </w:rPr>
      </w:pPr>
      <w:r w:rsidRPr="00955EBA">
        <w:rPr>
          <w:rFonts w:asciiTheme="majorHAnsi" w:eastAsia="Times New Roman" w:hAnsiTheme="majorHAnsi" w:cs="Times New Roman"/>
          <w:b/>
          <w:bCs/>
          <w:sz w:val="18"/>
          <w:szCs w:val="18"/>
          <w:lang w:eastAsia="en-IN"/>
        </w:rPr>
        <w:t xml:space="preserve">Results- </w:t>
      </w:r>
      <w:r w:rsidRPr="00955EBA">
        <w:rPr>
          <w:rFonts w:asciiTheme="majorHAnsi" w:eastAsia="Times New Roman" w:hAnsiTheme="majorHAnsi" w:cs="Times New Roman"/>
          <w:sz w:val="18"/>
          <w:szCs w:val="18"/>
          <w:lang w:eastAsia="en-IN"/>
        </w:rPr>
        <w:t>Patients treated with arthroscopic repair demonstrated significantly lower postoperative pain scores, higher Constant-Murley and UCLA scores, greater range of shoulder motion, and earlier return to routine activities compared with the open repair group (</w:t>
      </w:r>
      <w:r w:rsidRPr="00955EBA">
        <w:rPr>
          <w:rFonts w:asciiTheme="majorHAnsi" w:eastAsia="Times New Roman" w:hAnsiTheme="majorHAnsi" w:cs="Times New Roman"/>
          <w:i/>
          <w:iCs/>
          <w:sz w:val="18"/>
          <w:szCs w:val="18"/>
          <w:lang w:eastAsia="en-IN"/>
        </w:rPr>
        <w:t>p</w:t>
      </w:r>
      <w:r w:rsidRPr="00955EBA">
        <w:rPr>
          <w:rFonts w:asciiTheme="majorHAnsi" w:eastAsia="Times New Roman" w:hAnsiTheme="majorHAnsi" w:cs="Times New Roman"/>
          <w:sz w:val="18"/>
          <w:szCs w:val="18"/>
          <w:lang w:eastAsia="en-IN"/>
        </w:rPr>
        <w:t xml:space="preserve"> &lt; 0.05). Radiological tendon healing rates were comparable between the two groups. Postoperative complications, including shoulder stiffness and wound-related problems, were less frequent following arthroscopic repair.</w:t>
      </w:r>
    </w:p>
    <w:p w:rsidR="00BA4ECC" w:rsidRPr="00955EBA" w:rsidRDefault="00BA4ECC" w:rsidP="00BA4ECC">
      <w:pPr>
        <w:spacing w:after="0" w:line="360" w:lineRule="auto"/>
        <w:jc w:val="both"/>
        <w:outlineLvl w:val="2"/>
        <w:rPr>
          <w:rFonts w:asciiTheme="majorHAnsi" w:eastAsia="Times New Roman" w:hAnsiTheme="majorHAnsi" w:cs="Times New Roman"/>
          <w:b/>
          <w:bCs/>
          <w:sz w:val="18"/>
          <w:szCs w:val="18"/>
          <w:lang w:eastAsia="en-IN"/>
        </w:rPr>
      </w:pPr>
      <w:r w:rsidRPr="00955EBA">
        <w:rPr>
          <w:rFonts w:asciiTheme="majorHAnsi" w:eastAsia="Times New Roman" w:hAnsiTheme="majorHAnsi" w:cs="Times New Roman"/>
          <w:b/>
          <w:bCs/>
          <w:sz w:val="18"/>
          <w:szCs w:val="18"/>
          <w:lang w:eastAsia="en-IN"/>
        </w:rPr>
        <w:t xml:space="preserve">Conclusion- </w:t>
      </w:r>
      <w:r w:rsidRPr="00955EBA">
        <w:rPr>
          <w:rFonts w:asciiTheme="majorHAnsi" w:eastAsia="Times New Roman" w:hAnsiTheme="majorHAnsi" w:cs="Times New Roman"/>
          <w:sz w:val="18"/>
          <w:szCs w:val="18"/>
          <w:lang w:eastAsia="en-IN"/>
        </w:rPr>
        <w:t>Both surgical techniques achieved satisfactory tendon healing and functional improvement. However, arthroscopic repair provided superior pain relief, better functional recovery, earlier rehabilitation, and fewer complications, supporting its preference for the management of repairable rotator cuff tears.</w:t>
      </w:r>
    </w:p>
    <w:p w:rsidR="00BA4ECC" w:rsidRPr="00955EBA" w:rsidRDefault="00BA4ECC" w:rsidP="00BA4ECC">
      <w:pPr>
        <w:spacing w:after="0" w:line="360" w:lineRule="auto"/>
        <w:jc w:val="both"/>
        <w:rPr>
          <w:rFonts w:asciiTheme="majorHAnsi" w:eastAsia="Times New Roman" w:hAnsiTheme="majorHAnsi" w:cs="Times New Roman"/>
          <w:sz w:val="18"/>
          <w:szCs w:val="18"/>
          <w:lang w:eastAsia="en-IN"/>
        </w:rPr>
      </w:pPr>
      <w:r w:rsidRPr="00955EBA">
        <w:rPr>
          <w:rFonts w:asciiTheme="majorHAnsi" w:eastAsia="Times New Roman" w:hAnsiTheme="majorHAnsi" w:cs="Times New Roman"/>
          <w:b/>
          <w:bCs/>
          <w:sz w:val="18"/>
          <w:szCs w:val="18"/>
          <w:lang w:eastAsia="en-IN"/>
        </w:rPr>
        <w:t>Keywords:</w:t>
      </w:r>
      <w:r w:rsidRPr="00955EBA">
        <w:rPr>
          <w:rFonts w:asciiTheme="majorHAnsi" w:eastAsia="Times New Roman" w:hAnsiTheme="majorHAnsi" w:cs="Times New Roman"/>
          <w:sz w:val="18"/>
          <w:szCs w:val="18"/>
          <w:lang w:eastAsia="en-IN"/>
        </w:rPr>
        <w:t xml:space="preserve"> Rotator cuff tear; Arthroscopic repair; Open rotator cuff repair.</w:t>
      </w:r>
    </w:p>
    <w:p w:rsidR="00BA4ECC" w:rsidRPr="00BA4ECC" w:rsidRDefault="00BA4ECC" w:rsidP="00BA4ECC">
      <w:pPr>
        <w:spacing w:after="0" w:line="360" w:lineRule="auto"/>
        <w:jc w:val="both"/>
        <w:rPr>
          <w:rFonts w:ascii="Times New Roman" w:hAnsi="Times New Roman" w:cs="Times New Roman"/>
          <w:sz w:val="24"/>
          <w:szCs w:val="24"/>
        </w:rPr>
      </w:pPr>
    </w:p>
    <w:p w:rsidR="00BA4ECC" w:rsidRPr="00955EBA" w:rsidRDefault="00BA4ECC" w:rsidP="00BA4ECC">
      <w:pPr>
        <w:spacing w:after="0" w:line="360" w:lineRule="auto"/>
        <w:jc w:val="both"/>
        <w:outlineLvl w:val="1"/>
        <w:rPr>
          <w:rFonts w:ascii="Times New Roman" w:eastAsia="Times New Roman" w:hAnsi="Times New Roman" w:cs="Times New Roman"/>
          <w:b/>
          <w:bCs/>
          <w:sz w:val="20"/>
          <w:szCs w:val="20"/>
          <w:lang w:eastAsia="en-IN"/>
        </w:rPr>
      </w:pPr>
      <w:r w:rsidRPr="00955EBA">
        <w:rPr>
          <w:rFonts w:ascii="Times New Roman" w:eastAsia="Times New Roman" w:hAnsi="Times New Roman" w:cs="Times New Roman"/>
          <w:b/>
          <w:bCs/>
          <w:sz w:val="20"/>
          <w:szCs w:val="20"/>
          <w:lang w:eastAsia="en-IN"/>
        </w:rPr>
        <w:t xml:space="preserve">Introduction </w:t>
      </w:r>
    </w:p>
    <w:p w:rsidR="00BA4ECC" w:rsidRPr="00955EBA" w:rsidRDefault="00BA4ECC" w:rsidP="00BA4ECC">
      <w:pPr>
        <w:spacing w:after="0" w:line="360" w:lineRule="auto"/>
        <w:jc w:val="both"/>
        <w:rPr>
          <w:rFonts w:ascii="Times New Roman" w:eastAsia="Times New Roman" w:hAnsi="Times New Roman" w:cs="Times New Roman"/>
          <w:sz w:val="20"/>
          <w:szCs w:val="20"/>
          <w:lang w:eastAsia="en-IN"/>
        </w:rPr>
      </w:pPr>
      <w:r w:rsidRPr="00955EBA">
        <w:rPr>
          <w:rFonts w:ascii="Times New Roman" w:eastAsia="Times New Roman" w:hAnsi="Times New Roman" w:cs="Times New Roman"/>
          <w:sz w:val="20"/>
          <w:szCs w:val="20"/>
          <w:lang w:eastAsia="en-IN"/>
        </w:rPr>
        <w:t xml:space="preserve">Rotator cuff tears are among the most common causes of shoulder pain, weakness, and functional disability, particularly in middle-aged and elderly individuals. (1) These injuries may result from acute trauma or chronic degenerative changes and can significantly impair activities of daily living and quality of life. Surgical repair is indicated in patients with symptomatic full-thickness tears who fail to respond to conservative management. Traditionally, open rotator cuff repair has been considered the standard surgical technique, providing secure </w:t>
      </w:r>
      <w:r w:rsidRPr="00955EBA">
        <w:rPr>
          <w:rFonts w:ascii="Times New Roman" w:eastAsia="Times New Roman" w:hAnsi="Times New Roman" w:cs="Times New Roman"/>
          <w:sz w:val="20"/>
          <w:szCs w:val="20"/>
          <w:lang w:eastAsia="en-IN"/>
        </w:rPr>
        <w:lastRenderedPageBreak/>
        <w:t>tendon fixation and satisfactory long-term outcomes. (2,3) However, advances in arthroscopic techniques have enabled minimally invasive repair with improved visualization, reduced soft tissue damage, decreased postoperative pain, and faster rehabilitation. Despite these advantages, concerns remain regarding operative time, technical complexity, tendon healing, and long-term functional outcomes. (4,5,6) Comparative evaluation of arthroscopic and open repair is therefore essential to guide surgical decision-making. (7) Our study aimed to evaluate and compare the clinical, functional, and radiological outcomes following arthroscopic versus open repair of rotator cuff tears.</w:t>
      </w:r>
    </w:p>
    <w:p w:rsidR="00BA4ECC" w:rsidRPr="00955EBA" w:rsidRDefault="00BA4ECC" w:rsidP="00BA4ECC">
      <w:pPr>
        <w:spacing w:after="0" w:line="360" w:lineRule="auto"/>
        <w:jc w:val="both"/>
        <w:outlineLvl w:val="2"/>
        <w:rPr>
          <w:rFonts w:ascii="Times New Roman" w:eastAsia="Times New Roman" w:hAnsi="Times New Roman" w:cs="Times New Roman"/>
          <w:b/>
          <w:bCs/>
          <w:sz w:val="20"/>
          <w:szCs w:val="20"/>
          <w:lang w:eastAsia="en-IN"/>
        </w:rPr>
      </w:pPr>
      <w:r w:rsidRPr="00955EBA">
        <w:rPr>
          <w:rFonts w:ascii="Times New Roman" w:eastAsia="Times New Roman" w:hAnsi="Times New Roman" w:cs="Times New Roman"/>
          <w:b/>
          <w:bCs/>
          <w:sz w:val="20"/>
          <w:szCs w:val="20"/>
          <w:lang w:eastAsia="en-IN"/>
        </w:rPr>
        <w:t>Materials and Methodology</w:t>
      </w:r>
    </w:p>
    <w:p w:rsidR="00BA4ECC" w:rsidRPr="00955EBA" w:rsidRDefault="00BA4ECC" w:rsidP="00BA4ECC">
      <w:pPr>
        <w:spacing w:after="0" w:line="360" w:lineRule="auto"/>
        <w:jc w:val="both"/>
        <w:rPr>
          <w:rFonts w:ascii="Times New Roman" w:eastAsia="Times New Roman" w:hAnsi="Times New Roman" w:cs="Times New Roman"/>
          <w:sz w:val="20"/>
          <w:szCs w:val="20"/>
          <w:lang w:eastAsia="en-IN"/>
        </w:rPr>
      </w:pPr>
      <w:r w:rsidRPr="00955EBA">
        <w:rPr>
          <w:rFonts w:ascii="Times New Roman" w:eastAsia="Times New Roman" w:hAnsi="Times New Roman" w:cs="Times New Roman"/>
          <w:sz w:val="20"/>
          <w:szCs w:val="20"/>
          <w:lang w:eastAsia="en-IN"/>
        </w:rPr>
        <w:t xml:space="preserve">This prospective comparative study was conducted in the Department of Orthopaedics at a tertiary care teaching hospital over a period of 18 months after obtaining approval from the Institutional Ethics Committee. Written informed consent was obtained from all participants prior to enrollment. A total of </w:t>
      </w:r>
      <w:r w:rsidRPr="00955EBA">
        <w:rPr>
          <w:rFonts w:ascii="Times New Roman" w:eastAsia="Times New Roman" w:hAnsi="Times New Roman" w:cs="Times New Roman"/>
          <w:b/>
          <w:bCs/>
          <w:sz w:val="20"/>
          <w:szCs w:val="20"/>
          <w:lang w:eastAsia="en-IN"/>
        </w:rPr>
        <w:t>45 patients</w:t>
      </w:r>
      <w:r w:rsidRPr="00955EBA">
        <w:rPr>
          <w:rFonts w:ascii="Times New Roman" w:eastAsia="Times New Roman" w:hAnsi="Times New Roman" w:cs="Times New Roman"/>
          <w:sz w:val="20"/>
          <w:szCs w:val="20"/>
          <w:lang w:eastAsia="en-IN"/>
        </w:rPr>
        <w:t xml:space="preserve"> diagnosed with symptomatic full-thickness rotator cuff tears confirmed by clinical examination and magnetic resonance imaging (MRI) were included in the study. Patients aged 18–70 years who had persistent symptoms despite at least three months of conservative treatment and were willing to participate were enrolled. Patients with partial-thickness tears, irreparable massive rotator cuff tears, previous shoulder surgery, advanced glenohumeral arthritis, fracture around the shoulder, active infection, neurological disorders affecting shoulder function, or those medically unfit for surgery were excluded.</w:t>
      </w:r>
    </w:p>
    <w:p w:rsidR="00BA4ECC" w:rsidRPr="00955EBA" w:rsidRDefault="00BA4ECC" w:rsidP="00BA4ECC">
      <w:pPr>
        <w:spacing w:after="0" w:line="360" w:lineRule="auto"/>
        <w:jc w:val="both"/>
        <w:rPr>
          <w:rFonts w:ascii="Times New Roman" w:eastAsia="Times New Roman" w:hAnsi="Times New Roman" w:cs="Times New Roman"/>
          <w:sz w:val="20"/>
          <w:szCs w:val="20"/>
          <w:lang w:eastAsia="en-IN"/>
        </w:rPr>
      </w:pPr>
      <w:r w:rsidRPr="00955EBA">
        <w:rPr>
          <w:rFonts w:ascii="Times New Roman" w:eastAsia="Times New Roman" w:hAnsi="Times New Roman" w:cs="Times New Roman"/>
          <w:sz w:val="20"/>
          <w:szCs w:val="20"/>
          <w:lang w:eastAsia="en-IN"/>
        </w:rPr>
        <w:t xml:space="preserve">The enrolled patients were allocated into two treatment groups according to the surgical procedure performed. </w:t>
      </w:r>
      <w:r w:rsidRPr="00955EBA">
        <w:rPr>
          <w:rFonts w:ascii="Times New Roman" w:eastAsia="Times New Roman" w:hAnsi="Times New Roman" w:cs="Times New Roman"/>
          <w:bCs/>
          <w:sz w:val="20"/>
          <w:szCs w:val="20"/>
          <w:lang w:eastAsia="en-IN"/>
        </w:rPr>
        <w:t>Twenty-three patients underwent arthroscopic rotator cuff repair (Group A), while twenty-two patients underwent open rotator cuff repair (Group B).</w:t>
      </w:r>
      <w:r w:rsidRPr="00955EBA">
        <w:rPr>
          <w:rFonts w:ascii="Times New Roman" w:eastAsia="Times New Roman" w:hAnsi="Times New Roman" w:cs="Times New Roman"/>
          <w:sz w:val="20"/>
          <w:szCs w:val="20"/>
          <w:lang w:eastAsia="en-IN"/>
        </w:rPr>
        <w:t xml:space="preserve"> All surgeries were performed by experienced orthopaedic surgeons using standardized operative techniques. Perioperative antibiotic prophylaxis, postoperative analgesia, and a uniform rehabilitation protocol comprising immobilization in an arm sling followed by supervised passive, active-assisted, and active range-of-motion exercises and strengthening exercises were followed for all patients. Demographic characteristics, duration of symptoms, mechanism of injury, tear size, operative time, intraoperative findings, and perioperative complications were recorded using a predesigned case record form.</w:t>
      </w:r>
    </w:p>
    <w:p w:rsidR="00BA4ECC" w:rsidRPr="00955EBA" w:rsidRDefault="00BA4ECC" w:rsidP="00BA4ECC">
      <w:pPr>
        <w:spacing w:after="0" w:line="360" w:lineRule="auto"/>
        <w:jc w:val="both"/>
        <w:rPr>
          <w:rFonts w:ascii="Times New Roman" w:eastAsia="Times New Roman" w:hAnsi="Times New Roman" w:cs="Times New Roman"/>
          <w:sz w:val="20"/>
          <w:szCs w:val="20"/>
          <w:lang w:eastAsia="en-IN"/>
        </w:rPr>
      </w:pPr>
      <w:r w:rsidRPr="00955EBA">
        <w:rPr>
          <w:rFonts w:ascii="Times New Roman" w:eastAsia="Times New Roman" w:hAnsi="Times New Roman" w:cs="Times New Roman"/>
          <w:sz w:val="20"/>
          <w:szCs w:val="20"/>
          <w:lang w:eastAsia="en-IN"/>
        </w:rPr>
        <w:t xml:space="preserve">Patients were evaluated clinically, functionally, and radiologically at baseline and during follow-up at 6 weeks, 3 months, 6 months, and 12 months after surgery. Clinical assessment included pain evaluation using the Visual Analog Scale (VAS). Functional outcome was assessed using the Constant-Murley Shoulder Score and the University of California, Los Angeles (UCLA) Shoulder Rating Scale. Range of motion was measured with a goniometer. Radiological assessment of tendon integrity and healing was performed using ultrasonography or magnetic resonance imaging at the final follow-up when indicated. Postoperative complications, including infection, stiffness, re-tear, and reoperation, were documented. Data were entered into Microsoft Excel and analyzed using SPSS version 26.0. Continuous variables were expressed as mean ± standard deviation and compared using the independent Student's </w:t>
      </w:r>
      <w:r w:rsidRPr="00955EBA">
        <w:rPr>
          <w:rFonts w:ascii="Times New Roman" w:eastAsia="Times New Roman" w:hAnsi="Times New Roman" w:cs="Times New Roman"/>
          <w:i/>
          <w:iCs/>
          <w:sz w:val="20"/>
          <w:szCs w:val="20"/>
          <w:lang w:eastAsia="en-IN"/>
        </w:rPr>
        <w:t>t</w:t>
      </w:r>
      <w:r w:rsidRPr="00955EBA">
        <w:rPr>
          <w:rFonts w:ascii="Times New Roman" w:eastAsia="Times New Roman" w:hAnsi="Times New Roman" w:cs="Times New Roman"/>
          <w:sz w:val="20"/>
          <w:szCs w:val="20"/>
          <w:lang w:eastAsia="en-IN"/>
        </w:rPr>
        <w:t xml:space="preserve">-test, while categorical variables were analyzed using the Chi-square test or Fisher's exact test. A </w:t>
      </w:r>
      <w:r w:rsidRPr="00955EBA">
        <w:rPr>
          <w:rFonts w:ascii="Times New Roman" w:eastAsia="Times New Roman" w:hAnsi="Times New Roman" w:cs="Times New Roman"/>
          <w:i/>
          <w:iCs/>
          <w:sz w:val="20"/>
          <w:szCs w:val="20"/>
          <w:lang w:eastAsia="en-IN"/>
        </w:rPr>
        <w:t>p</w:t>
      </w:r>
      <w:r w:rsidRPr="00955EBA">
        <w:rPr>
          <w:rFonts w:ascii="Times New Roman" w:eastAsia="Times New Roman" w:hAnsi="Times New Roman" w:cs="Times New Roman"/>
          <w:sz w:val="20"/>
          <w:szCs w:val="20"/>
          <w:lang w:eastAsia="en-IN"/>
        </w:rPr>
        <w:t>-value of &lt;0.05 was considered statistically significant.</w:t>
      </w:r>
    </w:p>
    <w:p w:rsidR="00BA4ECC" w:rsidRPr="00955EBA" w:rsidRDefault="00BA4ECC" w:rsidP="00BA4ECC">
      <w:pPr>
        <w:spacing w:after="0" w:line="360" w:lineRule="auto"/>
        <w:jc w:val="both"/>
        <w:outlineLvl w:val="2"/>
        <w:rPr>
          <w:rFonts w:ascii="Times New Roman" w:eastAsia="Times New Roman" w:hAnsi="Times New Roman" w:cs="Times New Roman"/>
          <w:b/>
          <w:bCs/>
          <w:sz w:val="20"/>
          <w:szCs w:val="20"/>
          <w:lang w:eastAsia="en-IN"/>
        </w:rPr>
      </w:pPr>
      <w:r w:rsidRPr="00955EBA">
        <w:rPr>
          <w:rFonts w:ascii="Times New Roman" w:eastAsia="Times New Roman" w:hAnsi="Times New Roman" w:cs="Times New Roman"/>
          <w:b/>
          <w:bCs/>
          <w:sz w:val="20"/>
          <w:szCs w:val="20"/>
          <w:lang w:eastAsia="en-IN"/>
        </w:rPr>
        <w:t>Results</w:t>
      </w:r>
    </w:p>
    <w:p w:rsidR="00BA4ECC" w:rsidRPr="00955EBA" w:rsidRDefault="00BA4ECC" w:rsidP="00BA4ECC">
      <w:pPr>
        <w:spacing w:after="0" w:line="360" w:lineRule="auto"/>
        <w:jc w:val="both"/>
        <w:rPr>
          <w:rFonts w:ascii="Times New Roman" w:eastAsia="Times New Roman" w:hAnsi="Times New Roman" w:cs="Times New Roman"/>
          <w:sz w:val="20"/>
          <w:szCs w:val="20"/>
          <w:lang w:eastAsia="en-IN"/>
        </w:rPr>
      </w:pPr>
      <w:r w:rsidRPr="00955EBA">
        <w:rPr>
          <w:rFonts w:ascii="Times New Roman" w:eastAsia="Times New Roman" w:hAnsi="Times New Roman" w:cs="Times New Roman"/>
          <w:sz w:val="20"/>
          <w:szCs w:val="20"/>
          <w:lang w:eastAsia="en-IN"/>
        </w:rPr>
        <w:t xml:space="preserve">A total of </w:t>
      </w:r>
      <w:r w:rsidRPr="00955EBA">
        <w:rPr>
          <w:rFonts w:ascii="Times New Roman" w:eastAsia="Times New Roman" w:hAnsi="Times New Roman" w:cs="Times New Roman"/>
          <w:bCs/>
          <w:sz w:val="20"/>
          <w:szCs w:val="20"/>
          <w:lang w:eastAsia="en-IN"/>
        </w:rPr>
        <w:t>45 patients</w:t>
      </w:r>
      <w:r w:rsidRPr="00955EBA">
        <w:rPr>
          <w:rFonts w:ascii="Times New Roman" w:eastAsia="Times New Roman" w:hAnsi="Times New Roman" w:cs="Times New Roman"/>
          <w:sz w:val="20"/>
          <w:szCs w:val="20"/>
          <w:lang w:eastAsia="en-IN"/>
        </w:rPr>
        <w:t xml:space="preserve"> were included in the study, of whom </w:t>
      </w:r>
      <w:r w:rsidRPr="00955EBA">
        <w:rPr>
          <w:rFonts w:ascii="Times New Roman" w:eastAsia="Times New Roman" w:hAnsi="Times New Roman" w:cs="Times New Roman"/>
          <w:bCs/>
          <w:sz w:val="20"/>
          <w:szCs w:val="20"/>
          <w:lang w:eastAsia="en-IN"/>
        </w:rPr>
        <w:t>23 underwent arthroscopic rotator cuff repair (Group A)</w:t>
      </w:r>
      <w:r w:rsidRPr="00955EBA">
        <w:rPr>
          <w:rFonts w:ascii="Times New Roman" w:eastAsia="Times New Roman" w:hAnsi="Times New Roman" w:cs="Times New Roman"/>
          <w:sz w:val="20"/>
          <w:szCs w:val="20"/>
          <w:lang w:eastAsia="en-IN"/>
        </w:rPr>
        <w:t xml:space="preserve"> and </w:t>
      </w:r>
      <w:r w:rsidRPr="00955EBA">
        <w:rPr>
          <w:rFonts w:ascii="Times New Roman" w:eastAsia="Times New Roman" w:hAnsi="Times New Roman" w:cs="Times New Roman"/>
          <w:bCs/>
          <w:sz w:val="20"/>
          <w:szCs w:val="20"/>
          <w:lang w:eastAsia="en-IN"/>
        </w:rPr>
        <w:t>22 underwent open rotator cuff repair (Group B)</w:t>
      </w:r>
      <w:r w:rsidRPr="00955EBA">
        <w:rPr>
          <w:rFonts w:ascii="Times New Roman" w:eastAsia="Times New Roman" w:hAnsi="Times New Roman" w:cs="Times New Roman"/>
          <w:sz w:val="20"/>
          <w:szCs w:val="20"/>
          <w:lang w:eastAsia="en-IN"/>
        </w:rPr>
        <w:t>. Baseline demographic characteristics were comparable between the two groups. At the final follow-up, patients treated with arthroscopic repair demonstrated significantly better functional outcomes, lower pain scores, and earlier recovery of shoulder movements. Radiological tendon healing rates were comparable between both groups, while the incidence of postoperative complications was lower in the arthroscopic group.</w:t>
      </w:r>
    </w:p>
    <w:p w:rsidR="00BA4ECC" w:rsidRPr="00955EBA" w:rsidRDefault="00BA4ECC" w:rsidP="00BA4ECC">
      <w:pPr>
        <w:spacing w:after="0" w:line="360" w:lineRule="auto"/>
        <w:jc w:val="both"/>
        <w:outlineLvl w:val="3"/>
        <w:rPr>
          <w:rFonts w:ascii="Times New Roman" w:eastAsia="Times New Roman" w:hAnsi="Times New Roman" w:cs="Times New Roman"/>
          <w:b/>
          <w:bCs/>
          <w:sz w:val="20"/>
          <w:szCs w:val="20"/>
          <w:lang w:eastAsia="en-IN"/>
        </w:rPr>
      </w:pPr>
      <w:r w:rsidRPr="00955EBA">
        <w:rPr>
          <w:rFonts w:ascii="Times New Roman" w:eastAsia="Times New Roman" w:hAnsi="Times New Roman" w:cs="Times New Roman"/>
          <w:b/>
          <w:bCs/>
          <w:sz w:val="20"/>
          <w:szCs w:val="20"/>
          <w:lang w:eastAsia="en-IN"/>
        </w:rPr>
        <w:t>Table 1. Baseline Demographic and Clinical Characteristics of the Study Population</w:t>
      </w:r>
    </w:p>
    <w:tbl>
      <w:tblPr>
        <w:tblStyle w:val="TableGrid"/>
        <w:tblW w:w="0" w:type="auto"/>
        <w:tblLook w:val="04A0" w:firstRow="1" w:lastRow="0" w:firstColumn="1" w:lastColumn="0" w:noHBand="0" w:noVBand="1"/>
      </w:tblPr>
      <w:tblGrid>
        <w:gridCol w:w="3388"/>
        <w:gridCol w:w="2586"/>
        <w:gridCol w:w="1930"/>
        <w:gridCol w:w="850"/>
      </w:tblGrid>
      <w:tr w:rsidR="00BA4ECC" w:rsidRPr="00955EBA" w:rsidTr="00BA4ECC">
        <w:tc>
          <w:tcPr>
            <w:tcW w:w="0" w:type="auto"/>
            <w:hideMark/>
          </w:tcPr>
          <w:p w:rsidR="00BA4ECC" w:rsidRPr="00955EBA" w:rsidRDefault="00BA4ECC" w:rsidP="00BA4ECC">
            <w:pPr>
              <w:spacing w:line="360" w:lineRule="auto"/>
              <w:jc w:val="both"/>
              <w:rPr>
                <w:rFonts w:ascii="Times New Roman" w:eastAsia="Times New Roman" w:hAnsi="Times New Roman" w:cs="Times New Roman"/>
                <w:b/>
                <w:bCs/>
                <w:sz w:val="20"/>
                <w:szCs w:val="20"/>
                <w:lang w:eastAsia="en-IN"/>
              </w:rPr>
            </w:pPr>
            <w:r w:rsidRPr="00955EBA">
              <w:rPr>
                <w:rFonts w:ascii="Times New Roman" w:eastAsia="Times New Roman" w:hAnsi="Times New Roman" w:cs="Times New Roman"/>
                <w:b/>
                <w:bCs/>
                <w:sz w:val="20"/>
                <w:szCs w:val="20"/>
                <w:lang w:eastAsia="en-IN"/>
              </w:rPr>
              <w:t>Variable</w:t>
            </w:r>
          </w:p>
        </w:tc>
        <w:tc>
          <w:tcPr>
            <w:tcW w:w="0" w:type="auto"/>
            <w:hideMark/>
          </w:tcPr>
          <w:p w:rsidR="00BA4ECC" w:rsidRPr="00955EBA" w:rsidRDefault="00BA4ECC" w:rsidP="00BA4ECC">
            <w:pPr>
              <w:spacing w:line="360" w:lineRule="auto"/>
              <w:jc w:val="center"/>
              <w:rPr>
                <w:rFonts w:ascii="Times New Roman" w:eastAsia="Times New Roman" w:hAnsi="Times New Roman" w:cs="Times New Roman"/>
                <w:b/>
                <w:bCs/>
                <w:sz w:val="20"/>
                <w:szCs w:val="20"/>
                <w:lang w:eastAsia="en-IN"/>
              </w:rPr>
            </w:pPr>
            <w:r w:rsidRPr="00955EBA">
              <w:rPr>
                <w:rFonts w:ascii="Times New Roman" w:eastAsia="Times New Roman" w:hAnsi="Times New Roman" w:cs="Times New Roman"/>
                <w:b/>
                <w:bCs/>
                <w:sz w:val="20"/>
                <w:szCs w:val="20"/>
                <w:lang w:eastAsia="en-IN"/>
              </w:rPr>
              <w:t>Arthroscopic Repair (n=23)</w:t>
            </w:r>
          </w:p>
        </w:tc>
        <w:tc>
          <w:tcPr>
            <w:tcW w:w="0" w:type="auto"/>
            <w:hideMark/>
          </w:tcPr>
          <w:p w:rsidR="00BA4ECC" w:rsidRPr="00955EBA" w:rsidRDefault="00BA4ECC" w:rsidP="00BA4ECC">
            <w:pPr>
              <w:spacing w:line="360" w:lineRule="auto"/>
              <w:jc w:val="center"/>
              <w:rPr>
                <w:rFonts w:ascii="Times New Roman" w:eastAsia="Times New Roman" w:hAnsi="Times New Roman" w:cs="Times New Roman"/>
                <w:b/>
                <w:bCs/>
                <w:sz w:val="20"/>
                <w:szCs w:val="20"/>
                <w:lang w:eastAsia="en-IN"/>
              </w:rPr>
            </w:pPr>
            <w:r w:rsidRPr="00955EBA">
              <w:rPr>
                <w:rFonts w:ascii="Times New Roman" w:eastAsia="Times New Roman" w:hAnsi="Times New Roman" w:cs="Times New Roman"/>
                <w:b/>
                <w:bCs/>
                <w:sz w:val="20"/>
                <w:szCs w:val="20"/>
                <w:lang w:eastAsia="en-IN"/>
              </w:rPr>
              <w:t>Open Repair (n=22)</w:t>
            </w:r>
          </w:p>
        </w:tc>
        <w:tc>
          <w:tcPr>
            <w:tcW w:w="0" w:type="auto"/>
            <w:hideMark/>
          </w:tcPr>
          <w:p w:rsidR="00BA4ECC" w:rsidRPr="00955EBA" w:rsidRDefault="00BA4ECC" w:rsidP="00BA4ECC">
            <w:pPr>
              <w:spacing w:line="360" w:lineRule="auto"/>
              <w:jc w:val="center"/>
              <w:rPr>
                <w:rFonts w:ascii="Times New Roman" w:eastAsia="Times New Roman" w:hAnsi="Times New Roman" w:cs="Times New Roman"/>
                <w:b/>
                <w:bCs/>
                <w:sz w:val="20"/>
                <w:szCs w:val="20"/>
                <w:lang w:eastAsia="en-IN"/>
              </w:rPr>
            </w:pPr>
            <w:r w:rsidRPr="00955EBA">
              <w:rPr>
                <w:rFonts w:ascii="Times New Roman" w:eastAsia="Times New Roman" w:hAnsi="Times New Roman" w:cs="Times New Roman"/>
                <w:b/>
                <w:bCs/>
                <w:sz w:val="20"/>
                <w:szCs w:val="20"/>
                <w:lang w:eastAsia="en-IN"/>
              </w:rPr>
              <w:t>p-value</w:t>
            </w:r>
          </w:p>
        </w:tc>
      </w:tr>
      <w:tr w:rsidR="00BA4ECC" w:rsidRPr="00955EBA" w:rsidTr="00BA4ECC">
        <w:tc>
          <w:tcPr>
            <w:tcW w:w="0" w:type="auto"/>
            <w:hideMark/>
          </w:tcPr>
          <w:p w:rsidR="00BA4ECC" w:rsidRPr="00955EBA" w:rsidRDefault="00BA4ECC" w:rsidP="00BA4ECC">
            <w:pPr>
              <w:spacing w:line="360" w:lineRule="auto"/>
              <w:jc w:val="both"/>
              <w:rPr>
                <w:rFonts w:ascii="Times New Roman" w:eastAsia="Times New Roman" w:hAnsi="Times New Roman" w:cs="Times New Roman"/>
                <w:sz w:val="20"/>
                <w:szCs w:val="20"/>
                <w:lang w:eastAsia="en-IN"/>
              </w:rPr>
            </w:pPr>
            <w:r w:rsidRPr="00955EBA">
              <w:rPr>
                <w:rFonts w:ascii="Times New Roman" w:eastAsia="Times New Roman" w:hAnsi="Times New Roman" w:cs="Times New Roman"/>
                <w:sz w:val="20"/>
                <w:szCs w:val="20"/>
                <w:lang w:eastAsia="en-IN"/>
              </w:rPr>
              <w:t>Mean age (years)</w:t>
            </w:r>
          </w:p>
        </w:tc>
        <w:tc>
          <w:tcPr>
            <w:tcW w:w="0" w:type="auto"/>
            <w:hideMark/>
          </w:tcPr>
          <w:p w:rsidR="00BA4ECC" w:rsidRPr="00955EBA" w:rsidRDefault="00BA4ECC" w:rsidP="00BA4ECC">
            <w:pPr>
              <w:spacing w:line="360" w:lineRule="auto"/>
              <w:jc w:val="center"/>
              <w:rPr>
                <w:rFonts w:ascii="Times New Roman" w:eastAsia="Times New Roman" w:hAnsi="Times New Roman" w:cs="Times New Roman"/>
                <w:sz w:val="20"/>
                <w:szCs w:val="20"/>
                <w:lang w:eastAsia="en-IN"/>
              </w:rPr>
            </w:pPr>
            <w:r w:rsidRPr="00955EBA">
              <w:rPr>
                <w:rFonts w:ascii="Times New Roman" w:eastAsia="Times New Roman" w:hAnsi="Times New Roman" w:cs="Times New Roman"/>
                <w:sz w:val="20"/>
                <w:szCs w:val="20"/>
                <w:lang w:eastAsia="en-IN"/>
              </w:rPr>
              <w:t>54.8 ± 8.6</w:t>
            </w:r>
          </w:p>
        </w:tc>
        <w:tc>
          <w:tcPr>
            <w:tcW w:w="0" w:type="auto"/>
            <w:hideMark/>
          </w:tcPr>
          <w:p w:rsidR="00BA4ECC" w:rsidRPr="00955EBA" w:rsidRDefault="00BA4ECC" w:rsidP="00BA4ECC">
            <w:pPr>
              <w:spacing w:line="360" w:lineRule="auto"/>
              <w:jc w:val="center"/>
              <w:rPr>
                <w:rFonts w:ascii="Times New Roman" w:eastAsia="Times New Roman" w:hAnsi="Times New Roman" w:cs="Times New Roman"/>
                <w:sz w:val="20"/>
                <w:szCs w:val="20"/>
                <w:lang w:eastAsia="en-IN"/>
              </w:rPr>
            </w:pPr>
            <w:r w:rsidRPr="00955EBA">
              <w:rPr>
                <w:rFonts w:ascii="Times New Roman" w:eastAsia="Times New Roman" w:hAnsi="Times New Roman" w:cs="Times New Roman"/>
                <w:sz w:val="20"/>
                <w:szCs w:val="20"/>
                <w:lang w:eastAsia="en-IN"/>
              </w:rPr>
              <w:t>56.2 ± 9.1</w:t>
            </w:r>
          </w:p>
        </w:tc>
        <w:tc>
          <w:tcPr>
            <w:tcW w:w="0" w:type="auto"/>
            <w:hideMark/>
          </w:tcPr>
          <w:p w:rsidR="00BA4ECC" w:rsidRPr="00955EBA" w:rsidRDefault="00BA4ECC" w:rsidP="00BA4ECC">
            <w:pPr>
              <w:spacing w:line="360" w:lineRule="auto"/>
              <w:jc w:val="center"/>
              <w:rPr>
                <w:rFonts w:ascii="Times New Roman" w:eastAsia="Times New Roman" w:hAnsi="Times New Roman" w:cs="Times New Roman"/>
                <w:sz w:val="20"/>
                <w:szCs w:val="20"/>
                <w:lang w:eastAsia="en-IN"/>
              </w:rPr>
            </w:pPr>
            <w:r w:rsidRPr="00955EBA">
              <w:rPr>
                <w:rFonts w:ascii="Times New Roman" w:eastAsia="Times New Roman" w:hAnsi="Times New Roman" w:cs="Times New Roman"/>
                <w:sz w:val="20"/>
                <w:szCs w:val="20"/>
                <w:lang w:eastAsia="en-IN"/>
              </w:rPr>
              <w:t>0.58</w:t>
            </w:r>
          </w:p>
        </w:tc>
      </w:tr>
      <w:tr w:rsidR="00BA4ECC" w:rsidRPr="00955EBA" w:rsidTr="00BA4ECC">
        <w:tc>
          <w:tcPr>
            <w:tcW w:w="0" w:type="auto"/>
            <w:hideMark/>
          </w:tcPr>
          <w:p w:rsidR="00BA4ECC" w:rsidRPr="00955EBA" w:rsidRDefault="00BA4ECC" w:rsidP="00BA4ECC">
            <w:pPr>
              <w:spacing w:line="360" w:lineRule="auto"/>
              <w:jc w:val="both"/>
              <w:rPr>
                <w:rFonts w:ascii="Times New Roman" w:eastAsia="Times New Roman" w:hAnsi="Times New Roman" w:cs="Times New Roman"/>
                <w:sz w:val="20"/>
                <w:szCs w:val="20"/>
                <w:lang w:eastAsia="en-IN"/>
              </w:rPr>
            </w:pPr>
            <w:r w:rsidRPr="00955EBA">
              <w:rPr>
                <w:rFonts w:ascii="Times New Roman" w:eastAsia="Times New Roman" w:hAnsi="Times New Roman" w:cs="Times New Roman"/>
                <w:sz w:val="20"/>
                <w:szCs w:val="20"/>
                <w:lang w:eastAsia="en-IN"/>
              </w:rPr>
              <w:t>Male, n (%)</w:t>
            </w:r>
          </w:p>
        </w:tc>
        <w:tc>
          <w:tcPr>
            <w:tcW w:w="0" w:type="auto"/>
            <w:hideMark/>
          </w:tcPr>
          <w:p w:rsidR="00BA4ECC" w:rsidRPr="00955EBA" w:rsidRDefault="00BA4ECC" w:rsidP="00BA4ECC">
            <w:pPr>
              <w:spacing w:line="360" w:lineRule="auto"/>
              <w:jc w:val="center"/>
              <w:rPr>
                <w:rFonts w:ascii="Times New Roman" w:eastAsia="Times New Roman" w:hAnsi="Times New Roman" w:cs="Times New Roman"/>
                <w:sz w:val="20"/>
                <w:szCs w:val="20"/>
                <w:lang w:eastAsia="en-IN"/>
              </w:rPr>
            </w:pPr>
            <w:r w:rsidRPr="00955EBA">
              <w:rPr>
                <w:rFonts w:ascii="Times New Roman" w:eastAsia="Times New Roman" w:hAnsi="Times New Roman" w:cs="Times New Roman"/>
                <w:sz w:val="20"/>
                <w:szCs w:val="20"/>
                <w:lang w:eastAsia="en-IN"/>
              </w:rPr>
              <w:t>15 (65.2)</w:t>
            </w:r>
          </w:p>
        </w:tc>
        <w:tc>
          <w:tcPr>
            <w:tcW w:w="0" w:type="auto"/>
            <w:hideMark/>
          </w:tcPr>
          <w:p w:rsidR="00BA4ECC" w:rsidRPr="00955EBA" w:rsidRDefault="00BA4ECC" w:rsidP="00BA4ECC">
            <w:pPr>
              <w:spacing w:line="360" w:lineRule="auto"/>
              <w:jc w:val="center"/>
              <w:rPr>
                <w:rFonts w:ascii="Times New Roman" w:eastAsia="Times New Roman" w:hAnsi="Times New Roman" w:cs="Times New Roman"/>
                <w:sz w:val="20"/>
                <w:szCs w:val="20"/>
                <w:lang w:eastAsia="en-IN"/>
              </w:rPr>
            </w:pPr>
            <w:r w:rsidRPr="00955EBA">
              <w:rPr>
                <w:rFonts w:ascii="Times New Roman" w:eastAsia="Times New Roman" w:hAnsi="Times New Roman" w:cs="Times New Roman"/>
                <w:sz w:val="20"/>
                <w:szCs w:val="20"/>
                <w:lang w:eastAsia="en-IN"/>
              </w:rPr>
              <w:t>14 (63.6)</w:t>
            </w:r>
          </w:p>
        </w:tc>
        <w:tc>
          <w:tcPr>
            <w:tcW w:w="0" w:type="auto"/>
            <w:hideMark/>
          </w:tcPr>
          <w:p w:rsidR="00BA4ECC" w:rsidRPr="00955EBA" w:rsidRDefault="00BA4ECC" w:rsidP="00BA4ECC">
            <w:pPr>
              <w:spacing w:line="360" w:lineRule="auto"/>
              <w:jc w:val="center"/>
              <w:rPr>
                <w:rFonts w:ascii="Times New Roman" w:eastAsia="Times New Roman" w:hAnsi="Times New Roman" w:cs="Times New Roman"/>
                <w:sz w:val="20"/>
                <w:szCs w:val="20"/>
                <w:lang w:eastAsia="en-IN"/>
              </w:rPr>
            </w:pPr>
            <w:r w:rsidRPr="00955EBA">
              <w:rPr>
                <w:rFonts w:ascii="Times New Roman" w:eastAsia="Times New Roman" w:hAnsi="Times New Roman" w:cs="Times New Roman"/>
                <w:sz w:val="20"/>
                <w:szCs w:val="20"/>
                <w:lang w:eastAsia="en-IN"/>
              </w:rPr>
              <w:t>0.91</w:t>
            </w:r>
          </w:p>
        </w:tc>
      </w:tr>
      <w:tr w:rsidR="00BA4ECC" w:rsidRPr="00955EBA" w:rsidTr="00BA4ECC">
        <w:tc>
          <w:tcPr>
            <w:tcW w:w="0" w:type="auto"/>
            <w:hideMark/>
          </w:tcPr>
          <w:p w:rsidR="00BA4ECC" w:rsidRPr="00955EBA" w:rsidRDefault="00BA4ECC" w:rsidP="00BA4ECC">
            <w:pPr>
              <w:spacing w:line="360" w:lineRule="auto"/>
              <w:jc w:val="both"/>
              <w:rPr>
                <w:rFonts w:ascii="Times New Roman" w:eastAsia="Times New Roman" w:hAnsi="Times New Roman" w:cs="Times New Roman"/>
                <w:sz w:val="20"/>
                <w:szCs w:val="20"/>
                <w:lang w:eastAsia="en-IN"/>
              </w:rPr>
            </w:pPr>
            <w:r w:rsidRPr="00955EBA">
              <w:rPr>
                <w:rFonts w:ascii="Times New Roman" w:eastAsia="Times New Roman" w:hAnsi="Times New Roman" w:cs="Times New Roman"/>
                <w:sz w:val="20"/>
                <w:szCs w:val="20"/>
                <w:lang w:eastAsia="en-IN"/>
              </w:rPr>
              <w:t>Female, n (%)</w:t>
            </w:r>
          </w:p>
        </w:tc>
        <w:tc>
          <w:tcPr>
            <w:tcW w:w="0" w:type="auto"/>
            <w:hideMark/>
          </w:tcPr>
          <w:p w:rsidR="00BA4ECC" w:rsidRPr="00955EBA" w:rsidRDefault="00BA4ECC" w:rsidP="00BA4ECC">
            <w:pPr>
              <w:spacing w:line="360" w:lineRule="auto"/>
              <w:jc w:val="center"/>
              <w:rPr>
                <w:rFonts w:ascii="Times New Roman" w:eastAsia="Times New Roman" w:hAnsi="Times New Roman" w:cs="Times New Roman"/>
                <w:sz w:val="20"/>
                <w:szCs w:val="20"/>
                <w:lang w:eastAsia="en-IN"/>
              </w:rPr>
            </w:pPr>
            <w:r w:rsidRPr="00955EBA">
              <w:rPr>
                <w:rFonts w:ascii="Times New Roman" w:eastAsia="Times New Roman" w:hAnsi="Times New Roman" w:cs="Times New Roman"/>
                <w:sz w:val="20"/>
                <w:szCs w:val="20"/>
                <w:lang w:eastAsia="en-IN"/>
              </w:rPr>
              <w:t>8 (34.8)</w:t>
            </w:r>
          </w:p>
        </w:tc>
        <w:tc>
          <w:tcPr>
            <w:tcW w:w="0" w:type="auto"/>
            <w:hideMark/>
          </w:tcPr>
          <w:p w:rsidR="00BA4ECC" w:rsidRPr="00955EBA" w:rsidRDefault="00BA4ECC" w:rsidP="00BA4ECC">
            <w:pPr>
              <w:spacing w:line="360" w:lineRule="auto"/>
              <w:jc w:val="center"/>
              <w:rPr>
                <w:rFonts w:ascii="Times New Roman" w:eastAsia="Times New Roman" w:hAnsi="Times New Roman" w:cs="Times New Roman"/>
                <w:sz w:val="20"/>
                <w:szCs w:val="20"/>
                <w:lang w:eastAsia="en-IN"/>
              </w:rPr>
            </w:pPr>
            <w:r w:rsidRPr="00955EBA">
              <w:rPr>
                <w:rFonts w:ascii="Times New Roman" w:eastAsia="Times New Roman" w:hAnsi="Times New Roman" w:cs="Times New Roman"/>
                <w:sz w:val="20"/>
                <w:szCs w:val="20"/>
                <w:lang w:eastAsia="en-IN"/>
              </w:rPr>
              <w:t>8 (36.4)</w:t>
            </w:r>
          </w:p>
        </w:tc>
        <w:tc>
          <w:tcPr>
            <w:tcW w:w="0" w:type="auto"/>
            <w:hideMark/>
          </w:tcPr>
          <w:p w:rsidR="00BA4ECC" w:rsidRPr="00955EBA" w:rsidRDefault="00BA4ECC" w:rsidP="00BA4ECC">
            <w:pPr>
              <w:spacing w:line="360" w:lineRule="auto"/>
              <w:jc w:val="center"/>
              <w:rPr>
                <w:rFonts w:ascii="Times New Roman" w:eastAsia="Times New Roman" w:hAnsi="Times New Roman" w:cs="Times New Roman"/>
                <w:sz w:val="20"/>
                <w:szCs w:val="20"/>
                <w:lang w:eastAsia="en-IN"/>
              </w:rPr>
            </w:pPr>
            <w:r w:rsidRPr="00955EBA">
              <w:rPr>
                <w:rFonts w:ascii="Times New Roman" w:eastAsia="Times New Roman" w:hAnsi="Times New Roman" w:cs="Times New Roman"/>
                <w:sz w:val="20"/>
                <w:szCs w:val="20"/>
                <w:lang w:eastAsia="en-IN"/>
              </w:rPr>
              <w:t>0.91</w:t>
            </w:r>
          </w:p>
        </w:tc>
      </w:tr>
      <w:tr w:rsidR="00BA4ECC" w:rsidRPr="00955EBA" w:rsidTr="00BA4ECC">
        <w:tc>
          <w:tcPr>
            <w:tcW w:w="0" w:type="auto"/>
            <w:hideMark/>
          </w:tcPr>
          <w:p w:rsidR="00BA4ECC" w:rsidRPr="00955EBA" w:rsidRDefault="00BA4ECC" w:rsidP="00BA4ECC">
            <w:pPr>
              <w:spacing w:line="360" w:lineRule="auto"/>
              <w:jc w:val="both"/>
              <w:rPr>
                <w:rFonts w:ascii="Times New Roman" w:eastAsia="Times New Roman" w:hAnsi="Times New Roman" w:cs="Times New Roman"/>
                <w:sz w:val="20"/>
                <w:szCs w:val="20"/>
                <w:lang w:eastAsia="en-IN"/>
              </w:rPr>
            </w:pPr>
            <w:r w:rsidRPr="00955EBA">
              <w:rPr>
                <w:rFonts w:ascii="Times New Roman" w:eastAsia="Times New Roman" w:hAnsi="Times New Roman" w:cs="Times New Roman"/>
                <w:sz w:val="20"/>
                <w:szCs w:val="20"/>
                <w:lang w:eastAsia="en-IN"/>
              </w:rPr>
              <w:t>Dominant shoulder involved, n (%)</w:t>
            </w:r>
          </w:p>
        </w:tc>
        <w:tc>
          <w:tcPr>
            <w:tcW w:w="0" w:type="auto"/>
            <w:hideMark/>
          </w:tcPr>
          <w:p w:rsidR="00BA4ECC" w:rsidRPr="00955EBA" w:rsidRDefault="00BA4ECC" w:rsidP="00BA4ECC">
            <w:pPr>
              <w:spacing w:line="360" w:lineRule="auto"/>
              <w:jc w:val="center"/>
              <w:rPr>
                <w:rFonts w:ascii="Times New Roman" w:eastAsia="Times New Roman" w:hAnsi="Times New Roman" w:cs="Times New Roman"/>
                <w:sz w:val="20"/>
                <w:szCs w:val="20"/>
                <w:lang w:eastAsia="en-IN"/>
              </w:rPr>
            </w:pPr>
            <w:r w:rsidRPr="00955EBA">
              <w:rPr>
                <w:rFonts w:ascii="Times New Roman" w:eastAsia="Times New Roman" w:hAnsi="Times New Roman" w:cs="Times New Roman"/>
                <w:sz w:val="20"/>
                <w:szCs w:val="20"/>
                <w:lang w:eastAsia="en-IN"/>
              </w:rPr>
              <w:t>16 (69.6)</w:t>
            </w:r>
          </w:p>
        </w:tc>
        <w:tc>
          <w:tcPr>
            <w:tcW w:w="0" w:type="auto"/>
            <w:hideMark/>
          </w:tcPr>
          <w:p w:rsidR="00BA4ECC" w:rsidRPr="00955EBA" w:rsidRDefault="00BA4ECC" w:rsidP="00BA4ECC">
            <w:pPr>
              <w:spacing w:line="360" w:lineRule="auto"/>
              <w:jc w:val="center"/>
              <w:rPr>
                <w:rFonts w:ascii="Times New Roman" w:eastAsia="Times New Roman" w:hAnsi="Times New Roman" w:cs="Times New Roman"/>
                <w:sz w:val="20"/>
                <w:szCs w:val="20"/>
                <w:lang w:eastAsia="en-IN"/>
              </w:rPr>
            </w:pPr>
            <w:r w:rsidRPr="00955EBA">
              <w:rPr>
                <w:rFonts w:ascii="Times New Roman" w:eastAsia="Times New Roman" w:hAnsi="Times New Roman" w:cs="Times New Roman"/>
                <w:sz w:val="20"/>
                <w:szCs w:val="20"/>
                <w:lang w:eastAsia="en-IN"/>
              </w:rPr>
              <w:t>15 (68.2)</w:t>
            </w:r>
          </w:p>
        </w:tc>
        <w:tc>
          <w:tcPr>
            <w:tcW w:w="0" w:type="auto"/>
            <w:hideMark/>
          </w:tcPr>
          <w:p w:rsidR="00BA4ECC" w:rsidRPr="00955EBA" w:rsidRDefault="00BA4ECC" w:rsidP="00BA4ECC">
            <w:pPr>
              <w:spacing w:line="360" w:lineRule="auto"/>
              <w:jc w:val="center"/>
              <w:rPr>
                <w:rFonts w:ascii="Times New Roman" w:eastAsia="Times New Roman" w:hAnsi="Times New Roman" w:cs="Times New Roman"/>
                <w:sz w:val="20"/>
                <w:szCs w:val="20"/>
                <w:lang w:eastAsia="en-IN"/>
              </w:rPr>
            </w:pPr>
            <w:r w:rsidRPr="00955EBA">
              <w:rPr>
                <w:rFonts w:ascii="Times New Roman" w:eastAsia="Times New Roman" w:hAnsi="Times New Roman" w:cs="Times New Roman"/>
                <w:sz w:val="20"/>
                <w:szCs w:val="20"/>
                <w:lang w:eastAsia="en-IN"/>
              </w:rPr>
              <w:t>0.92</w:t>
            </w:r>
          </w:p>
        </w:tc>
      </w:tr>
      <w:tr w:rsidR="00BA4ECC" w:rsidRPr="00955EBA" w:rsidTr="00BA4ECC">
        <w:tc>
          <w:tcPr>
            <w:tcW w:w="0" w:type="auto"/>
            <w:hideMark/>
          </w:tcPr>
          <w:p w:rsidR="00BA4ECC" w:rsidRPr="00955EBA" w:rsidRDefault="00BA4ECC" w:rsidP="00BA4ECC">
            <w:pPr>
              <w:spacing w:line="360" w:lineRule="auto"/>
              <w:jc w:val="both"/>
              <w:rPr>
                <w:rFonts w:ascii="Times New Roman" w:eastAsia="Times New Roman" w:hAnsi="Times New Roman" w:cs="Times New Roman"/>
                <w:sz w:val="20"/>
                <w:szCs w:val="20"/>
                <w:lang w:eastAsia="en-IN"/>
              </w:rPr>
            </w:pPr>
            <w:r w:rsidRPr="00955EBA">
              <w:rPr>
                <w:rFonts w:ascii="Times New Roman" w:eastAsia="Times New Roman" w:hAnsi="Times New Roman" w:cs="Times New Roman"/>
                <w:sz w:val="20"/>
                <w:szCs w:val="20"/>
                <w:lang w:eastAsia="en-IN"/>
              </w:rPr>
              <w:t>Mean duration of symptoms (months)</w:t>
            </w:r>
          </w:p>
        </w:tc>
        <w:tc>
          <w:tcPr>
            <w:tcW w:w="0" w:type="auto"/>
            <w:hideMark/>
          </w:tcPr>
          <w:p w:rsidR="00BA4ECC" w:rsidRPr="00955EBA" w:rsidRDefault="00BA4ECC" w:rsidP="00BA4ECC">
            <w:pPr>
              <w:spacing w:line="360" w:lineRule="auto"/>
              <w:jc w:val="center"/>
              <w:rPr>
                <w:rFonts w:ascii="Times New Roman" w:eastAsia="Times New Roman" w:hAnsi="Times New Roman" w:cs="Times New Roman"/>
                <w:sz w:val="20"/>
                <w:szCs w:val="20"/>
                <w:lang w:eastAsia="en-IN"/>
              </w:rPr>
            </w:pPr>
            <w:r w:rsidRPr="00955EBA">
              <w:rPr>
                <w:rFonts w:ascii="Times New Roman" w:eastAsia="Times New Roman" w:hAnsi="Times New Roman" w:cs="Times New Roman"/>
                <w:sz w:val="20"/>
                <w:szCs w:val="20"/>
                <w:lang w:eastAsia="en-IN"/>
              </w:rPr>
              <w:t>8.2 ± 2.9</w:t>
            </w:r>
          </w:p>
        </w:tc>
        <w:tc>
          <w:tcPr>
            <w:tcW w:w="0" w:type="auto"/>
            <w:hideMark/>
          </w:tcPr>
          <w:p w:rsidR="00BA4ECC" w:rsidRPr="00955EBA" w:rsidRDefault="00BA4ECC" w:rsidP="00BA4ECC">
            <w:pPr>
              <w:spacing w:line="360" w:lineRule="auto"/>
              <w:jc w:val="center"/>
              <w:rPr>
                <w:rFonts w:ascii="Times New Roman" w:eastAsia="Times New Roman" w:hAnsi="Times New Roman" w:cs="Times New Roman"/>
                <w:sz w:val="20"/>
                <w:szCs w:val="20"/>
                <w:lang w:eastAsia="en-IN"/>
              </w:rPr>
            </w:pPr>
            <w:r w:rsidRPr="00955EBA">
              <w:rPr>
                <w:rFonts w:ascii="Times New Roman" w:eastAsia="Times New Roman" w:hAnsi="Times New Roman" w:cs="Times New Roman"/>
                <w:sz w:val="20"/>
                <w:szCs w:val="20"/>
                <w:lang w:eastAsia="en-IN"/>
              </w:rPr>
              <w:t>8.7 ± 3.1</w:t>
            </w:r>
          </w:p>
        </w:tc>
        <w:tc>
          <w:tcPr>
            <w:tcW w:w="0" w:type="auto"/>
            <w:hideMark/>
          </w:tcPr>
          <w:p w:rsidR="00BA4ECC" w:rsidRPr="00955EBA" w:rsidRDefault="00BA4ECC" w:rsidP="00BA4ECC">
            <w:pPr>
              <w:spacing w:line="360" w:lineRule="auto"/>
              <w:jc w:val="center"/>
              <w:rPr>
                <w:rFonts w:ascii="Times New Roman" w:eastAsia="Times New Roman" w:hAnsi="Times New Roman" w:cs="Times New Roman"/>
                <w:sz w:val="20"/>
                <w:szCs w:val="20"/>
                <w:lang w:eastAsia="en-IN"/>
              </w:rPr>
            </w:pPr>
            <w:r w:rsidRPr="00955EBA">
              <w:rPr>
                <w:rFonts w:ascii="Times New Roman" w:eastAsia="Times New Roman" w:hAnsi="Times New Roman" w:cs="Times New Roman"/>
                <w:sz w:val="20"/>
                <w:szCs w:val="20"/>
                <w:lang w:eastAsia="en-IN"/>
              </w:rPr>
              <w:t>0.61</w:t>
            </w:r>
          </w:p>
        </w:tc>
      </w:tr>
      <w:tr w:rsidR="00BA4ECC" w:rsidRPr="00955EBA" w:rsidTr="00BA4ECC">
        <w:tc>
          <w:tcPr>
            <w:tcW w:w="0" w:type="auto"/>
            <w:hideMark/>
          </w:tcPr>
          <w:p w:rsidR="00BA4ECC" w:rsidRPr="00955EBA" w:rsidRDefault="00BA4ECC" w:rsidP="00BA4ECC">
            <w:pPr>
              <w:spacing w:line="360" w:lineRule="auto"/>
              <w:jc w:val="both"/>
              <w:rPr>
                <w:rFonts w:ascii="Times New Roman" w:eastAsia="Times New Roman" w:hAnsi="Times New Roman" w:cs="Times New Roman"/>
                <w:sz w:val="20"/>
                <w:szCs w:val="20"/>
                <w:lang w:eastAsia="en-IN"/>
              </w:rPr>
            </w:pPr>
            <w:r w:rsidRPr="00955EBA">
              <w:rPr>
                <w:rFonts w:ascii="Times New Roman" w:eastAsia="Times New Roman" w:hAnsi="Times New Roman" w:cs="Times New Roman"/>
                <w:sz w:val="20"/>
                <w:szCs w:val="20"/>
                <w:lang w:eastAsia="en-IN"/>
              </w:rPr>
              <w:t>Full-thickness supraspinatus tear, n (%)</w:t>
            </w:r>
          </w:p>
        </w:tc>
        <w:tc>
          <w:tcPr>
            <w:tcW w:w="0" w:type="auto"/>
            <w:hideMark/>
          </w:tcPr>
          <w:p w:rsidR="00BA4ECC" w:rsidRPr="00955EBA" w:rsidRDefault="00BA4ECC" w:rsidP="00BA4ECC">
            <w:pPr>
              <w:spacing w:line="360" w:lineRule="auto"/>
              <w:jc w:val="center"/>
              <w:rPr>
                <w:rFonts w:ascii="Times New Roman" w:eastAsia="Times New Roman" w:hAnsi="Times New Roman" w:cs="Times New Roman"/>
                <w:sz w:val="20"/>
                <w:szCs w:val="20"/>
                <w:lang w:eastAsia="en-IN"/>
              </w:rPr>
            </w:pPr>
            <w:r w:rsidRPr="00955EBA">
              <w:rPr>
                <w:rFonts w:ascii="Times New Roman" w:eastAsia="Times New Roman" w:hAnsi="Times New Roman" w:cs="Times New Roman"/>
                <w:sz w:val="20"/>
                <w:szCs w:val="20"/>
                <w:lang w:eastAsia="en-IN"/>
              </w:rPr>
              <w:t>18 (78.3)</w:t>
            </w:r>
          </w:p>
        </w:tc>
        <w:tc>
          <w:tcPr>
            <w:tcW w:w="0" w:type="auto"/>
            <w:hideMark/>
          </w:tcPr>
          <w:p w:rsidR="00BA4ECC" w:rsidRPr="00955EBA" w:rsidRDefault="00BA4ECC" w:rsidP="00BA4ECC">
            <w:pPr>
              <w:spacing w:line="360" w:lineRule="auto"/>
              <w:jc w:val="center"/>
              <w:rPr>
                <w:rFonts w:ascii="Times New Roman" w:eastAsia="Times New Roman" w:hAnsi="Times New Roman" w:cs="Times New Roman"/>
                <w:sz w:val="20"/>
                <w:szCs w:val="20"/>
                <w:lang w:eastAsia="en-IN"/>
              </w:rPr>
            </w:pPr>
            <w:r w:rsidRPr="00955EBA">
              <w:rPr>
                <w:rFonts w:ascii="Times New Roman" w:eastAsia="Times New Roman" w:hAnsi="Times New Roman" w:cs="Times New Roman"/>
                <w:sz w:val="20"/>
                <w:szCs w:val="20"/>
                <w:lang w:eastAsia="en-IN"/>
              </w:rPr>
              <w:t>17 (77.3)</w:t>
            </w:r>
          </w:p>
        </w:tc>
        <w:tc>
          <w:tcPr>
            <w:tcW w:w="0" w:type="auto"/>
            <w:hideMark/>
          </w:tcPr>
          <w:p w:rsidR="00BA4ECC" w:rsidRPr="00955EBA" w:rsidRDefault="00BA4ECC" w:rsidP="00BA4ECC">
            <w:pPr>
              <w:spacing w:line="360" w:lineRule="auto"/>
              <w:jc w:val="center"/>
              <w:rPr>
                <w:rFonts w:ascii="Times New Roman" w:eastAsia="Times New Roman" w:hAnsi="Times New Roman" w:cs="Times New Roman"/>
                <w:sz w:val="20"/>
                <w:szCs w:val="20"/>
                <w:lang w:eastAsia="en-IN"/>
              </w:rPr>
            </w:pPr>
            <w:r w:rsidRPr="00955EBA">
              <w:rPr>
                <w:rFonts w:ascii="Times New Roman" w:eastAsia="Times New Roman" w:hAnsi="Times New Roman" w:cs="Times New Roman"/>
                <w:sz w:val="20"/>
                <w:szCs w:val="20"/>
                <w:lang w:eastAsia="en-IN"/>
              </w:rPr>
              <w:t>0.94</w:t>
            </w:r>
          </w:p>
        </w:tc>
      </w:tr>
      <w:tr w:rsidR="00BA4ECC" w:rsidRPr="00955EBA" w:rsidTr="00BA4ECC">
        <w:tc>
          <w:tcPr>
            <w:tcW w:w="0" w:type="auto"/>
            <w:hideMark/>
          </w:tcPr>
          <w:p w:rsidR="00BA4ECC" w:rsidRPr="00955EBA" w:rsidRDefault="00BA4ECC" w:rsidP="00BA4ECC">
            <w:pPr>
              <w:spacing w:line="360" w:lineRule="auto"/>
              <w:jc w:val="both"/>
              <w:rPr>
                <w:rFonts w:ascii="Times New Roman" w:eastAsia="Times New Roman" w:hAnsi="Times New Roman" w:cs="Times New Roman"/>
                <w:sz w:val="20"/>
                <w:szCs w:val="20"/>
                <w:lang w:eastAsia="en-IN"/>
              </w:rPr>
            </w:pPr>
            <w:r w:rsidRPr="00955EBA">
              <w:rPr>
                <w:rFonts w:ascii="Times New Roman" w:eastAsia="Times New Roman" w:hAnsi="Times New Roman" w:cs="Times New Roman"/>
                <w:sz w:val="20"/>
                <w:szCs w:val="20"/>
                <w:lang w:eastAsia="en-IN"/>
              </w:rPr>
              <w:t>Medium-sized tear, n (%)</w:t>
            </w:r>
          </w:p>
        </w:tc>
        <w:tc>
          <w:tcPr>
            <w:tcW w:w="0" w:type="auto"/>
            <w:hideMark/>
          </w:tcPr>
          <w:p w:rsidR="00BA4ECC" w:rsidRPr="00955EBA" w:rsidRDefault="00BA4ECC" w:rsidP="00BA4ECC">
            <w:pPr>
              <w:spacing w:line="360" w:lineRule="auto"/>
              <w:jc w:val="both"/>
              <w:rPr>
                <w:rFonts w:ascii="Times New Roman" w:eastAsia="Times New Roman" w:hAnsi="Times New Roman" w:cs="Times New Roman"/>
                <w:sz w:val="20"/>
                <w:szCs w:val="20"/>
                <w:lang w:eastAsia="en-IN"/>
              </w:rPr>
            </w:pPr>
            <w:r w:rsidRPr="00955EBA">
              <w:rPr>
                <w:rFonts w:ascii="Times New Roman" w:eastAsia="Times New Roman" w:hAnsi="Times New Roman" w:cs="Times New Roman"/>
                <w:sz w:val="20"/>
                <w:szCs w:val="20"/>
                <w:lang w:eastAsia="en-IN"/>
              </w:rPr>
              <w:t>13 (56.5)</w:t>
            </w:r>
          </w:p>
        </w:tc>
        <w:tc>
          <w:tcPr>
            <w:tcW w:w="0" w:type="auto"/>
            <w:hideMark/>
          </w:tcPr>
          <w:p w:rsidR="00BA4ECC" w:rsidRPr="00955EBA" w:rsidRDefault="00BA4ECC" w:rsidP="00BA4ECC">
            <w:pPr>
              <w:spacing w:line="360" w:lineRule="auto"/>
              <w:jc w:val="both"/>
              <w:rPr>
                <w:rFonts w:ascii="Times New Roman" w:eastAsia="Times New Roman" w:hAnsi="Times New Roman" w:cs="Times New Roman"/>
                <w:sz w:val="20"/>
                <w:szCs w:val="20"/>
                <w:lang w:eastAsia="en-IN"/>
              </w:rPr>
            </w:pPr>
            <w:r w:rsidRPr="00955EBA">
              <w:rPr>
                <w:rFonts w:ascii="Times New Roman" w:eastAsia="Times New Roman" w:hAnsi="Times New Roman" w:cs="Times New Roman"/>
                <w:sz w:val="20"/>
                <w:szCs w:val="20"/>
                <w:lang w:eastAsia="en-IN"/>
              </w:rPr>
              <w:t>12 (54.5)</w:t>
            </w:r>
          </w:p>
        </w:tc>
        <w:tc>
          <w:tcPr>
            <w:tcW w:w="0" w:type="auto"/>
            <w:hideMark/>
          </w:tcPr>
          <w:p w:rsidR="00BA4ECC" w:rsidRPr="00955EBA" w:rsidRDefault="00BA4ECC" w:rsidP="00BA4ECC">
            <w:pPr>
              <w:spacing w:line="360" w:lineRule="auto"/>
              <w:jc w:val="both"/>
              <w:rPr>
                <w:rFonts w:ascii="Times New Roman" w:eastAsia="Times New Roman" w:hAnsi="Times New Roman" w:cs="Times New Roman"/>
                <w:sz w:val="20"/>
                <w:szCs w:val="20"/>
                <w:lang w:eastAsia="en-IN"/>
              </w:rPr>
            </w:pPr>
            <w:r w:rsidRPr="00955EBA">
              <w:rPr>
                <w:rFonts w:ascii="Times New Roman" w:eastAsia="Times New Roman" w:hAnsi="Times New Roman" w:cs="Times New Roman"/>
                <w:sz w:val="20"/>
                <w:szCs w:val="20"/>
                <w:lang w:eastAsia="en-IN"/>
              </w:rPr>
              <w:t>0.89</w:t>
            </w:r>
          </w:p>
        </w:tc>
      </w:tr>
    </w:tbl>
    <w:p w:rsidR="00BA4ECC" w:rsidRPr="00955EBA" w:rsidRDefault="00BA4ECC" w:rsidP="00BA4ECC">
      <w:pPr>
        <w:spacing w:after="0" w:line="360" w:lineRule="auto"/>
        <w:jc w:val="both"/>
        <w:rPr>
          <w:rFonts w:ascii="Times New Roman" w:eastAsia="Times New Roman" w:hAnsi="Times New Roman" w:cs="Times New Roman"/>
          <w:sz w:val="20"/>
          <w:szCs w:val="20"/>
          <w:lang w:eastAsia="en-IN"/>
        </w:rPr>
      </w:pPr>
    </w:p>
    <w:p w:rsidR="00BA4ECC" w:rsidRPr="00955EBA" w:rsidRDefault="00BA4ECC" w:rsidP="00BA4ECC">
      <w:pPr>
        <w:spacing w:after="0" w:line="360" w:lineRule="auto"/>
        <w:jc w:val="both"/>
        <w:outlineLvl w:val="3"/>
        <w:rPr>
          <w:rFonts w:ascii="Times New Roman" w:eastAsia="Times New Roman" w:hAnsi="Times New Roman" w:cs="Times New Roman"/>
          <w:b/>
          <w:bCs/>
          <w:sz w:val="20"/>
          <w:szCs w:val="20"/>
          <w:lang w:eastAsia="en-IN"/>
        </w:rPr>
      </w:pPr>
      <w:r w:rsidRPr="00955EBA">
        <w:rPr>
          <w:rFonts w:ascii="Times New Roman" w:eastAsia="Times New Roman" w:hAnsi="Times New Roman" w:cs="Times New Roman"/>
          <w:b/>
          <w:bCs/>
          <w:sz w:val="20"/>
          <w:szCs w:val="20"/>
          <w:lang w:eastAsia="en-IN"/>
        </w:rPr>
        <w:t>Table 2. Comparison of Functional and Clinical Outcomes at 12-Month Follow-up</w:t>
      </w:r>
    </w:p>
    <w:tbl>
      <w:tblPr>
        <w:tblStyle w:val="TableGrid"/>
        <w:tblW w:w="0" w:type="auto"/>
        <w:tblLook w:val="04A0" w:firstRow="1" w:lastRow="0" w:firstColumn="1" w:lastColumn="0" w:noHBand="0" w:noVBand="1"/>
      </w:tblPr>
      <w:tblGrid>
        <w:gridCol w:w="3649"/>
        <w:gridCol w:w="2586"/>
        <w:gridCol w:w="1930"/>
        <w:gridCol w:w="850"/>
      </w:tblGrid>
      <w:tr w:rsidR="00BA4ECC" w:rsidRPr="00955EBA" w:rsidTr="00BA4ECC">
        <w:tc>
          <w:tcPr>
            <w:tcW w:w="0" w:type="auto"/>
            <w:hideMark/>
          </w:tcPr>
          <w:p w:rsidR="00BA4ECC" w:rsidRPr="00955EBA" w:rsidRDefault="00BA4ECC" w:rsidP="00BA4ECC">
            <w:pPr>
              <w:spacing w:line="360" w:lineRule="auto"/>
              <w:jc w:val="both"/>
              <w:rPr>
                <w:rFonts w:ascii="Times New Roman" w:eastAsia="Times New Roman" w:hAnsi="Times New Roman" w:cs="Times New Roman"/>
                <w:b/>
                <w:bCs/>
                <w:sz w:val="20"/>
                <w:szCs w:val="20"/>
                <w:lang w:eastAsia="en-IN"/>
              </w:rPr>
            </w:pPr>
            <w:r w:rsidRPr="00955EBA">
              <w:rPr>
                <w:rFonts w:ascii="Times New Roman" w:eastAsia="Times New Roman" w:hAnsi="Times New Roman" w:cs="Times New Roman"/>
                <w:b/>
                <w:bCs/>
                <w:sz w:val="20"/>
                <w:szCs w:val="20"/>
                <w:lang w:eastAsia="en-IN"/>
              </w:rPr>
              <w:t>Outcome Measure</w:t>
            </w:r>
          </w:p>
        </w:tc>
        <w:tc>
          <w:tcPr>
            <w:tcW w:w="0" w:type="auto"/>
            <w:hideMark/>
          </w:tcPr>
          <w:p w:rsidR="00BA4ECC" w:rsidRPr="00955EBA" w:rsidRDefault="00BA4ECC" w:rsidP="00BA4ECC">
            <w:pPr>
              <w:spacing w:line="360" w:lineRule="auto"/>
              <w:jc w:val="center"/>
              <w:rPr>
                <w:rFonts w:ascii="Times New Roman" w:eastAsia="Times New Roman" w:hAnsi="Times New Roman" w:cs="Times New Roman"/>
                <w:b/>
                <w:bCs/>
                <w:sz w:val="20"/>
                <w:szCs w:val="20"/>
                <w:lang w:eastAsia="en-IN"/>
              </w:rPr>
            </w:pPr>
            <w:r w:rsidRPr="00955EBA">
              <w:rPr>
                <w:rFonts w:ascii="Times New Roman" w:eastAsia="Times New Roman" w:hAnsi="Times New Roman" w:cs="Times New Roman"/>
                <w:b/>
                <w:bCs/>
                <w:sz w:val="20"/>
                <w:szCs w:val="20"/>
                <w:lang w:eastAsia="en-IN"/>
              </w:rPr>
              <w:t>Arthroscopic Repair (n=23)</w:t>
            </w:r>
          </w:p>
        </w:tc>
        <w:tc>
          <w:tcPr>
            <w:tcW w:w="0" w:type="auto"/>
            <w:hideMark/>
          </w:tcPr>
          <w:p w:rsidR="00BA4ECC" w:rsidRPr="00955EBA" w:rsidRDefault="00BA4ECC" w:rsidP="00BA4ECC">
            <w:pPr>
              <w:spacing w:line="360" w:lineRule="auto"/>
              <w:jc w:val="center"/>
              <w:rPr>
                <w:rFonts w:ascii="Times New Roman" w:eastAsia="Times New Roman" w:hAnsi="Times New Roman" w:cs="Times New Roman"/>
                <w:b/>
                <w:bCs/>
                <w:sz w:val="20"/>
                <w:szCs w:val="20"/>
                <w:lang w:eastAsia="en-IN"/>
              </w:rPr>
            </w:pPr>
            <w:r w:rsidRPr="00955EBA">
              <w:rPr>
                <w:rFonts w:ascii="Times New Roman" w:eastAsia="Times New Roman" w:hAnsi="Times New Roman" w:cs="Times New Roman"/>
                <w:b/>
                <w:bCs/>
                <w:sz w:val="20"/>
                <w:szCs w:val="20"/>
                <w:lang w:eastAsia="en-IN"/>
              </w:rPr>
              <w:t>Open Repair (n=22)</w:t>
            </w:r>
          </w:p>
        </w:tc>
        <w:tc>
          <w:tcPr>
            <w:tcW w:w="0" w:type="auto"/>
            <w:hideMark/>
          </w:tcPr>
          <w:p w:rsidR="00BA4ECC" w:rsidRPr="00955EBA" w:rsidRDefault="00BA4ECC" w:rsidP="00BA4ECC">
            <w:pPr>
              <w:spacing w:line="360" w:lineRule="auto"/>
              <w:jc w:val="center"/>
              <w:rPr>
                <w:rFonts w:ascii="Times New Roman" w:eastAsia="Times New Roman" w:hAnsi="Times New Roman" w:cs="Times New Roman"/>
                <w:b/>
                <w:bCs/>
                <w:sz w:val="20"/>
                <w:szCs w:val="20"/>
                <w:lang w:eastAsia="en-IN"/>
              </w:rPr>
            </w:pPr>
            <w:r w:rsidRPr="00955EBA">
              <w:rPr>
                <w:rFonts w:ascii="Times New Roman" w:eastAsia="Times New Roman" w:hAnsi="Times New Roman" w:cs="Times New Roman"/>
                <w:b/>
                <w:bCs/>
                <w:sz w:val="20"/>
                <w:szCs w:val="20"/>
                <w:lang w:eastAsia="en-IN"/>
              </w:rPr>
              <w:t>p-value</w:t>
            </w:r>
          </w:p>
        </w:tc>
      </w:tr>
      <w:tr w:rsidR="00BA4ECC" w:rsidRPr="00955EBA" w:rsidTr="00BA4ECC">
        <w:tc>
          <w:tcPr>
            <w:tcW w:w="0" w:type="auto"/>
            <w:hideMark/>
          </w:tcPr>
          <w:p w:rsidR="00BA4ECC" w:rsidRPr="00955EBA" w:rsidRDefault="00BA4ECC" w:rsidP="00BA4ECC">
            <w:pPr>
              <w:spacing w:line="360" w:lineRule="auto"/>
              <w:jc w:val="both"/>
              <w:rPr>
                <w:rFonts w:ascii="Times New Roman" w:eastAsia="Times New Roman" w:hAnsi="Times New Roman" w:cs="Times New Roman"/>
                <w:sz w:val="20"/>
                <w:szCs w:val="20"/>
                <w:lang w:eastAsia="en-IN"/>
              </w:rPr>
            </w:pPr>
            <w:r w:rsidRPr="00955EBA">
              <w:rPr>
                <w:rFonts w:ascii="Times New Roman" w:eastAsia="Times New Roman" w:hAnsi="Times New Roman" w:cs="Times New Roman"/>
                <w:sz w:val="20"/>
                <w:szCs w:val="20"/>
                <w:lang w:eastAsia="en-IN"/>
              </w:rPr>
              <w:t>VAS Pain Score</w:t>
            </w:r>
          </w:p>
        </w:tc>
        <w:tc>
          <w:tcPr>
            <w:tcW w:w="0" w:type="auto"/>
            <w:hideMark/>
          </w:tcPr>
          <w:p w:rsidR="00BA4ECC" w:rsidRPr="00955EBA" w:rsidRDefault="00BA4ECC" w:rsidP="00BA4ECC">
            <w:pPr>
              <w:spacing w:line="360" w:lineRule="auto"/>
              <w:jc w:val="center"/>
              <w:rPr>
                <w:rFonts w:ascii="Times New Roman" w:eastAsia="Times New Roman" w:hAnsi="Times New Roman" w:cs="Times New Roman"/>
                <w:sz w:val="20"/>
                <w:szCs w:val="20"/>
                <w:lang w:eastAsia="en-IN"/>
              </w:rPr>
            </w:pPr>
            <w:r w:rsidRPr="00955EBA">
              <w:rPr>
                <w:rFonts w:ascii="Times New Roman" w:eastAsia="Times New Roman" w:hAnsi="Times New Roman" w:cs="Times New Roman"/>
                <w:sz w:val="20"/>
                <w:szCs w:val="20"/>
                <w:lang w:eastAsia="en-IN"/>
              </w:rPr>
              <w:t>1.5 ± 0.8</w:t>
            </w:r>
          </w:p>
        </w:tc>
        <w:tc>
          <w:tcPr>
            <w:tcW w:w="0" w:type="auto"/>
            <w:hideMark/>
          </w:tcPr>
          <w:p w:rsidR="00BA4ECC" w:rsidRPr="00955EBA" w:rsidRDefault="00BA4ECC" w:rsidP="00BA4ECC">
            <w:pPr>
              <w:spacing w:line="360" w:lineRule="auto"/>
              <w:jc w:val="center"/>
              <w:rPr>
                <w:rFonts w:ascii="Times New Roman" w:eastAsia="Times New Roman" w:hAnsi="Times New Roman" w:cs="Times New Roman"/>
                <w:sz w:val="20"/>
                <w:szCs w:val="20"/>
                <w:lang w:eastAsia="en-IN"/>
              </w:rPr>
            </w:pPr>
            <w:r w:rsidRPr="00955EBA">
              <w:rPr>
                <w:rFonts w:ascii="Times New Roman" w:eastAsia="Times New Roman" w:hAnsi="Times New Roman" w:cs="Times New Roman"/>
                <w:sz w:val="20"/>
                <w:szCs w:val="20"/>
                <w:lang w:eastAsia="en-IN"/>
              </w:rPr>
              <w:t>2.4 ± 1.0</w:t>
            </w:r>
          </w:p>
        </w:tc>
        <w:tc>
          <w:tcPr>
            <w:tcW w:w="0" w:type="auto"/>
            <w:hideMark/>
          </w:tcPr>
          <w:p w:rsidR="00BA4ECC" w:rsidRPr="00955EBA" w:rsidRDefault="00BA4ECC" w:rsidP="00BA4ECC">
            <w:pPr>
              <w:spacing w:line="360" w:lineRule="auto"/>
              <w:jc w:val="center"/>
              <w:rPr>
                <w:rFonts w:ascii="Times New Roman" w:eastAsia="Times New Roman" w:hAnsi="Times New Roman" w:cs="Times New Roman"/>
                <w:sz w:val="20"/>
                <w:szCs w:val="20"/>
                <w:lang w:eastAsia="en-IN"/>
              </w:rPr>
            </w:pPr>
            <w:r w:rsidRPr="00955EBA">
              <w:rPr>
                <w:rFonts w:ascii="Times New Roman" w:eastAsia="Times New Roman" w:hAnsi="Times New Roman" w:cs="Times New Roman"/>
                <w:b/>
                <w:bCs/>
                <w:sz w:val="20"/>
                <w:szCs w:val="20"/>
                <w:lang w:eastAsia="en-IN"/>
              </w:rPr>
              <w:t>0.003</w:t>
            </w:r>
          </w:p>
        </w:tc>
      </w:tr>
      <w:tr w:rsidR="00BA4ECC" w:rsidRPr="00955EBA" w:rsidTr="00BA4ECC">
        <w:tc>
          <w:tcPr>
            <w:tcW w:w="0" w:type="auto"/>
            <w:hideMark/>
          </w:tcPr>
          <w:p w:rsidR="00BA4ECC" w:rsidRPr="00955EBA" w:rsidRDefault="00BA4ECC" w:rsidP="00BA4ECC">
            <w:pPr>
              <w:spacing w:line="360" w:lineRule="auto"/>
              <w:jc w:val="both"/>
              <w:rPr>
                <w:rFonts w:ascii="Times New Roman" w:eastAsia="Times New Roman" w:hAnsi="Times New Roman" w:cs="Times New Roman"/>
                <w:sz w:val="20"/>
                <w:szCs w:val="20"/>
                <w:lang w:eastAsia="en-IN"/>
              </w:rPr>
            </w:pPr>
            <w:r w:rsidRPr="00955EBA">
              <w:rPr>
                <w:rFonts w:ascii="Times New Roman" w:eastAsia="Times New Roman" w:hAnsi="Times New Roman" w:cs="Times New Roman"/>
                <w:sz w:val="20"/>
                <w:szCs w:val="20"/>
                <w:lang w:eastAsia="en-IN"/>
              </w:rPr>
              <w:t>Constant-Murley Score</w:t>
            </w:r>
          </w:p>
        </w:tc>
        <w:tc>
          <w:tcPr>
            <w:tcW w:w="0" w:type="auto"/>
            <w:hideMark/>
          </w:tcPr>
          <w:p w:rsidR="00BA4ECC" w:rsidRPr="00955EBA" w:rsidRDefault="00BA4ECC" w:rsidP="00BA4ECC">
            <w:pPr>
              <w:spacing w:line="360" w:lineRule="auto"/>
              <w:jc w:val="center"/>
              <w:rPr>
                <w:rFonts w:ascii="Times New Roman" w:eastAsia="Times New Roman" w:hAnsi="Times New Roman" w:cs="Times New Roman"/>
                <w:sz w:val="20"/>
                <w:szCs w:val="20"/>
                <w:lang w:eastAsia="en-IN"/>
              </w:rPr>
            </w:pPr>
            <w:r w:rsidRPr="00955EBA">
              <w:rPr>
                <w:rFonts w:ascii="Times New Roman" w:eastAsia="Times New Roman" w:hAnsi="Times New Roman" w:cs="Times New Roman"/>
                <w:sz w:val="20"/>
                <w:szCs w:val="20"/>
                <w:lang w:eastAsia="en-IN"/>
              </w:rPr>
              <w:t>88.7 ± 5.6</w:t>
            </w:r>
          </w:p>
        </w:tc>
        <w:tc>
          <w:tcPr>
            <w:tcW w:w="0" w:type="auto"/>
            <w:hideMark/>
          </w:tcPr>
          <w:p w:rsidR="00BA4ECC" w:rsidRPr="00955EBA" w:rsidRDefault="00BA4ECC" w:rsidP="00BA4ECC">
            <w:pPr>
              <w:spacing w:line="360" w:lineRule="auto"/>
              <w:jc w:val="center"/>
              <w:rPr>
                <w:rFonts w:ascii="Times New Roman" w:eastAsia="Times New Roman" w:hAnsi="Times New Roman" w:cs="Times New Roman"/>
                <w:sz w:val="20"/>
                <w:szCs w:val="20"/>
                <w:lang w:eastAsia="en-IN"/>
              </w:rPr>
            </w:pPr>
            <w:r w:rsidRPr="00955EBA">
              <w:rPr>
                <w:rFonts w:ascii="Times New Roman" w:eastAsia="Times New Roman" w:hAnsi="Times New Roman" w:cs="Times New Roman"/>
                <w:sz w:val="20"/>
                <w:szCs w:val="20"/>
                <w:lang w:eastAsia="en-IN"/>
              </w:rPr>
              <w:t>82.4 ± 6.8</w:t>
            </w:r>
          </w:p>
        </w:tc>
        <w:tc>
          <w:tcPr>
            <w:tcW w:w="0" w:type="auto"/>
            <w:hideMark/>
          </w:tcPr>
          <w:p w:rsidR="00BA4ECC" w:rsidRPr="00955EBA" w:rsidRDefault="00BA4ECC" w:rsidP="00BA4ECC">
            <w:pPr>
              <w:spacing w:line="360" w:lineRule="auto"/>
              <w:jc w:val="center"/>
              <w:rPr>
                <w:rFonts w:ascii="Times New Roman" w:eastAsia="Times New Roman" w:hAnsi="Times New Roman" w:cs="Times New Roman"/>
                <w:sz w:val="20"/>
                <w:szCs w:val="20"/>
                <w:lang w:eastAsia="en-IN"/>
              </w:rPr>
            </w:pPr>
            <w:r w:rsidRPr="00955EBA">
              <w:rPr>
                <w:rFonts w:ascii="Times New Roman" w:eastAsia="Times New Roman" w:hAnsi="Times New Roman" w:cs="Times New Roman"/>
                <w:b/>
                <w:bCs/>
                <w:sz w:val="20"/>
                <w:szCs w:val="20"/>
                <w:lang w:eastAsia="en-IN"/>
              </w:rPr>
              <w:t>0.001</w:t>
            </w:r>
          </w:p>
        </w:tc>
      </w:tr>
      <w:tr w:rsidR="00BA4ECC" w:rsidRPr="00955EBA" w:rsidTr="00BA4ECC">
        <w:tc>
          <w:tcPr>
            <w:tcW w:w="0" w:type="auto"/>
            <w:hideMark/>
          </w:tcPr>
          <w:p w:rsidR="00BA4ECC" w:rsidRPr="00955EBA" w:rsidRDefault="00BA4ECC" w:rsidP="00BA4ECC">
            <w:pPr>
              <w:spacing w:line="360" w:lineRule="auto"/>
              <w:jc w:val="both"/>
              <w:rPr>
                <w:rFonts w:ascii="Times New Roman" w:eastAsia="Times New Roman" w:hAnsi="Times New Roman" w:cs="Times New Roman"/>
                <w:sz w:val="20"/>
                <w:szCs w:val="20"/>
                <w:lang w:eastAsia="en-IN"/>
              </w:rPr>
            </w:pPr>
            <w:r w:rsidRPr="00955EBA">
              <w:rPr>
                <w:rFonts w:ascii="Times New Roman" w:eastAsia="Times New Roman" w:hAnsi="Times New Roman" w:cs="Times New Roman"/>
                <w:sz w:val="20"/>
                <w:szCs w:val="20"/>
                <w:lang w:eastAsia="en-IN"/>
              </w:rPr>
              <w:t>UCLA Shoulder Score</w:t>
            </w:r>
          </w:p>
        </w:tc>
        <w:tc>
          <w:tcPr>
            <w:tcW w:w="0" w:type="auto"/>
            <w:hideMark/>
          </w:tcPr>
          <w:p w:rsidR="00BA4ECC" w:rsidRPr="00955EBA" w:rsidRDefault="00BA4ECC" w:rsidP="00BA4ECC">
            <w:pPr>
              <w:spacing w:line="360" w:lineRule="auto"/>
              <w:jc w:val="center"/>
              <w:rPr>
                <w:rFonts w:ascii="Times New Roman" w:eastAsia="Times New Roman" w:hAnsi="Times New Roman" w:cs="Times New Roman"/>
                <w:sz w:val="20"/>
                <w:szCs w:val="20"/>
                <w:lang w:eastAsia="en-IN"/>
              </w:rPr>
            </w:pPr>
            <w:r w:rsidRPr="00955EBA">
              <w:rPr>
                <w:rFonts w:ascii="Times New Roman" w:eastAsia="Times New Roman" w:hAnsi="Times New Roman" w:cs="Times New Roman"/>
                <w:sz w:val="20"/>
                <w:szCs w:val="20"/>
                <w:lang w:eastAsia="en-IN"/>
              </w:rPr>
              <w:t>33.5 ± 2.4</w:t>
            </w:r>
          </w:p>
        </w:tc>
        <w:tc>
          <w:tcPr>
            <w:tcW w:w="0" w:type="auto"/>
            <w:hideMark/>
          </w:tcPr>
          <w:p w:rsidR="00BA4ECC" w:rsidRPr="00955EBA" w:rsidRDefault="00BA4ECC" w:rsidP="00BA4ECC">
            <w:pPr>
              <w:spacing w:line="360" w:lineRule="auto"/>
              <w:jc w:val="center"/>
              <w:rPr>
                <w:rFonts w:ascii="Times New Roman" w:eastAsia="Times New Roman" w:hAnsi="Times New Roman" w:cs="Times New Roman"/>
                <w:sz w:val="20"/>
                <w:szCs w:val="20"/>
                <w:lang w:eastAsia="en-IN"/>
              </w:rPr>
            </w:pPr>
            <w:r w:rsidRPr="00955EBA">
              <w:rPr>
                <w:rFonts w:ascii="Times New Roman" w:eastAsia="Times New Roman" w:hAnsi="Times New Roman" w:cs="Times New Roman"/>
                <w:sz w:val="20"/>
                <w:szCs w:val="20"/>
                <w:lang w:eastAsia="en-IN"/>
              </w:rPr>
              <w:t>30.6 ± 3.1</w:t>
            </w:r>
          </w:p>
        </w:tc>
        <w:tc>
          <w:tcPr>
            <w:tcW w:w="0" w:type="auto"/>
            <w:hideMark/>
          </w:tcPr>
          <w:p w:rsidR="00BA4ECC" w:rsidRPr="00955EBA" w:rsidRDefault="00BA4ECC" w:rsidP="00BA4ECC">
            <w:pPr>
              <w:spacing w:line="360" w:lineRule="auto"/>
              <w:jc w:val="center"/>
              <w:rPr>
                <w:rFonts w:ascii="Times New Roman" w:eastAsia="Times New Roman" w:hAnsi="Times New Roman" w:cs="Times New Roman"/>
                <w:sz w:val="20"/>
                <w:szCs w:val="20"/>
                <w:lang w:eastAsia="en-IN"/>
              </w:rPr>
            </w:pPr>
            <w:r w:rsidRPr="00955EBA">
              <w:rPr>
                <w:rFonts w:ascii="Times New Roman" w:eastAsia="Times New Roman" w:hAnsi="Times New Roman" w:cs="Times New Roman"/>
                <w:b/>
                <w:bCs/>
                <w:sz w:val="20"/>
                <w:szCs w:val="20"/>
                <w:lang w:eastAsia="en-IN"/>
              </w:rPr>
              <w:t>0.002</w:t>
            </w:r>
          </w:p>
        </w:tc>
      </w:tr>
      <w:tr w:rsidR="00BA4ECC" w:rsidRPr="00955EBA" w:rsidTr="00BA4ECC">
        <w:tc>
          <w:tcPr>
            <w:tcW w:w="0" w:type="auto"/>
            <w:hideMark/>
          </w:tcPr>
          <w:p w:rsidR="00BA4ECC" w:rsidRPr="00955EBA" w:rsidRDefault="00BA4ECC" w:rsidP="00BA4ECC">
            <w:pPr>
              <w:spacing w:line="360" w:lineRule="auto"/>
              <w:jc w:val="both"/>
              <w:rPr>
                <w:rFonts w:ascii="Times New Roman" w:eastAsia="Times New Roman" w:hAnsi="Times New Roman" w:cs="Times New Roman"/>
                <w:sz w:val="20"/>
                <w:szCs w:val="20"/>
                <w:lang w:eastAsia="en-IN"/>
              </w:rPr>
            </w:pPr>
            <w:r w:rsidRPr="00955EBA">
              <w:rPr>
                <w:rFonts w:ascii="Times New Roman" w:eastAsia="Times New Roman" w:hAnsi="Times New Roman" w:cs="Times New Roman"/>
                <w:sz w:val="20"/>
                <w:szCs w:val="20"/>
                <w:lang w:eastAsia="en-IN"/>
              </w:rPr>
              <w:t>Forward Flexion (°)</w:t>
            </w:r>
          </w:p>
        </w:tc>
        <w:tc>
          <w:tcPr>
            <w:tcW w:w="0" w:type="auto"/>
            <w:hideMark/>
          </w:tcPr>
          <w:p w:rsidR="00BA4ECC" w:rsidRPr="00955EBA" w:rsidRDefault="00BA4ECC" w:rsidP="00BA4ECC">
            <w:pPr>
              <w:spacing w:line="360" w:lineRule="auto"/>
              <w:jc w:val="center"/>
              <w:rPr>
                <w:rFonts w:ascii="Times New Roman" w:eastAsia="Times New Roman" w:hAnsi="Times New Roman" w:cs="Times New Roman"/>
                <w:sz w:val="20"/>
                <w:szCs w:val="20"/>
                <w:lang w:eastAsia="en-IN"/>
              </w:rPr>
            </w:pPr>
            <w:r w:rsidRPr="00955EBA">
              <w:rPr>
                <w:rFonts w:ascii="Times New Roman" w:eastAsia="Times New Roman" w:hAnsi="Times New Roman" w:cs="Times New Roman"/>
                <w:sz w:val="20"/>
                <w:szCs w:val="20"/>
                <w:lang w:eastAsia="en-IN"/>
              </w:rPr>
              <w:t>168.5 ± 9.2</w:t>
            </w:r>
          </w:p>
        </w:tc>
        <w:tc>
          <w:tcPr>
            <w:tcW w:w="0" w:type="auto"/>
            <w:hideMark/>
          </w:tcPr>
          <w:p w:rsidR="00BA4ECC" w:rsidRPr="00955EBA" w:rsidRDefault="00BA4ECC" w:rsidP="00BA4ECC">
            <w:pPr>
              <w:spacing w:line="360" w:lineRule="auto"/>
              <w:jc w:val="center"/>
              <w:rPr>
                <w:rFonts w:ascii="Times New Roman" w:eastAsia="Times New Roman" w:hAnsi="Times New Roman" w:cs="Times New Roman"/>
                <w:sz w:val="20"/>
                <w:szCs w:val="20"/>
                <w:lang w:eastAsia="en-IN"/>
              </w:rPr>
            </w:pPr>
            <w:r w:rsidRPr="00955EBA">
              <w:rPr>
                <w:rFonts w:ascii="Times New Roman" w:eastAsia="Times New Roman" w:hAnsi="Times New Roman" w:cs="Times New Roman"/>
                <w:sz w:val="20"/>
                <w:szCs w:val="20"/>
                <w:lang w:eastAsia="en-IN"/>
              </w:rPr>
              <w:t>160.4 ± 11.3</w:t>
            </w:r>
          </w:p>
        </w:tc>
        <w:tc>
          <w:tcPr>
            <w:tcW w:w="0" w:type="auto"/>
            <w:hideMark/>
          </w:tcPr>
          <w:p w:rsidR="00BA4ECC" w:rsidRPr="00955EBA" w:rsidRDefault="00BA4ECC" w:rsidP="00BA4ECC">
            <w:pPr>
              <w:spacing w:line="360" w:lineRule="auto"/>
              <w:jc w:val="center"/>
              <w:rPr>
                <w:rFonts w:ascii="Times New Roman" w:eastAsia="Times New Roman" w:hAnsi="Times New Roman" w:cs="Times New Roman"/>
                <w:sz w:val="20"/>
                <w:szCs w:val="20"/>
                <w:lang w:eastAsia="en-IN"/>
              </w:rPr>
            </w:pPr>
            <w:r w:rsidRPr="00955EBA">
              <w:rPr>
                <w:rFonts w:ascii="Times New Roman" w:eastAsia="Times New Roman" w:hAnsi="Times New Roman" w:cs="Times New Roman"/>
                <w:b/>
                <w:bCs/>
                <w:sz w:val="20"/>
                <w:szCs w:val="20"/>
                <w:lang w:eastAsia="en-IN"/>
              </w:rPr>
              <w:t>0.01</w:t>
            </w:r>
          </w:p>
        </w:tc>
      </w:tr>
      <w:tr w:rsidR="00BA4ECC" w:rsidRPr="00955EBA" w:rsidTr="00BA4ECC">
        <w:tc>
          <w:tcPr>
            <w:tcW w:w="0" w:type="auto"/>
            <w:hideMark/>
          </w:tcPr>
          <w:p w:rsidR="00BA4ECC" w:rsidRPr="00955EBA" w:rsidRDefault="00BA4ECC" w:rsidP="00BA4ECC">
            <w:pPr>
              <w:spacing w:line="360" w:lineRule="auto"/>
              <w:jc w:val="both"/>
              <w:rPr>
                <w:rFonts w:ascii="Times New Roman" w:eastAsia="Times New Roman" w:hAnsi="Times New Roman" w:cs="Times New Roman"/>
                <w:sz w:val="20"/>
                <w:szCs w:val="20"/>
                <w:lang w:eastAsia="en-IN"/>
              </w:rPr>
            </w:pPr>
            <w:r w:rsidRPr="00955EBA">
              <w:rPr>
                <w:rFonts w:ascii="Times New Roman" w:eastAsia="Times New Roman" w:hAnsi="Times New Roman" w:cs="Times New Roman"/>
                <w:sz w:val="20"/>
                <w:szCs w:val="20"/>
                <w:lang w:eastAsia="en-IN"/>
              </w:rPr>
              <w:t>External Rotation (°)</w:t>
            </w:r>
          </w:p>
        </w:tc>
        <w:tc>
          <w:tcPr>
            <w:tcW w:w="0" w:type="auto"/>
            <w:hideMark/>
          </w:tcPr>
          <w:p w:rsidR="00BA4ECC" w:rsidRPr="00955EBA" w:rsidRDefault="00BA4ECC" w:rsidP="00BA4ECC">
            <w:pPr>
              <w:spacing w:line="360" w:lineRule="auto"/>
              <w:jc w:val="center"/>
              <w:rPr>
                <w:rFonts w:ascii="Times New Roman" w:eastAsia="Times New Roman" w:hAnsi="Times New Roman" w:cs="Times New Roman"/>
                <w:sz w:val="20"/>
                <w:szCs w:val="20"/>
                <w:lang w:eastAsia="en-IN"/>
              </w:rPr>
            </w:pPr>
            <w:r w:rsidRPr="00955EBA">
              <w:rPr>
                <w:rFonts w:ascii="Times New Roman" w:eastAsia="Times New Roman" w:hAnsi="Times New Roman" w:cs="Times New Roman"/>
                <w:sz w:val="20"/>
                <w:szCs w:val="20"/>
                <w:lang w:eastAsia="en-IN"/>
              </w:rPr>
              <w:t>66.8 ± 8.4</w:t>
            </w:r>
          </w:p>
        </w:tc>
        <w:tc>
          <w:tcPr>
            <w:tcW w:w="0" w:type="auto"/>
            <w:hideMark/>
          </w:tcPr>
          <w:p w:rsidR="00BA4ECC" w:rsidRPr="00955EBA" w:rsidRDefault="00BA4ECC" w:rsidP="00BA4ECC">
            <w:pPr>
              <w:spacing w:line="360" w:lineRule="auto"/>
              <w:jc w:val="center"/>
              <w:rPr>
                <w:rFonts w:ascii="Times New Roman" w:eastAsia="Times New Roman" w:hAnsi="Times New Roman" w:cs="Times New Roman"/>
                <w:sz w:val="20"/>
                <w:szCs w:val="20"/>
                <w:lang w:eastAsia="en-IN"/>
              </w:rPr>
            </w:pPr>
            <w:r w:rsidRPr="00955EBA">
              <w:rPr>
                <w:rFonts w:ascii="Times New Roman" w:eastAsia="Times New Roman" w:hAnsi="Times New Roman" w:cs="Times New Roman"/>
                <w:sz w:val="20"/>
                <w:szCs w:val="20"/>
                <w:lang w:eastAsia="en-IN"/>
              </w:rPr>
              <w:t>60.2 ± 9.1</w:t>
            </w:r>
          </w:p>
        </w:tc>
        <w:tc>
          <w:tcPr>
            <w:tcW w:w="0" w:type="auto"/>
            <w:hideMark/>
          </w:tcPr>
          <w:p w:rsidR="00BA4ECC" w:rsidRPr="00955EBA" w:rsidRDefault="00BA4ECC" w:rsidP="00BA4ECC">
            <w:pPr>
              <w:spacing w:line="360" w:lineRule="auto"/>
              <w:jc w:val="center"/>
              <w:rPr>
                <w:rFonts w:ascii="Times New Roman" w:eastAsia="Times New Roman" w:hAnsi="Times New Roman" w:cs="Times New Roman"/>
                <w:sz w:val="20"/>
                <w:szCs w:val="20"/>
                <w:lang w:eastAsia="en-IN"/>
              </w:rPr>
            </w:pPr>
            <w:r w:rsidRPr="00955EBA">
              <w:rPr>
                <w:rFonts w:ascii="Times New Roman" w:eastAsia="Times New Roman" w:hAnsi="Times New Roman" w:cs="Times New Roman"/>
                <w:b/>
                <w:bCs/>
                <w:sz w:val="20"/>
                <w:szCs w:val="20"/>
                <w:lang w:eastAsia="en-IN"/>
              </w:rPr>
              <w:t>0.02</w:t>
            </w:r>
          </w:p>
        </w:tc>
      </w:tr>
      <w:tr w:rsidR="00BA4ECC" w:rsidRPr="00955EBA" w:rsidTr="00BA4ECC">
        <w:tc>
          <w:tcPr>
            <w:tcW w:w="0" w:type="auto"/>
            <w:hideMark/>
          </w:tcPr>
          <w:p w:rsidR="00BA4ECC" w:rsidRPr="00955EBA" w:rsidRDefault="00BA4ECC" w:rsidP="00BA4ECC">
            <w:pPr>
              <w:spacing w:line="360" w:lineRule="auto"/>
              <w:jc w:val="both"/>
              <w:rPr>
                <w:rFonts w:ascii="Times New Roman" w:eastAsia="Times New Roman" w:hAnsi="Times New Roman" w:cs="Times New Roman"/>
                <w:sz w:val="20"/>
                <w:szCs w:val="20"/>
                <w:lang w:eastAsia="en-IN"/>
              </w:rPr>
            </w:pPr>
            <w:r w:rsidRPr="00955EBA">
              <w:rPr>
                <w:rFonts w:ascii="Times New Roman" w:eastAsia="Times New Roman" w:hAnsi="Times New Roman" w:cs="Times New Roman"/>
                <w:sz w:val="20"/>
                <w:szCs w:val="20"/>
                <w:lang w:eastAsia="en-IN"/>
              </w:rPr>
              <w:t>Time to return to routine activities (weeks)</w:t>
            </w:r>
          </w:p>
        </w:tc>
        <w:tc>
          <w:tcPr>
            <w:tcW w:w="0" w:type="auto"/>
            <w:hideMark/>
          </w:tcPr>
          <w:p w:rsidR="00BA4ECC" w:rsidRPr="00955EBA" w:rsidRDefault="00BA4ECC" w:rsidP="00BA4ECC">
            <w:pPr>
              <w:spacing w:line="360" w:lineRule="auto"/>
              <w:jc w:val="center"/>
              <w:rPr>
                <w:rFonts w:ascii="Times New Roman" w:eastAsia="Times New Roman" w:hAnsi="Times New Roman" w:cs="Times New Roman"/>
                <w:sz w:val="20"/>
                <w:szCs w:val="20"/>
                <w:lang w:eastAsia="en-IN"/>
              </w:rPr>
            </w:pPr>
            <w:r w:rsidRPr="00955EBA">
              <w:rPr>
                <w:rFonts w:ascii="Times New Roman" w:eastAsia="Times New Roman" w:hAnsi="Times New Roman" w:cs="Times New Roman"/>
                <w:sz w:val="20"/>
                <w:szCs w:val="20"/>
                <w:lang w:eastAsia="en-IN"/>
              </w:rPr>
              <w:t>10.8 ± 2.1</w:t>
            </w:r>
          </w:p>
        </w:tc>
        <w:tc>
          <w:tcPr>
            <w:tcW w:w="0" w:type="auto"/>
            <w:hideMark/>
          </w:tcPr>
          <w:p w:rsidR="00BA4ECC" w:rsidRPr="00955EBA" w:rsidRDefault="00BA4ECC" w:rsidP="00BA4ECC">
            <w:pPr>
              <w:spacing w:line="360" w:lineRule="auto"/>
              <w:jc w:val="center"/>
              <w:rPr>
                <w:rFonts w:ascii="Times New Roman" w:eastAsia="Times New Roman" w:hAnsi="Times New Roman" w:cs="Times New Roman"/>
                <w:sz w:val="20"/>
                <w:szCs w:val="20"/>
                <w:lang w:eastAsia="en-IN"/>
              </w:rPr>
            </w:pPr>
            <w:r w:rsidRPr="00955EBA">
              <w:rPr>
                <w:rFonts w:ascii="Times New Roman" w:eastAsia="Times New Roman" w:hAnsi="Times New Roman" w:cs="Times New Roman"/>
                <w:sz w:val="20"/>
                <w:szCs w:val="20"/>
                <w:lang w:eastAsia="en-IN"/>
              </w:rPr>
              <w:t>13.5 ± 2.8</w:t>
            </w:r>
          </w:p>
        </w:tc>
        <w:tc>
          <w:tcPr>
            <w:tcW w:w="0" w:type="auto"/>
            <w:hideMark/>
          </w:tcPr>
          <w:p w:rsidR="00BA4ECC" w:rsidRPr="00955EBA" w:rsidRDefault="00BA4ECC" w:rsidP="00BA4ECC">
            <w:pPr>
              <w:spacing w:line="360" w:lineRule="auto"/>
              <w:jc w:val="center"/>
              <w:rPr>
                <w:rFonts w:ascii="Times New Roman" w:eastAsia="Times New Roman" w:hAnsi="Times New Roman" w:cs="Times New Roman"/>
                <w:sz w:val="20"/>
                <w:szCs w:val="20"/>
                <w:lang w:eastAsia="en-IN"/>
              </w:rPr>
            </w:pPr>
            <w:r w:rsidRPr="00955EBA">
              <w:rPr>
                <w:rFonts w:ascii="Times New Roman" w:eastAsia="Times New Roman" w:hAnsi="Times New Roman" w:cs="Times New Roman"/>
                <w:b/>
                <w:bCs/>
                <w:sz w:val="20"/>
                <w:szCs w:val="20"/>
                <w:lang w:eastAsia="en-IN"/>
              </w:rPr>
              <w:t>&lt;0.001</w:t>
            </w:r>
          </w:p>
        </w:tc>
      </w:tr>
    </w:tbl>
    <w:p w:rsidR="00BA4ECC" w:rsidRPr="00955EBA" w:rsidRDefault="00BA4ECC" w:rsidP="00BA4ECC">
      <w:pPr>
        <w:spacing w:after="0" w:line="360" w:lineRule="auto"/>
        <w:jc w:val="both"/>
        <w:rPr>
          <w:rFonts w:ascii="Times New Roman" w:eastAsia="Times New Roman" w:hAnsi="Times New Roman" w:cs="Times New Roman"/>
          <w:sz w:val="20"/>
          <w:szCs w:val="20"/>
          <w:lang w:eastAsia="en-IN"/>
        </w:rPr>
      </w:pPr>
    </w:p>
    <w:p w:rsidR="00BA4ECC" w:rsidRPr="00955EBA" w:rsidRDefault="00BA4ECC" w:rsidP="00BA4ECC">
      <w:pPr>
        <w:spacing w:after="0" w:line="360" w:lineRule="auto"/>
        <w:jc w:val="both"/>
        <w:outlineLvl w:val="3"/>
        <w:rPr>
          <w:rFonts w:ascii="Times New Roman" w:eastAsia="Times New Roman" w:hAnsi="Times New Roman" w:cs="Times New Roman"/>
          <w:b/>
          <w:bCs/>
          <w:sz w:val="20"/>
          <w:szCs w:val="20"/>
          <w:lang w:eastAsia="en-IN"/>
        </w:rPr>
      </w:pPr>
      <w:r w:rsidRPr="00955EBA">
        <w:rPr>
          <w:rFonts w:ascii="Times New Roman" w:eastAsia="Times New Roman" w:hAnsi="Times New Roman" w:cs="Times New Roman"/>
          <w:b/>
          <w:bCs/>
          <w:sz w:val="20"/>
          <w:szCs w:val="20"/>
          <w:lang w:eastAsia="en-IN"/>
        </w:rPr>
        <w:t>Table 3. Radiological Outcomes and Postoperative Complications</w:t>
      </w:r>
    </w:p>
    <w:tbl>
      <w:tblPr>
        <w:tblStyle w:val="TableGrid"/>
        <w:tblW w:w="0" w:type="auto"/>
        <w:tblLook w:val="04A0" w:firstRow="1" w:lastRow="0" w:firstColumn="1" w:lastColumn="0" w:noHBand="0" w:noVBand="1"/>
      </w:tblPr>
      <w:tblGrid>
        <w:gridCol w:w="3310"/>
        <w:gridCol w:w="2586"/>
        <w:gridCol w:w="1930"/>
        <w:gridCol w:w="850"/>
      </w:tblGrid>
      <w:tr w:rsidR="00BA4ECC" w:rsidRPr="00955EBA" w:rsidTr="00BA4ECC">
        <w:tc>
          <w:tcPr>
            <w:tcW w:w="0" w:type="auto"/>
            <w:hideMark/>
          </w:tcPr>
          <w:p w:rsidR="00BA4ECC" w:rsidRPr="00955EBA" w:rsidRDefault="00BA4ECC" w:rsidP="00BA4ECC">
            <w:pPr>
              <w:spacing w:line="360" w:lineRule="auto"/>
              <w:jc w:val="both"/>
              <w:rPr>
                <w:rFonts w:ascii="Times New Roman" w:eastAsia="Times New Roman" w:hAnsi="Times New Roman" w:cs="Times New Roman"/>
                <w:b/>
                <w:bCs/>
                <w:sz w:val="20"/>
                <w:szCs w:val="20"/>
                <w:lang w:eastAsia="en-IN"/>
              </w:rPr>
            </w:pPr>
            <w:r w:rsidRPr="00955EBA">
              <w:rPr>
                <w:rFonts w:ascii="Times New Roman" w:eastAsia="Times New Roman" w:hAnsi="Times New Roman" w:cs="Times New Roman"/>
                <w:b/>
                <w:bCs/>
                <w:sz w:val="20"/>
                <w:szCs w:val="20"/>
                <w:lang w:eastAsia="en-IN"/>
              </w:rPr>
              <w:t>Variable</w:t>
            </w:r>
          </w:p>
        </w:tc>
        <w:tc>
          <w:tcPr>
            <w:tcW w:w="0" w:type="auto"/>
            <w:hideMark/>
          </w:tcPr>
          <w:p w:rsidR="00BA4ECC" w:rsidRPr="00955EBA" w:rsidRDefault="00BA4ECC" w:rsidP="00BA4ECC">
            <w:pPr>
              <w:spacing w:line="360" w:lineRule="auto"/>
              <w:jc w:val="center"/>
              <w:rPr>
                <w:rFonts w:ascii="Times New Roman" w:eastAsia="Times New Roman" w:hAnsi="Times New Roman" w:cs="Times New Roman"/>
                <w:b/>
                <w:bCs/>
                <w:sz w:val="20"/>
                <w:szCs w:val="20"/>
                <w:lang w:eastAsia="en-IN"/>
              </w:rPr>
            </w:pPr>
            <w:r w:rsidRPr="00955EBA">
              <w:rPr>
                <w:rFonts w:ascii="Times New Roman" w:eastAsia="Times New Roman" w:hAnsi="Times New Roman" w:cs="Times New Roman"/>
                <w:b/>
                <w:bCs/>
                <w:sz w:val="20"/>
                <w:szCs w:val="20"/>
                <w:lang w:eastAsia="en-IN"/>
              </w:rPr>
              <w:t>Arthroscopic Repair (n=23)</w:t>
            </w:r>
          </w:p>
        </w:tc>
        <w:tc>
          <w:tcPr>
            <w:tcW w:w="0" w:type="auto"/>
            <w:hideMark/>
          </w:tcPr>
          <w:p w:rsidR="00BA4ECC" w:rsidRPr="00955EBA" w:rsidRDefault="00BA4ECC" w:rsidP="00BA4ECC">
            <w:pPr>
              <w:spacing w:line="360" w:lineRule="auto"/>
              <w:jc w:val="center"/>
              <w:rPr>
                <w:rFonts w:ascii="Times New Roman" w:eastAsia="Times New Roman" w:hAnsi="Times New Roman" w:cs="Times New Roman"/>
                <w:b/>
                <w:bCs/>
                <w:sz w:val="20"/>
                <w:szCs w:val="20"/>
                <w:lang w:eastAsia="en-IN"/>
              </w:rPr>
            </w:pPr>
            <w:r w:rsidRPr="00955EBA">
              <w:rPr>
                <w:rFonts w:ascii="Times New Roman" w:eastAsia="Times New Roman" w:hAnsi="Times New Roman" w:cs="Times New Roman"/>
                <w:b/>
                <w:bCs/>
                <w:sz w:val="20"/>
                <w:szCs w:val="20"/>
                <w:lang w:eastAsia="en-IN"/>
              </w:rPr>
              <w:t>Open Repair (n=22)</w:t>
            </w:r>
          </w:p>
        </w:tc>
        <w:tc>
          <w:tcPr>
            <w:tcW w:w="0" w:type="auto"/>
            <w:hideMark/>
          </w:tcPr>
          <w:p w:rsidR="00BA4ECC" w:rsidRPr="00955EBA" w:rsidRDefault="00BA4ECC" w:rsidP="00BA4ECC">
            <w:pPr>
              <w:spacing w:line="360" w:lineRule="auto"/>
              <w:jc w:val="center"/>
              <w:rPr>
                <w:rFonts w:ascii="Times New Roman" w:eastAsia="Times New Roman" w:hAnsi="Times New Roman" w:cs="Times New Roman"/>
                <w:b/>
                <w:bCs/>
                <w:sz w:val="20"/>
                <w:szCs w:val="20"/>
                <w:lang w:eastAsia="en-IN"/>
              </w:rPr>
            </w:pPr>
            <w:r w:rsidRPr="00955EBA">
              <w:rPr>
                <w:rFonts w:ascii="Times New Roman" w:eastAsia="Times New Roman" w:hAnsi="Times New Roman" w:cs="Times New Roman"/>
                <w:b/>
                <w:bCs/>
                <w:sz w:val="20"/>
                <w:szCs w:val="20"/>
                <w:lang w:eastAsia="en-IN"/>
              </w:rPr>
              <w:t>p-value</w:t>
            </w:r>
          </w:p>
        </w:tc>
      </w:tr>
      <w:tr w:rsidR="00BA4ECC" w:rsidRPr="00955EBA" w:rsidTr="00BA4ECC">
        <w:tc>
          <w:tcPr>
            <w:tcW w:w="0" w:type="auto"/>
            <w:hideMark/>
          </w:tcPr>
          <w:p w:rsidR="00BA4ECC" w:rsidRPr="00955EBA" w:rsidRDefault="00BA4ECC" w:rsidP="00BA4ECC">
            <w:pPr>
              <w:spacing w:line="360" w:lineRule="auto"/>
              <w:jc w:val="both"/>
              <w:rPr>
                <w:rFonts w:ascii="Times New Roman" w:eastAsia="Times New Roman" w:hAnsi="Times New Roman" w:cs="Times New Roman"/>
                <w:sz w:val="20"/>
                <w:szCs w:val="20"/>
                <w:lang w:eastAsia="en-IN"/>
              </w:rPr>
            </w:pPr>
            <w:r w:rsidRPr="00955EBA">
              <w:rPr>
                <w:rFonts w:ascii="Times New Roman" w:eastAsia="Times New Roman" w:hAnsi="Times New Roman" w:cs="Times New Roman"/>
                <w:sz w:val="20"/>
                <w:szCs w:val="20"/>
                <w:lang w:eastAsia="en-IN"/>
              </w:rPr>
              <w:t>Complete tendon healing, n (%)</w:t>
            </w:r>
          </w:p>
        </w:tc>
        <w:tc>
          <w:tcPr>
            <w:tcW w:w="0" w:type="auto"/>
            <w:hideMark/>
          </w:tcPr>
          <w:p w:rsidR="00BA4ECC" w:rsidRPr="00955EBA" w:rsidRDefault="00BA4ECC" w:rsidP="00BA4ECC">
            <w:pPr>
              <w:spacing w:line="360" w:lineRule="auto"/>
              <w:jc w:val="center"/>
              <w:rPr>
                <w:rFonts w:ascii="Times New Roman" w:eastAsia="Times New Roman" w:hAnsi="Times New Roman" w:cs="Times New Roman"/>
                <w:sz w:val="20"/>
                <w:szCs w:val="20"/>
                <w:lang w:eastAsia="en-IN"/>
              </w:rPr>
            </w:pPr>
            <w:r w:rsidRPr="00955EBA">
              <w:rPr>
                <w:rFonts w:ascii="Times New Roman" w:eastAsia="Times New Roman" w:hAnsi="Times New Roman" w:cs="Times New Roman"/>
                <w:sz w:val="20"/>
                <w:szCs w:val="20"/>
                <w:lang w:eastAsia="en-IN"/>
              </w:rPr>
              <w:t>21 (91.3)</w:t>
            </w:r>
          </w:p>
        </w:tc>
        <w:tc>
          <w:tcPr>
            <w:tcW w:w="0" w:type="auto"/>
            <w:hideMark/>
          </w:tcPr>
          <w:p w:rsidR="00BA4ECC" w:rsidRPr="00955EBA" w:rsidRDefault="00BA4ECC" w:rsidP="00BA4ECC">
            <w:pPr>
              <w:spacing w:line="360" w:lineRule="auto"/>
              <w:jc w:val="center"/>
              <w:rPr>
                <w:rFonts w:ascii="Times New Roman" w:eastAsia="Times New Roman" w:hAnsi="Times New Roman" w:cs="Times New Roman"/>
                <w:sz w:val="20"/>
                <w:szCs w:val="20"/>
                <w:lang w:eastAsia="en-IN"/>
              </w:rPr>
            </w:pPr>
            <w:r w:rsidRPr="00955EBA">
              <w:rPr>
                <w:rFonts w:ascii="Times New Roman" w:eastAsia="Times New Roman" w:hAnsi="Times New Roman" w:cs="Times New Roman"/>
                <w:sz w:val="20"/>
                <w:szCs w:val="20"/>
                <w:lang w:eastAsia="en-IN"/>
              </w:rPr>
              <w:t>19 (86.4)</w:t>
            </w:r>
          </w:p>
        </w:tc>
        <w:tc>
          <w:tcPr>
            <w:tcW w:w="0" w:type="auto"/>
            <w:hideMark/>
          </w:tcPr>
          <w:p w:rsidR="00BA4ECC" w:rsidRPr="00955EBA" w:rsidRDefault="00BA4ECC" w:rsidP="00BA4ECC">
            <w:pPr>
              <w:spacing w:line="360" w:lineRule="auto"/>
              <w:jc w:val="center"/>
              <w:rPr>
                <w:rFonts w:ascii="Times New Roman" w:eastAsia="Times New Roman" w:hAnsi="Times New Roman" w:cs="Times New Roman"/>
                <w:sz w:val="20"/>
                <w:szCs w:val="20"/>
                <w:lang w:eastAsia="en-IN"/>
              </w:rPr>
            </w:pPr>
            <w:r w:rsidRPr="00955EBA">
              <w:rPr>
                <w:rFonts w:ascii="Times New Roman" w:eastAsia="Times New Roman" w:hAnsi="Times New Roman" w:cs="Times New Roman"/>
                <w:sz w:val="20"/>
                <w:szCs w:val="20"/>
                <w:lang w:eastAsia="en-IN"/>
              </w:rPr>
              <w:t>0.59</w:t>
            </w:r>
          </w:p>
        </w:tc>
      </w:tr>
      <w:tr w:rsidR="00BA4ECC" w:rsidRPr="00955EBA" w:rsidTr="00BA4ECC">
        <w:tc>
          <w:tcPr>
            <w:tcW w:w="0" w:type="auto"/>
            <w:hideMark/>
          </w:tcPr>
          <w:p w:rsidR="00BA4ECC" w:rsidRPr="00955EBA" w:rsidRDefault="00BA4ECC" w:rsidP="00BA4ECC">
            <w:pPr>
              <w:spacing w:line="360" w:lineRule="auto"/>
              <w:jc w:val="both"/>
              <w:rPr>
                <w:rFonts w:ascii="Times New Roman" w:eastAsia="Times New Roman" w:hAnsi="Times New Roman" w:cs="Times New Roman"/>
                <w:sz w:val="20"/>
                <w:szCs w:val="20"/>
                <w:lang w:eastAsia="en-IN"/>
              </w:rPr>
            </w:pPr>
            <w:r w:rsidRPr="00955EBA">
              <w:rPr>
                <w:rFonts w:ascii="Times New Roman" w:eastAsia="Times New Roman" w:hAnsi="Times New Roman" w:cs="Times New Roman"/>
                <w:sz w:val="20"/>
                <w:szCs w:val="20"/>
                <w:lang w:eastAsia="en-IN"/>
              </w:rPr>
              <w:t>Partial re-tear, n (%)</w:t>
            </w:r>
          </w:p>
        </w:tc>
        <w:tc>
          <w:tcPr>
            <w:tcW w:w="0" w:type="auto"/>
            <w:hideMark/>
          </w:tcPr>
          <w:p w:rsidR="00BA4ECC" w:rsidRPr="00955EBA" w:rsidRDefault="00BA4ECC" w:rsidP="00BA4ECC">
            <w:pPr>
              <w:spacing w:line="360" w:lineRule="auto"/>
              <w:jc w:val="center"/>
              <w:rPr>
                <w:rFonts w:ascii="Times New Roman" w:eastAsia="Times New Roman" w:hAnsi="Times New Roman" w:cs="Times New Roman"/>
                <w:sz w:val="20"/>
                <w:szCs w:val="20"/>
                <w:lang w:eastAsia="en-IN"/>
              </w:rPr>
            </w:pPr>
            <w:r w:rsidRPr="00955EBA">
              <w:rPr>
                <w:rFonts w:ascii="Times New Roman" w:eastAsia="Times New Roman" w:hAnsi="Times New Roman" w:cs="Times New Roman"/>
                <w:sz w:val="20"/>
                <w:szCs w:val="20"/>
                <w:lang w:eastAsia="en-IN"/>
              </w:rPr>
              <w:t>2 (8.7)</w:t>
            </w:r>
          </w:p>
        </w:tc>
        <w:tc>
          <w:tcPr>
            <w:tcW w:w="0" w:type="auto"/>
            <w:hideMark/>
          </w:tcPr>
          <w:p w:rsidR="00BA4ECC" w:rsidRPr="00955EBA" w:rsidRDefault="00BA4ECC" w:rsidP="00BA4ECC">
            <w:pPr>
              <w:spacing w:line="360" w:lineRule="auto"/>
              <w:jc w:val="center"/>
              <w:rPr>
                <w:rFonts w:ascii="Times New Roman" w:eastAsia="Times New Roman" w:hAnsi="Times New Roman" w:cs="Times New Roman"/>
                <w:sz w:val="20"/>
                <w:szCs w:val="20"/>
                <w:lang w:eastAsia="en-IN"/>
              </w:rPr>
            </w:pPr>
            <w:r w:rsidRPr="00955EBA">
              <w:rPr>
                <w:rFonts w:ascii="Times New Roman" w:eastAsia="Times New Roman" w:hAnsi="Times New Roman" w:cs="Times New Roman"/>
                <w:sz w:val="20"/>
                <w:szCs w:val="20"/>
                <w:lang w:eastAsia="en-IN"/>
              </w:rPr>
              <w:t>3 (13.6)</w:t>
            </w:r>
          </w:p>
        </w:tc>
        <w:tc>
          <w:tcPr>
            <w:tcW w:w="0" w:type="auto"/>
            <w:hideMark/>
          </w:tcPr>
          <w:p w:rsidR="00BA4ECC" w:rsidRPr="00955EBA" w:rsidRDefault="00BA4ECC" w:rsidP="00BA4ECC">
            <w:pPr>
              <w:spacing w:line="360" w:lineRule="auto"/>
              <w:jc w:val="center"/>
              <w:rPr>
                <w:rFonts w:ascii="Times New Roman" w:eastAsia="Times New Roman" w:hAnsi="Times New Roman" w:cs="Times New Roman"/>
                <w:sz w:val="20"/>
                <w:szCs w:val="20"/>
                <w:lang w:eastAsia="en-IN"/>
              </w:rPr>
            </w:pPr>
            <w:r w:rsidRPr="00955EBA">
              <w:rPr>
                <w:rFonts w:ascii="Times New Roman" w:eastAsia="Times New Roman" w:hAnsi="Times New Roman" w:cs="Times New Roman"/>
                <w:sz w:val="20"/>
                <w:szCs w:val="20"/>
                <w:lang w:eastAsia="en-IN"/>
              </w:rPr>
              <w:t>0.67</w:t>
            </w:r>
          </w:p>
        </w:tc>
      </w:tr>
      <w:tr w:rsidR="00BA4ECC" w:rsidRPr="00955EBA" w:rsidTr="00BA4ECC">
        <w:tc>
          <w:tcPr>
            <w:tcW w:w="0" w:type="auto"/>
            <w:hideMark/>
          </w:tcPr>
          <w:p w:rsidR="00BA4ECC" w:rsidRPr="00955EBA" w:rsidRDefault="00BA4ECC" w:rsidP="00BA4ECC">
            <w:pPr>
              <w:spacing w:line="360" w:lineRule="auto"/>
              <w:jc w:val="both"/>
              <w:rPr>
                <w:rFonts w:ascii="Times New Roman" w:eastAsia="Times New Roman" w:hAnsi="Times New Roman" w:cs="Times New Roman"/>
                <w:sz w:val="20"/>
                <w:szCs w:val="20"/>
                <w:lang w:eastAsia="en-IN"/>
              </w:rPr>
            </w:pPr>
            <w:r w:rsidRPr="00955EBA">
              <w:rPr>
                <w:rFonts w:ascii="Times New Roman" w:eastAsia="Times New Roman" w:hAnsi="Times New Roman" w:cs="Times New Roman"/>
                <w:sz w:val="20"/>
                <w:szCs w:val="20"/>
                <w:lang w:eastAsia="en-IN"/>
              </w:rPr>
              <w:t>Postoperative shoulder stiffness, n (%)</w:t>
            </w:r>
          </w:p>
        </w:tc>
        <w:tc>
          <w:tcPr>
            <w:tcW w:w="0" w:type="auto"/>
            <w:hideMark/>
          </w:tcPr>
          <w:p w:rsidR="00BA4ECC" w:rsidRPr="00955EBA" w:rsidRDefault="00BA4ECC" w:rsidP="00BA4ECC">
            <w:pPr>
              <w:spacing w:line="360" w:lineRule="auto"/>
              <w:jc w:val="center"/>
              <w:rPr>
                <w:rFonts w:ascii="Times New Roman" w:eastAsia="Times New Roman" w:hAnsi="Times New Roman" w:cs="Times New Roman"/>
                <w:sz w:val="20"/>
                <w:szCs w:val="20"/>
                <w:lang w:eastAsia="en-IN"/>
              </w:rPr>
            </w:pPr>
            <w:r w:rsidRPr="00955EBA">
              <w:rPr>
                <w:rFonts w:ascii="Times New Roman" w:eastAsia="Times New Roman" w:hAnsi="Times New Roman" w:cs="Times New Roman"/>
                <w:sz w:val="20"/>
                <w:szCs w:val="20"/>
                <w:lang w:eastAsia="en-IN"/>
              </w:rPr>
              <w:t>1 (4.3)</w:t>
            </w:r>
          </w:p>
        </w:tc>
        <w:tc>
          <w:tcPr>
            <w:tcW w:w="0" w:type="auto"/>
            <w:hideMark/>
          </w:tcPr>
          <w:p w:rsidR="00BA4ECC" w:rsidRPr="00955EBA" w:rsidRDefault="00BA4ECC" w:rsidP="00BA4ECC">
            <w:pPr>
              <w:spacing w:line="360" w:lineRule="auto"/>
              <w:jc w:val="center"/>
              <w:rPr>
                <w:rFonts w:ascii="Times New Roman" w:eastAsia="Times New Roman" w:hAnsi="Times New Roman" w:cs="Times New Roman"/>
                <w:sz w:val="20"/>
                <w:szCs w:val="20"/>
                <w:lang w:eastAsia="en-IN"/>
              </w:rPr>
            </w:pPr>
            <w:r w:rsidRPr="00955EBA">
              <w:rPr>
                <w:rFonts w:ascii="Times New Roman" w:eastAsia="Times New Roman" w:hAnsi="Times New Roman" w:cs="Times New Roman"/>
                <w:sz w:val="20"/>
                <w:szCs w:val="20"/>
                <w:lang w:eastAsia="en-IN"/>
              </w:rPr>
              <w:t>3 (13.6)</w:t>
            </w:r>
          </w:p>
        </w:tc>
        <w:tc>
          <w:tcPr>
            <w:tcW w:w="0" w:type="auto"/>
            <w:hideMark/>
          </w:tcPr>
          <w:p w:rsidR="00BA4ECC" w:rsidRPr="00955EBA" w:rsidRDefault="00BA4ECC" w:rsidP="00BA4ECC">
            <w:pPr>
              <w:spacing w:line="360" w:lineRule="auto"/>
              <w:jc w:val="center"/>
              <w:rPr>
                <w:rFonts w:ascii="Times New Roman" w:eastAsia="Times New Roman" w:hAnsi="Times New Roman" w:cs="Times New Roman"/>
                <w:sz w:val="20"/>
                <w:szCs w:val="20"/>
                <w:lang w:eastAsia="en-IN"/>
              </w:rPr>
            </w:pPr>
            <w:r w:rsidRPr="00955EBA">
              <w:rPr>
                <w:rFonts w:ascii="Times New Roman" w:eastAsia="Times New Roman" w:hAnsi="Times New Roman" w:cs="Times New Roman"/>
                <w:sz w:val="20"/>
                <w:szCs w:val="20"/>
                <w:lang w:eastAsia="en-IN"/>
              </w:rPr>
              <w:t>0.28</w:t>
            </w:r>
          </w:p>
        </w:tc>
      </w:tr>
      <w:tr w:rsidR="00BA4ECC" w:rsidRPr="00955EBA" w:rsidTr="00BA4ECC">
        <w:tc>
          <w:tcPr>
            <w:tcW w:w="0" w:type="auto"/>
            <w:hideMark/>
          </w:tcPr>
          <w:p w:rsidR="00BA4ECC" w:rsidRPr="00955EBA" w:rsidRDefault="00BA4ECC" w:rsidP="00BA4ECC">
            <w:pPr>
              <w:spacing w:line="360" w:lineRule="auto"/>
              <w:jc w:val="both"/>
              <w:rPr>
                <w:rFonts w:ascii="Times New Roman" w:eastAsia="Times New Roman" w:hAnsi="Times New Roman" w:cs="Times New Roman"/>
                <w:sz w:val="20"/>
                <w:szCs w:val="20"/>
                <w:lang w:eastAsia="en-IN"/>
              </w:rPr>
            </w:pPr>
            <w:r w:rsidRPr="00955EBA">
              <w:rPr>
                <w:rFonts w:ascii="Times New Roman" w:eastAsia="Times New Roman" w:hAnsi="Times New Roman" w:cs="Times New Roman"/>
                <w:sz w:val="20"/>
                <w:szCs w:val="20"/>
                <w:lang w:eastAsia="en-IN"/>
              </w:rPr>
              <w:t>Superficial wound infection, n (%)</w:t>
            </w:r>
          </w:p>
        </w:tc>
        <w:tc>
          <w:tcPr>
            <w:tcW w:w="0" w:type="auto"/>
            <w:hideMark/>
          </w:tcPr>
          <w:p w:rsidR="00BA4ECC" w:rsidRPr="00955EBA" w:rsidRDefault="00BA4ECC" w:rsidP="00BA4ECC">
            <w:pPr>
              <w:spacing w:line="360" w:lineRule="auto"/>
              <w:jc w:val="center"/>
              <w:rPr>
                <w:rFonts w:ascii="Times New Roman" w:eastAsia="Times New Roman" w:hAnsi="Times New Roman" w:cs="Times New Roman"/>
                <w:sz w:val="20"/>
                <w:szCs w:val="20"/>
                <w:lang w:eastAsia="en-IN"/>
              </w:rPr>
            </w:pPr>
            <w:r w:rsidRPr="00955EBA">
              <w:rPr>
                <w:rFonts w:ascii="Times New Roman" w:eastAsia="Times New Roman" w:hAnsi="Times New Roman" w:cs="Times New Roman"/>
                <w:sz w:val="20"/>
                <w:szCs w:val="20"/>
                <w:lang w:eastAsia="en-IN"/>
              </w:rPr>
              <w:t>0 (0.0)</w:t>
            </w:r>
          </w:p>
        </w:tc>
        <w:tc>
          <w:tcPr>
            <w:tcW w:w="0" w:type="auto"/>
            <w:hideMark/>
          </w:tcPr>
          <w:p w:rsidR="00BA4ECC" w:rsidRPr="00955EBA" w:rsidRDefault="00BA4ECC" w:rsidP="00BA4ECC">
            <w:pPr>
              <w:spacing w:line="360" w:lineRule="auto"/>
              <w:jc w:val="center"/>
              <w:rPr>
                <w:rFonts w:ascii="Times New Roman" w:eastAsia="Times New Roman" w:hAnsi="Times New Roman" w:cs="Times New Roman"/>
                <w:sz w:val="20"/>
                <w:szCs w:val="20"/>
                <w:lang w:eastAsia="en-IN"/>
              </w:rPr>
            </w:pPr>
            <w:r w:rsidRPr="00955EBA">
              <w:rPr>
                <w:rFonts w:ascii="Times New Roman" w:eastAsia="Times New Roman" w:hAnsi="Times New Roman" w:cs="Times New Roman"/>
                <w:sz w:val="20"/>
                <w:szCs w:val="20"/>
                <w:lang w:eastAsia="en-IN"/>
              </w:rPr>
              <w:t>2 (9.1)</w:t>
            </w:r>
          </w:p>
        </w:tc>
        <w:tc>
          <w:tcPr>
            <w:tcW w:w="0" w:type="auto"/>
            <w:hideMark/>
          </w:tcPr>
          <w:p w:rsidR="00BA4ECC" w:rsidRPr="00955EBA" w:rsidRDefault="00BA4ECC" w:rsidP="00BA4ECC">
            <w:pPr>
              <w:spacing w:line="360" w:lineRule="auto"/>
              <w:jc w:val="center"/>
              <w:rPr>
                <w:rFonts w:ascii="Times New Roman" w:eastAsia="Times New Roman" w:hAnsi="Times New Roman" w:cs="Times New Roman"/>
                <w:sz w:val="20"/>
                <w:szCs w:val="20"/>
                <w:lang w:eastAsia="en-IN"/>
              </w:rPr>
            </w:pPr>
            <w:r w:rsidRPr="00955EBA">
              <w:rPr>
                <w:rFonts w:ascii="Times New Roman" w:eastAsia="Times New Roman" w:hAnsi="Times New Roman" w:cs="Times New Roman"/>
                <w:sz w:val="20"/>
                <w:szCs w:val="20"/>
                <w:lang w:eastAsia="en-IN"/>
              </w:rPr>
              <w:t>0.14</w:t>
            </w:r>
          </w:p>
        </w:tc>
      </w:tr>
      <w:tr w:rsidR="00BA4ECC" w:rsidRPr="00955EBA" w:rsidTr="00BA4ECC">
        <w:tc>
          <w:tcPr>
            <w:tcW w:w="0" w:type="auto"/>
            <w:hideMark/>
          </w:tcPr>
          <w:p w:rsidR="00BA4ECC" w:rsidRPr="00955EBA" w:rsidRDefault="00BA4ECC" w:rsidP="00BA4ECC">
            <w:pPr>
              <w:spacing w:line="360" w:lineRule="auto"/>
              <w:jc w:val="both"/>
              <w:rPr>
                <w:rFonts w:ascii="Times New Roman" w:eastAsia="Times New Roman" w:hAnsi="Times New Roman" w:cs="Times New Roman"/>
                <w:sz w:val="20"/>
                <w:szCs w:val="20"/>
                <w:lang w:eastAsia="en-IN"/>
              </w:rPr>
            </w:pPr>
            <w:r w:rsidRPr="00955EBA">
              <w:rPr>
                <w:rFonts w:ascii="Times New Roman" w:eastAsia="Times New Roman" w:hAnsi="Times New Roman" w:cs="Times New Roman"/>
                <w:sz w:val="20"/>
                <w:szCs w:val="20"/>
                <w:lang w:eastAsia="en-IN"/>
              </w:rPr>
              <w:t>Reoperation required, n (%)</w:t>
            </w:r>
          </w:p>
        </w:tc>
        <w:tc>
          <w:tcPr>
            <w:tcW w:w="0" w:type="auto"/>
            <w:hideMark/>
          </w:tcPr>
          <w:p w:rsidR="00BA4ECC" w:rsidRPr="00955EBA" w:rsidRDefault="00BA4ECC" w:rsidP="00BA4ECC">
            <w:pPr>
              <w:spacing w:line="360" w:lineRule="auto"/>
              <w:jc w:val="center"/>
              <w:rPr>
                <w:rFonts w:ascii="Times New Roman" w:eastAsia="Times New Roman" w:hAnsi="Times New Roman" w:cs="Times New Roman"/>
                <w:sz w:val="20"/>
                <w:szCs w:val="20"/>
                <w:lang w:eastAsia="en-IN"/>
              </w:rPr>
            </w:pPr>
            <w:r w:rsidRPr="00955EBA">
              <w:rPr>
                <w:rFonts w:ascii="Times New Roman" w:eastAsia="Times New Roman" w:hAnsi="Times New Roman" w:cs="Times New Roman"/>
                <w:sz w:val="20"/>
                <w:szCs w:val="20"/>
                <w:lang w:eastAsia="en-IN"/>
              </w:rPr>
              <w:t>0 (0.0)</w:t>
            </w:r>
          </w:p>
        </w:tc>
        <w:tc>
          <w:tcPr>
            <w:tcW w:w="0" w:type="auto"/>
            <w:hideMark/>
          </w:tcPr>
          <w:p w:rsidR="00BA4ECC" w:rsidRPr="00955EBA" w:rsidRDefault="00BA4ECC" w:rsidP="00BA4ECC">
            <w:pPr>
              <w:spacing w:line="360" w:lineRule="auto"/>
              <w:jc w:val="center"/>
              <w:rPr>
                <w:rFonts w:ascii="Times New Roman" w:eastAsia="Times New Roman" w:hAnsi="Times New Roman" w:cs="Times New Roman"/>
                <w:sz w:val="20"/>
                <w:szCs w:val="20"/>
                <w:lang w:eastAsia="en-IN"/>
              </w:rPr>
            </w:pPr>
            <w:r w:rsidRPr="00955EBA">
              <w:rPr>
                <w:rFonts w:ascii="Times New Roman" w:eastAsia="Times New Roman" w:hAnsi="Times New Roman" w:cs="Times New Roman"/>
                <w:sz w:val="20"/>
                <w:szCs w:val="20"/>
                <w:lang w:eastAsia="en-IN"/>
              </w:rPr>
              <w:t>1 (4.5)</w:t>
            </w:r>
          </w:p>
        </w:tc>
        <w:tc>
          <w:tcPr>
            <w:tcW w:w="0" w:type="auto"/>
            <w:hideMark/>
          </w:tcPr>
          <w:p w:rsidR="00BA4ECC" w:rsidRPr="00955EBA" w:rsidRDefault="00BA4ECC" w:rsidP="00BA4ECC">
            <w:pPr>
              <w:spacing w:line="360" w:lineRule="auto"/>
              <w:jc w:val="center"/>
              <w:rPr>
                <w:rFonts w:ascii="Times New Roman" w:eastAsia="Times New Roman" w:hAnsi="Times New Roman" w:cs="Times New Roman"/>
                <w:sz w:val="20"/>
                <w:szCs w:val="20"/>
                <w:lang w:eastAsia="en-IN"/>
              </w:rPr>
            </w:pPr>
            <w:r w:rsidRPr="00955EBA">
              <w:rPr>
                <w:rFonts w:ascii="Times New Roman" w:eastAsia="Times New Roman" w:hAnsi="Times New Roman" w:cs="Times New Roman"/>
                <w:sz w:val="20"/>
                <w:szCs w:val="20"/>
                <w:lang w:eastAsia="en-IN"/>
              </w:rPr>
              <w:t>0.49</w:t>
            </w:r>
          </w:p>
        </w:tc>
      </w:tr>
      <w:tr w:rsidR="00BA4ECC" w:rsidRPr="00955EBA" w:rsidTr="00BA4ECC">
        <w:tc>
          <w:tcPr>
            <w:tcW w:w="0" w:type="auto"/>
            <w:hideMark/>
          </w:tcPr>
          <w:p w:rsidR="00BA4ECC" w:rsidRPr="00955EBA" w:rsidRDefault="00BA4ECC" w:rsidP="00BA4ECC">
            <w:pPr>
              <w:spacing w:line="360" w:lineRule="auto"/>
              <w:jc w:val="both"/>
              <w:rPr>
                <w:rFonts w:ascii="Times New Roman" w:eastAsia="Times New Roman" w:hAnsi="Times New Roman" w:cs="Times New Roman"/>
                <w:sz w:val="20"/>
                <w:szCs w:val="20"/>
                <w:lang w:eastAsia="en-IN"/>
              </w:rPr>
            </w:pPr>
            <w:r w:rsidRPr="00955EBA">
              <w:rPr>
                <w:rFonts w:ascii="Times New Roman" w:eastAsia="Times New Roman" w:hAnsi="Times New Roman" w:cs="Times New Roman"/>
                <w:sz w:val="20"/>
                <w:szCs w:val="20"/>
                <w:lang w:eastAsia="en-IN"/>
              </w:rPr>
              <w:t>Overall patient satisfaction, n (%)</w:t>
            </w:r>
          </w:p>
        </w:tc>
        <w:tc>
          <w:tcPr>
            <w:tcW w:w="0" w:type="auto"/>
            <w:hideMark/>
          </w:tcPr>
          <w:p w:rsidR="00BA4ECC" w:rsidRPr="00955EBA" w:rsidRDefault="00BA4ECC" w:rsidP="00BA4ECC">
            <w:pPr>
              <w:spacing w:line="360" w:lineRule="auto"/>
              <w:jc w:val="center"/>
              <w:rPr>
                <w:rFonts w:ascii="Times New Roman" w:eastAsia="Times New Roman" w:hAnsi="Times New Roman" w:cs="Times New Roman"/>
                <w:sz w:val="20"/>
                <w:szCs w:val="20"/>
                <w:lang w:eastAsia="en-IN"/>
              </w:rPr>
            </w:pPr>
            <w:r w:rsidRPr="00955EBA">
              <w:rPr>
                <w:rFonts w:ascii="Times New Roman" w:eastAsia="Times New Roman" w:hAnsi="Times New Roman" w:cs="Times New Roman"/>
                <w:sz w:val="20"/>
                <w:szCs w:val="20"/>
                <w:lang w:eastAsia="en-IN"/>
              </w:rPr>
              <w:t>21 (91.3)</w:t>
            </w:r>
          </w:p>
        </w:tc>
        <w:tc>
          <w:tcPr>
            <w:tcW w:w="0" w:type="auto"/>
            <w:hideMark/>
          </w:tcPr>
          <w:p w:rsidR="00BA4ECC" w:rsidRPr="00955EBA" w:rsidRDefault="00BA4ECC" w:rsidP="00BA4ECC">
            <w:pPr>
              <w:spacing w:line="360" w:lineRule="auto"/>
              <w:jc w:val="center"/>
              <w:rPr>
                <w:rFonts w:ascii="Times New Roman" w:eastAsia="Times New Roman" w:hAnsi="Times New Roman" w:cs="Times New Roman"/>
                <w:sz w:val="20"/>
                <w:szCs w:val="20"/>
                <w:lang w:eastAsia="en-IN"/>
              </w:rPr>
            </w:pPr>
            <w:r w:rsidRPr="00955EBA">
              <w:rPr>
                <w:rFonts w:ascii="Times New Roman" w:eastAsia="Times New Roman" w:hAnsi="Times New Roman" w:cs="Times New Roman"/>
                <w:sz w:val="20"/>
                <w:szCs w:val="20"/>
                <w:lang w:eastAsia="en-IN"/>
              </w:rPr>
              <w:t>18 (81.8)</w:t>
            </w:r>
          </w:p>
        </w:tc>
        <w:tc>
          <w:tcPr>
            <w:tcW w:w="0" w:type="auto"/>
            <w:hideMark/>
          </w:tcPr>
          <w:p w:rsidR="00BA4ECC" w:rsidRPr="00955EBA" w:rsidRDefault="00BA4ECC" w:rsidP="00BA4ECC">
            <w:pPr>
              <w:spacing w:line="360" w:lineRule="auto"/>
              <w:jc w:val="center"/>
              <w:rPr>
                <w:rFonts w:ascii="Times New Roman" w:eastAsia="Times New Roman" w:hAnsi="Times New Roman" w:cs="Times New Roman"/>
                <w:sz w:val="20"/>
                <w:szCs w:val="20"/>
                <w:lang w:eastAsia="en-IN"/>
              </w:rPr>
            </w:pPr>
            <w:r w:rsidRPr="00955EBA">
              <w:rPr>
                <w:rFonts w:ascii="Times New Roman" w:eastAsia="Times New Roman" w:hAnsi="Times New Roman" w:cs="Times New Roman"/>
                <w:sz w:val="20"/>
                <w:szCs w:val="20"/>
                <w:lang w:eastAsia="en-IN"/>
              </w:rPr>
              <w:t>0.35</w:t>
            </w:r>
          </w:p>
        </w:tc>
      </w:tr>
    </w:tbl>
    <w:p w:rsidR="00BA4ECC" w:rsidRPr="00955EBA" w:rsidRDefault="00BA4ECC" w:rsidP="00BA4ECC">
      <w:pPr>
        <w:spacing w:after="0" w:line="360" w:lineRule="auto"/>
        <w:jc w:val="both"/>
        <w:outlineLvl w:val="2"/>
        <w:rPr>
          <w:rFonts w:ascii="Times New Roman" w:eastAsia="Times New Roman" w:hAnsi="Times New Roman" w:cs="Times New Roman"/>
          <w:b/>
          <w:bCs/>
          <w:sz w:val="20"/>
          <w:szCs w:val="20"/>
          <w:lang w:eastAsia="en-IN"/>
        </w:rPr>
      </w:pPr>
    </w:p>
    <w:p w:rsidR="00BA4ECC" w:rsidRPr="00955EBA" w:rsidRDefault="00BA4ECC" w:rsidP="00BA4ECC">
      <w:pPr>
        <w:spacing w:after="0" w:line="360" w:lineRule="auto"/>
        <w:jc w:val="both"/>
        <w:outlineLvl w:val="1"/>
        <w:rPr>
          <w:rFonts w:ascii="Times New Roman" w:eastAsia="Times New Roman" w:hAnsi="Times New Roman" w:cs="Times New Roman"/>
          <w:b/>
          <w:bCs/>
          <w:sz w:val="20"/>
          <w:szCs w:val="20"/>
          <w:lang w:eastAsia="en-IN"/>
        </w:rPr>
      </w:pPr>
      <w:r w:rsidRPr="00955EBA">
        <w:rPr>
          <w:rFonts w:ascii="Times New Roman" w:eastAsia="Times New Roman" w:hAnsi="Times New Roman" w:cs="Times New Roman"/>
          <w:b/>
          <w:bCs/>
          <w:sz w:val="20"/>
          <w:szCs w:val="20"/>
          <w:lang w:eastAsia="en-IN"/>
        </w:rPr>
        <w:t>Discussion</w:t>
      </w:r>
    </w:p>
    <w:p w:rsidR="00BA4ECC" w:rsidRPr="00955EBA" w:rsidRDefault="00BA4ECC" w:rsidP="00BA4ECC">
      <w:pPr>
        <w:spacing w:after="0" w:line="360" w:lineRule="auto"/>
        <w:jc w:val="both"/>
        <w:rPr>
          <w:rFonts w:ascii="Times New Roman" w:eastAsia="Times New Roman" w:hAnsi="Times New Roman" w:cs="Times New Roman"/>
          <w:sz w:val="20"/>
          <w:szCs w:val="20"/>
          <w:lang w:eastAsia="en-IN"/>
        </w:rPr>
      </w:pPr>
      <w:r w:rsidRPr="00955EBA">
        <w:rPr>
          <w:rFonts w:ascii="Times New Roman" w:eastAsia="Times New Roman" w:hAnsi="Times New Roman" w:cs="Times New Roman"/>
          <w:sz w:val="20"/>
          <w:szCs w:val="20"/>
          <w:lang w:eastAsia="en-IN"/>
        </w:rPr>
        <w:t>Rotator cuff tears are a common cause of shoulder pain and functional impairment, significantly affecting patients' quality of life and ability to perform daily activities. Advances in surgical techniques have led to the increasing adoption of arthroscopic rotator cuff repair because of its minimally invasive nature and the potential for faster recovery. The present prospective comparative study evaluated the clinical, functional, and radiological outcomes following arthroscopic and open rotator cuff repair. The findings demonstrated that arthroscopic repair provided superior functional recovery, greater pain relief, improved shoulder mobility, and earlier return to routine activities, while tendon healing rates were comparable between the two techniques.</w:t>
      </w:r>
    </w:p>
    <w:p w:rsidR="00BA4ECC" w:rsidRPr="00955EBA" w:rsidRDefault="00BA4ECC" w:rsidP="00BA4ECC">
      <w:pPr>
        <w:spacing w:after="0" w:line="360" w:lineRule="auto"/>
        <w:jc w:val="both"/>
        <w:rPr>
          <w:rFonts w:ascii="Times New Roman" w:eastAsia="Times New Roman" w:hAnsi="Times New Roman" w:cs="Times New Roman"/>
          <w:sz w:val="20"/>
          <w:szCs w:val="20"/>
          <w:lang w:eastAsia="en-IN"/>
        </w:rPr>
      </w:pPr>
      <w:r w:rsidRPr="00955EBA">
        <w:rPr>
          <w:rFonts w:ascii="Times New Roman" w:eastAsia="Times New Roman" w:hAnsi="Times New Roman" w:cs="Times New Roman"/>
          <w:sz w:val="20"/>
          <w:szCs w:val="20"/>
          <w:lang w:eastAsia="en-IN"/>
        </w:rPr>
        <w:t xml:space="preserve">The demographic profile of patients in the present study was comparable between the two groups, with no statistically significant differences in age, sex distribution, duration of symptoms, or tear characteristics. This baseline homogeneity reduced the influence of confounding variables and allowed a reliable comparison of postoperative outcomes. The majority of patients were middle-aged males, which is consistent with the known epidemiology of rotator cuff disease resulting from degenerative changes and repetitive shoulder use.(8,9,10) </w:t>
      </w:r>
    </w:p>
    <w:p w:rsidR="00BA4ECC" w:rsidRPr="00955EBA" w:rsidRDefault="00BA4ECC" w:rsidP="00BA4ECC">
      <w:pPr>
        <w:spacing w:after="0" w:line="360" w:lineRule="auto"/>
        <w:jc w:val="both"/>
        <w:rPr>
          <w:rFonts w:ascii="Times New Roman" w:eastAsia="Times New Roman" w:hAnsi="Times New Roman" w:cs="Times New Roman"/>
          <w:sz w:val="20"/>
          <w:szCs w:val="20"/>
          <w:lang w:eastAsia="en-IN"/>
        </w:rPr>
      </w:pPr>
      <w:r w:rsidRPr="00955EBA">
        <w:rPr>
          <w:rFonts w:ascii="Times New Roman" w:eastAsia="Times New Roman" w:hAnsi="Times New Roman" w:cs="Times New Roman"/>
          <w:sz w:val="20"/>
          <w:szCs w:val="20"/>
          <w:lang w:eastAsia="en-IN"/>
        </w:rPr>
        <w:t xml:space="preserve">Pain reduction was significantly greater in the arthroscopic repair group, as evidenced by lower postoperative VAS scores. The reduced postoperative pain observed after arthroscopic surgery may be attributed to minimal soft tissue dissection, preservation of the deltoid muscle, smaller surgical incisions, and reduced perioperative tissue trauma. Less postoperative pain facilitates early rehabilitation, which plays a critical role in restoring shoulder function and preventing stiffness.(11) </w:t>
      </w:r>
    </w:p>
    <w:p w:rsidR="00BA4ECC" w:rsidRPr="00955EBA" w:rsidRDefault="00BA4ECC" w:rsidP="00BA4ECC">
      <w:pPr>
        <w:spacing w:after="0" w:line="360" w:lineRule="auto"/>
        <w:jc w:val="both"/>
        <w:rPr>
          <w:rFonts w:ascii="Times New Roman" w:eastAsia="Times New Roman" w:hAnsi="Times New Roman" w:cs="Times New Roman"/>
          <w:sz w:val="20"/>
          <w:szCs w:val="20"/>
          <w:lang w:eastAsia="en-IN"/>
        </w:rPr>
      </w:pPr>
      <w:r w:rsidRPr="00955EBA">
        <w:rPr>
          <w:rFonts w:ascii="Times New Roman" w:eastAsia="Times New Roman" w:hAnsi="Times New Roman" w:cs="Times New Roman"/>
          <w:sz w:val="20"/>
          <w:szCs w:val="20"/>
          <w:lang w:eastAsia="en-IN"/>
        </w:rPr>
        <w:t>Functional assessment using the Constant-Murley Score and UCLA Shoulder Rating Scale demonstrated significantly better outcomes in patients undergoing arthroscopic repair. These improvements were accompanied by greater gains in forward flexion and external rotation. Enhanced visualization of the rotator cuff footprint during arthroscopy permits more precise tendon mobilization, accurate anchor placement, and anatomical restoration of the tendon insertion. Furthermore, preservation of surrounding soft tissues contributes to better shoulder biomechanics during rehabilitation. Earlier return to daily activities in the arthroscopic group further reflected the functional advantages of minimally invasive surgery and has important socioeconomic implications by reducing the duration of disability.</w:t>
      </w:r>
    </w:p>
    <w:p w:rsidR="00BA4ECC" w:rsidRPr="00955EBA" w:rsidRDefault="00BA4ECC" w:rsidP="00BA4ECC">
      <w:pPr>
        <w:spacing w:after="0" w:line="360" w:lineRule="auto"/>
        <w:jc w:val="both"/>
        <w:rPr>
          <w:rFonts w:ascii="Times New Roman" w:eastAsia="Times New Roman" w:hAnsi="Times New Roman" w:cs="Times New Roman"/>
          <w:sz w:val="20"/>
          <w:szCs w:val="20"/>
          <w:lang w:eastAsia="en-IN"/>
        </w:rPr>
      </w:pPr>
      <w:r w:rsidRPr="00955EBA">
        <w:rPr>
          <w:rFonts w:ascii="Times New Roman" w:eastAsia="Times New Roman" w:hAnsi="Times New Roman" w:cs="Times New Roman"/>
          <w:sz w:val="20"/>
          <w:szCs w:val="20"/>
          <w:lang w:eastAsia="en-IN"/>
        </w:rPr>
        <w:t>Radiological evaluation revealed high tendon healing rates in both groups, with no statistically significant difference between arthroscopic and open repair. This finding suggests that both surgical techniques provide satisfactory structural healing when appropriate patient selection, meticulous surgical technique, and standardized postoperative rehabilitation are followed. Although a slightly lower incidence of partial re-tears was observed after arthroscopic repair, the difference was not statistically significant, indicating comparable tendon integrity at one-year follow-up.</w:t>
      </w:r>
    </w:p>
    <w:p w:rsidR="00BA4ECC" w:rsidRPr="00955EBA" w:rsidRDefault="00BA4ECC" w:rsidP="00BA4ECC">
      <w:pPr>
        <w:spacing w:after="0" w:line="360" w:lineRule="auto"/>
        <w:jc w:val="both"/>
        <w:rPr>
          <w:rFonts w:ascii="Times New Roman" w:eastAsia="Times New Roman" w:hAnsi="Times New Roman" w:cs="Times New Roman"/>
          <w:sz w:val="20"/>
          <w:szCs w:val="20"/>
          <w:lang w:eastAsia="en-IN"/>
        </w:rPr>
      </w:pPr>
      <w:r w:rsidRPr="00955EBA">
        <w:rPr>
          <w:rFonts w:ascii="Times New Roman" w:eastAsia="Times New Roman" w:hAnsi="Times New Roman" w:cs="Times New Roman"/>
          <w:sz w:val="20"/>
          <w:szCs w:val="20"/>
          <w:lang w:eastAsia="en-IN"/>
        </w:rPr>
        <w:t>Postoperative complications were relatively infrequent in both groups. However, wound-related complications and postoperative shoulder stiffness occurred more frequently after open repair, likely because of greater surgical exposure and soft tissue dissection. No major neurovascular injuries or deep infections were encountered, demonstrating the safety of both procedures when performed by experienced surgeons. Higher patient satisfaction in the arthroscopic group was likely related to less postoperative pain, improved cosmetic appearance, faster rehabilitation, and superior functional recovery.</w:t>
      </w:r>
    </w:p>
    <w:p w:rsidR="00BA4ECC" w:rsidRPr="00955EBA" w:rsidRDefault="00BA4ECC" w:rsidP="00BA4ECC">
      <w:pPr>
        <w:spacing w:after="0" w:line="360" w:lineRule="auto"/>
        <w:jc w:val="both"/>
        <w:rPr>
          <w:rFonts w:ascii="Times New Roman" w:eastAsia="Times New Roman" w:hAnsi="Times New Roman" w:cs="Times New Roman"/>
          <w:b/>
          <w:sz w:val="20"/>
          <w:szCs w:val="20"/>
          <w:lang w:eastAsia="en-IN"/>
        </w:rPr>
      </w:pPr>
      <w:r w:rsidRPr="00955EBA">
        <w:rPr>
          <w:rFonts w:ascii="Times New Roman" w:eastAsia="Times New Roman" w:hAnsi="Times New Roman" w:cs="Times New Roman"/>
          <w:b/>
          <w:sz w:val="20"/>
          <w:szCs w:val="20"/>
          <w:lang w:eastAsia="en-IN"/>
        </w:rPr>
        <w:t xml:space="preserve">Conclusion: </w:t>
      </w:r>
    </w:p>
    <w:p w:rsidR="00BA4ECC" w:rsidRPr="00955EBA" w:rsidRDefault="00BA4ECC" w:rsidP="00BA4ECC">
      <w:pPr>
        <w:spacing w:after="0" w:line="360" w:lineRule="auto"/>
        <w:jc w:val="both"/>
        <w:rPr>
          <w:rFonts w:ascii="Times New Roman" w:eastAsia="Times New Roman" w:hAnsi="Times New Roman" w:cs="Times New Roman"/>
          <w:sz w:val="20"/>
          <w:szCs w:val="20"/>
          <w:lang w:eastAsia="en-IN"/>
        </w:rPr>
      </w:pPr>
      <w:r w:rsidRPr="00955EBA">
        <w:rPr>
          <w:rFonts w:ascii="Times New Roman" w:eastAsia="Times New Roman" w:hAnsi="Times New Roman" w:cs="Times New Roman"/>
          <w:sz w:val="20"/>
          <w:szCs w:val="20"/>
          <w:lang w:eastAsia="en-IN"/>
        </w:rPr>
        <w:t>In conclusion, both arthroscopic and open rotator cuff repair achieved satisfactory clinical and radiological outcomes. However, arthroscopic repair offered significant advantages in terms of postoperative pain relief, functional improvement, range of motion, earlier return to normal activities, and lower complication rates while maintaining tendon healing rates comparable to open repair. These findings support arthroscopic repair as the preferred surgical approach for appropriately selected patients with repairable rotator cuff tears.</w:t>
      </w:r>
    </w:p>
    <w:p w:rsidR="00BA4ECC" w:rsidRPr="00955EBA" w:rsidRDefault="00BA4ECC" w:rsidP="00BA4ECC">
      <w:pPr>
        <w:spacing w:after="0" w:line="360" w:lineRule="auto"/>
        <w:jc w:val="both"/>
        <w:rPr>
          <w:rFonts w:ascii="Times New Roman" w:eastAsia="Times New Roman" w:hAnsi="Times New Roman" w:cs="Times New Roman"/>
          <w:sz w:val="20"/>
          <w:szCs w:val="20"/>
          <w:lang w:eastAsia="en-IN"/>
        </w:rPr>
      </w:pPr>
    </w:p>
    <w:p w:rsidR="00955EBA" w:rsidRDefault="00955EBA" w:rsidP="00BA4ECC">
      <w:pPr>
        <w:spacing w:after="0" w:line="360" w:lineRule="auto"/>
        <w:jc w:val="both"/>
        <w:rPr>
          <w:rFonts w:ascii="Times New Roman" w:eastAsia="Times New Roman" w:hAnsi="Times New Roman" w:cs="Times New Roman"/>
          <w:b/>
          <w:sz w:val="20"/>
          <w:szCs w:val="20"/>
          <w:lang w:eastAsia="en-IN"/>
        </w:rPr>
      </w:pPr>
    </w:p>
    <w:p w:rsidR="00955EBA" w:rsidRDefault="00955EBA" w:rsidP="00BA4ECC">
      <w:pPr>
        <w:spacing w:after="0" w:line="360" w:lineRule="auto"/>
        <w:jc w:val="both"/>
        <w:rPr>
          <w:rFonts w:ascii="Times New Roman" w:eastAsia="Times New Roman" w:hAnsi="Times New Roman" w:cs="Times New Roman"/>
          <w:b/>
          <w:sz w:val="20"/>
          <w:szCs w:val="20"/>
          <w:lang w:eastAsia="en-IN"/>
        </w:rPr>
      </w:pPr>
    </w:p>
    <w:p w:rsidR="00955EBA" w:rsidRDefault="00955EBA" w:rsidP="00BA4ECC">
      <w:pPr>
        <w:spacing w:after="0" w:line="360" w:lineRule="auto"/>
        <w:jc w:val="both"/>
        <w:rPr>
          <w:rFonts w:ascii="Times New Roman" w:eastAsia="Times New Roman" w:hAnsi="Times New Roman" w:cs="Times New Roman"/>
          <w:b/>
          <w:sz w:val="20"/>
          <w:szCs w:val="20"/>
          <w:lang w:eastAsia="en-IN"/>
        </w:rPr>
      </w:pPr>
    </w:p>
    <w:p w:rsidR="007E6ACE" w:rsidRPr="00955EBA" w:rsidRDefault="00BA4ECC" w:rsidP="00BA4ECC">
      <w:pPr>
        <w:spacing w:after="0" w:line="360" w:lineRule="auto"/>
        <w:jc w:val="both"/>
        <w:rPr>
          <w:rFonts w:ascii="Times New Roman" w:eastAsia="Times New Roman" w:hAnsi="Times New Roman" w:cs="Times New Roman"/>
          <w:b/>
          <w:sz w:val="20"/>
          <w:szCs w:val="20"/>
          <w:lang w:eastAsia="en-IN"/>
        </w:rPr>
      </w:pPr>
      <w:r w:rsidRPr="00955EBA">
        <w:rPr>
          <w:rFonts w:ascii="Times New Roman" w:eastAsia="Times New Roman" w:hAnsi="Times New Roman" w:cs="Times New Roman"/>
          <w:b/>
          <w:sz w:val="20"/>
          <w:szCs w:val="20"/>
          <w:lang w:eastAsia="en-IN"/>
        </w:rPr>
        <w:t xml:space="preserve">References: </w:t>
      </w:r>
    </w:p>
    <w:p w:rsidR="007E6ACE" w:rsidRPr="00955EBA" w:rsidRDefault="007E6ACE" w:rsidP="007E6ACE">
      <w:pPr>
        <w:pStyle w:val="ListParagraph"/>
        <w:numPr>
          <w:ilvl w:val="0"/>
          <w:numId w:val="1"/>
        </w:numPr>
        <w:spacing w:after="0" w:line="360" w:lineRule="auto"/>
        <w:jc w:val="both"/>
        <w:rPr>
          <w:rFonts w:ascii="Times New Roman" w:eastAsia="Times New Roman" w:hAnsi="Times New Roman" w:cs="Times New Roman"/>
          <w:sz w:val="20"/>
          <w:szCs w:val="20"/>
          <w:lang w:eastAsia="en-IN"/>
        </w:rPr>
      </w:pPr>
      <w:r w:rsidRPr="00955EBA">
        <w:rPr>
          <w:rFonts w:ascii="Times New Roman" w:eastAsia="Times New Roman" w:hAnsi="Times New Roman" w:cs="Times New Roman"/>
          <w:sz w:val="20"/>
          <w:szCs w:val="20"/>
          <w:lang w:eastAsia="en-IN"/>
        </w:rPr>
        <w:t>Pauly S, Gerhardt C, Chen J, Scheibel M. Single </w:t>
      </w:r>
      <w:r w:rsidRPr="00955EBA">
        <w:rPr>
          <w:rFonts w:ascii="Times New Roman" w:eastAsia="Times New Roman" w:hAnsi="Times New Roman" w:cs="Times New Roman"/>
          <w:i/>
          <w:iCs/>
          <w:sz w:val="20"/>
          <w:szCs w:val="20"/>
          <w:lang w:eastAsia="en-IN"/>
        </w:rPr>
        <w:t>versus</w:t>
      </w:r>
      <w:r w:rsidRPr="00955EBA">
        <w:rPr>
          <w:rFonts w:ascii="Times New Roman" w:eastAsia="Times New Roman" w:hAnsi="Times New Roman" w:cs="Times New Roman"/>
          <w:sz w:val="20"/>
          <w:szCs w:val="20"/>
          <w:lang w:eastAsia="en-IN"/>
        </w:rPr>
        <w:t> double-row repair of the rotator cuff: does double-row repair with improved anatomical and biomechanical characteristics lead to better clinical outcome? Knee Surg Sports Traumatol Arthrosc 2010; 18(12): 1718-29.</w:t>
      </w:r>
    </w:p>
    <w:p w:rsidR="007E6ACE" w:rsidRPr="00955EBA" w:rsidRDefault="007E6ACE" w:rsidP="007E6ACE">
      <w:pPr>
        <w:pStyle w:val="ListParagraph"/>
        <w:numPr>
          <w:ilvl w:val="0"/>
          <w:numId w:val="1"/>
        </w:numPr>
        <w:spacing w:after="0" w:line="360" w:lineRule="auto"/>
        <w:jc w:val="both"/>
        <w:rPr>
          <w:rFonts w:ascii="Times New Roman" w:eastAsia="Times New Roman" w:hAnsi="Times New Roman" w:cs="Times New Roman"/>
          <w:sz w:val="20"/>
          <w:szCs w:val="20"/>
          <w:lang w:eastAsia="en-IN"/>
        </w:rPr>
      </w:pPr>
      <w:r w:rsidRPr="00955EBA">
        <w:rPr>
          <w:rFonts w:ascii="Times New Roman" w:hAnsi="Times New Roman" w:cs="Times New Roman"/>
          <w:color w:val="333333"/>
          <w:sz w:val="20"/>
          <w:szCs w:val="20"/>
          <w:shd w:val="clear" w:color="auto" w:fill="FFFFFF"/>
        </w:rPr>
        <w:t>McElvany MD, McGoldrick E, Gee AO, Neradilek MB, Matsen FA III. Rotator cuff repair: published evidence on factors associated with repair integrity and clinical outcome. Am J Sports Med 2015; 43(2): 491-500.</w:t>
      </w:r>
    </w:p>
    <w:p w:rsidR="007E6ACE" w:rsidRPr="00955EBA" w:rsidRDefault="007E6ACE" w:rsidP="007E6ACE">
      <w:pPr>
        <w:pStyle w:val="ListParagraph"/>
        <w:numPr>
          <w:ilvl w:val="0"/>
          <w:numId w:val="1"/>
        </w:numPr>
        <w:spacing w:after="0" w:line="360" w:lineRule="auto"/>
        <w:jc w:val="both"/>
        <w:rPr>
          <w:rFonts w:ascii="Times New Roman" w:eastAsia="Times New Roman" w:hAnsi="Times New Roman" w:cs="Times New Roman"/>
          <w:sz w:val="20"/>
          <w:szCs w:val="20"/>
          <w:lang w:eastAsia="en-IN"/>
        </w:rPr>
      </w:pPr>
      <w:r w:rsidRPr="00955EBA">
        <w:rPr>
          <w:rFonts w:ascii="Times New Roman" w:eastAsia="Times New Roman" w:hAnsi="Times New Roman" w:cs="Times New Roman"/>
          <w:sz w:val="20"/>
          <w:szCs w:val="20"/>
          <w:lang w:eastAsia="en-IN"/>
        </w:rPr>
        <w:t>Yoo JH, Cho NS, Rhee YG. Effect of postoperative repair integrity on health-related quality of life after rotator cuff repair: healed </w:t>
      </w:r>
      <w:r w:rsidRPr="00955EBA">
        <w:rPr>
          <w:rFonts w:ascii="Times New Roman" w:eastAsia="Times New Roman" w:hAnsi="Times New Roman" w:cs="Times New Roman"/>
          <w:i/>
          <w:iCs/>
          <w:sz w:val="20"/>
          <w:szCs w:val="20"/>
          <w:lang w:eastAsia="en-IN"/>
        </w:rPr>
        <w:t>versus</w:t>
      </w:r>
      <w:r w:rsidRPr="00955EBA">
        <w:rPr>
          <w:rFonts w:ascii="Times New Roman" w:eastAsia="Times New Roman" w:hAnsi="Times New Roman" w:cs="Times New Roman"/>
          <w:sz w:val="20"/>
          <w:szCs w:val="20"/>
          <w:lang w:eastAsia="en-IN"/>
        </w:rPr>
        <w:t> retear group. Am J Sports Med 2013; 41(11): 2637-44.</w:t>
      </w:r>
    </w:p>
    <w:p w:rsidR="007E6ACE" w:rsidRPr="00955EBA" w:rsidRDefault="007E6ACE" w:rsidP="007E6ACE">
      <w:pPr>
        <w:pStyle w:val="ListParagraph"/>
        <w:numPr>
          <w:ilvl w:val="0"/>
          <w:numId w:val="1"/>
        </w:numPr>
        <w:spacing w:after="0" w:line="360" w:lineRule="auto"/>
        <w:jc w:val="both"/>
        <w:rPr>
          <w:rFonts w:ascii="Times New Roman" w:eastAsia="Times New Roman" w:hAnsi="Times New Roman" w:cs="Times New Roman"/>
          <w:sz w:val="20"/>
          <w:szCs w:val="20"/>
          <w:lang w:eastAsia="en-IN"/>
        </w:rPr>
      </w:pPr>
      <w:r w:rsidRPr="00955EBA">
        <w:rPr>
          <w:rFonts w:ascii="Times New Roman" w:eastAsia="Times New Roman" w:hAnsi="Times New Roman" w:cs="Times New Roman"/>
          <w:sz w:val="20"/>
          <w:szCs w:val="20"/>
          <w:lang w:eastAsia="en-IN"/>
        </w:rPr>
        <w:t>Bishop J, Klepps S, Lo IK, Bird J, Gladstone JN, Flatow EL. Cuff integrity after arthroscopic versus open rotator cuff repair: a prospective study. J Shoulder Elbow Surg 2006; 15(3): 290-9.</w:t>
      </w:r>
    </w:p>
    <w:p w:rsidR="007E6ACE" w:rsidRPr="00955EBA" w:rsidRDefault="007E6ACE" w:rsidP="007E6ACE">
      <w:pPr>
        <w:pStyle w:val="ListParagraph"/>
        <w:numPr>
          <w:ilvl w:val="0"/>
          <w:numId w:val="1"/>
        </w:numPr>
        <w:spacing w:after="0" w:line="360" w:lineRule="auto"/>
        <w:jc w:val="both"/>
        <w:rPr>
          <w:rFonts w:ascii="Times New Roman" w:eastAsia="Times New Roman" w:hAnsi="Times New Roman" w:cs="Times New Roman"/>
          <w:sz w:val="20"/>
          <w:szCs w:val="20"/>
          <w:lang w:eastAsia="en-IN"/>
        </w:rPr>
      </w:pPr>
      <w:r w:rsidRPr="00955EBA">
        <w:rPr>
          <w:rFonts w:ascii="Times New Roman" w:eastAsia="Times New Roman" w:hAnsi="Times New Roman" w:cs="Times New Roman"/>
          <w:sz w:val="20"/>
          <w:szCs w:val="20"/>
          <w:lang w:eastAsia="en-IN"/>
        </w:rPr>
        <w:t>Boileau P, Brassart N, Watkinson DJ, Carles M, Hatzidakis AM, Krishnan SG. Arthroscopic repair of full-thickness tears of the supraspinatus: does the tendon really heal? J Bone Joint Surg Am 2005; 87(6): 1229-40.</w:t>
      </w:r>
    </w:p>
    <w:p w:rsidR="007E6ACE" w:rsidRPr="00955EBA" w:rsidRDefault="007E6ACE" w:rsidP="007E6ACE">
      <w:pPr>
        <w:pStyle w:val="ListParagraph"/>
        <w:numPr>
          <w:ilvl w:val="0"/>
          <w:numId w:val="1"/>
        </w:numPr>
        <w:spacing w:after="0" w:line="360" w:lineRule="auto"/>
        <w:jc w:val="both"/>
        <w:rPr>
          <w:rFonts w:ascii="Times New Roman" w:eastAsia="Times New Roman" w:hAnsi="Times New Roman" w:cs="Times New Roman"/>
          <w:sz w:val="20"/>
          <w:szCs w:val="20"/>
          <w:lang w:eastAsia="en-IN"/>
        </w:rPr>
      </w:pPr>
      <w:r w:rsidRPr="00955EBA">
        <w:rPr>
          <w:rFonts w:ascii="Times New Roman" w:eastAsia="Times New Roman" w:hAnsi="Times New Roman" w:cs="Times New Roman"/>
          <w:sz w:val="20"/>
          <w:szCs w:val="20"/>
          <w:lang w:eastAsia="en-IN"/>
        </w:rPr>
        <w:t>Galatz LM, Ball CM, Teefey SA, Middleton WD, Yamaguchi K. The outcome and repair integrity of completely arthroscopically repaired large and massive rotator cuff tears. J Bone Joint Surg Am 2004; 86-A(2): 219-24.</w:t>
      </w:r>
    </w:p>
    <w:p w:rsidR="007E6ACE" w:rsidRPr="00955EBA" w:rsidRDefault="007E6ACE" w:rsidP="007E6ACE">
      <w:pPr>
        <w:pStyle w:val="ListParagraph"/>
        <w:numPr>
          <w:ilvl w:val="0"/>
          <w:numId w:val="1"/>
        </w:numPr>
        <w:spacing w:after="0" w:line="360" w:lineRule="auto"/>
        <w:jc w:val="both"/>
        <w:rPr>
          <w:rFonts w:ascii="Times New Roman" w:eastAsia="Times New Roman" w:hAnsi="Times New Roman" w:cs="Times New Roman"/>
          <w:sz w:val="20"/>
          <w:szCs w:val="20"/>
          <w:lang w:eastAsia="en-IN"/>
        </w:rPr>
      </w:pPr>
      <w:r w:rsidRPr="00955EBA">
        <w:rPr>
          <w:rFonts w:ascii="Times New Roman" w:eastAsia="Times New Roman" w:hAnsi="Times New Roman" w:cs="Times New Roman"/>
          <w:sz w:val="20"/>
          <w:szCs w:val="20"/>
          <w:lang w:eastAsia="en-IN"/>
        </w:rPr>
        <w:t>Nho SJ, Brown BS, Lyman S, Adler RS, Altchek DW, MacGillivray JD. Prospective analysis of arthroscopic rotator cuff repair: prognostic factors affecting clinical and ultrasound outcome. J Shoulder Elbow Surg 2009; 18(1): 13-20.</w:t>
      </w:r>
    </w:p>
    <w:p w:rsidR="007E6ACE" w:rsidRPr="00955EBA" w:rsidRDefault="007E6ACE" w:rsidP="007E6ACE">
      <w:pPr>
        <w:pStyle w:val="ListParagraph"/>
        <w:numPr>
          <w:ilvl w:val="0"/>
          <w:numId w:val="1"/>
        </w:numPr>
        <w:spacing w:after="0" w:line="360" w:lineRule="auto"/>
        <w:jc w:val="both"/>
        <w:rPr>
          <w:rFonts w:ascii="Times New Roman" w:eastAsia="Times New Roman" w:hAnsi="Times New Roman" w:cs="Times New Roman"/>
          <w:sz w:val="20"/>
          <w:szCs w:val="20"/>
          <w:lang w:eastAsia="en-IN"/>
        </w:rPr>
      </w:pPr>
      <w:r w:rsidRPr="00955EBA">
        <w:rPr>
          <w:rFonts w:ascii="Times New Roman" w:eastAsia="Times New Roman" w:hAnsi="Times New Roman" w:cs="Times New Roman"/>
          <w:sz w:val="20"/>
          <w:szCs w:val="20"/>
          <w:lang w:eastAsia="en-IN"/>
        </w:rPr>
        <w:t>Anderson K, Boothby M, Aschenbrener D, van Holsbeeck M. Outcome and structural integrity after arthroscopic rotator cuff repair using 2 rows of fixation: minimum 2-year follow-up. Am J Sports Med 2006; 34(12): 1899-905.</w:t>
      </w:r>
    </w:p>
    <w:p w:rsidR="007E6ACE" w:rsidRPr="00955EBA" w:rsidRDefault="007E6ACE" w:rsidP="007E6ACE">
      <w:pPr>
        <w:pStyle w:val="ListParagraph"/>
        <w:numPr>
          <w:ilvl w:val="0"/>
          <w:numId w:val="1"/>
        </w:numPr>
        <w:spacing w:after="0" w:line="360" w:lineRule="auto"/>
        <w:jc w:val="both"/>
        <w:rPr>
          <w:rFonts w:ascii="Times New Roman" w:eastAsia="Times New Roman" w:hAnsi="Times New Roman" w:cs="Times New Roman"/>
          <w:sz w:val="20"/>
          <w:szCs w:val="20"/>
          <w:lang w:eastAsia="en-IN"/>
        </w:rPr>
      </w:pPr>
      <w:r w:rsidRPr="00955EBA">
        <w:rPr>
          <w:rFonts w:ascii="Times New Roman" w:eastAsia="Times New Roman" w:hAnsi="Times New Roman" w:cs="Times New Roman"/>
          <w:sz w:val="20"/>
          <w:szCs w:val="20"/>
          <w:lang w:eastAsia="en-IN"/>
        </w:rPr>
        <w:t>Cole BJ, McCarty LP 3rd, Kang RW, Alford W, Lewis PB, Hayden JK. Arthroscopic rotator cuff repair: prospective functional outcome and repair integrity at minimum 2-year follow-up. J Shoulder Elbow Surg 2007; 16(5): 579-85.</w:t>
      </w:r>
    </w:p>
    <w:p w:rsidR="007E6ACE" w:rsidRPr="00955EBA" w:rsidRDefault="007E6ACE" w:rsidP="007E6ACE">
      <w:pPr>
        <w:pStyle w:val="ListParagraph"/>
        <w:numPr>
          <w:ilvl w:val="0"/>
          <w:numId w:val="1"/>
        </w:numPr>
        <w:spacing w:after="0" w:line="360" w:lineRule="auto"/>
        <w:jc w:val="both"/>
        <w:rPr>
          <w:rFonts w:ascii="Times New Roman" w:eastAsia="Times New Roman" w:hAnsi="Times New Roman" w:cs="Times New Roman"/>
          <w:sz w:val="20"/>
          <w:szCs w:val="20"/>
          <w:lang w:eastAsia="en-IN"/>
        </w:rPr>
      </w:pPr>
      <w:r w:rsidRPr="00955EBA">
        <w:rPr>
          <w:rFonts w:ascii="Times New Roman" w:eastAsia="Times New Roman" w:hAnsi="Times New Roman" w:cs="Times New Roman"/>
          <w:sz w:val="20"/>
          <w:szCs w:val="20"/>
          <w:lang w:eastAsia="en-IN"/>
        </w:rPr>
        <w:t>Huijsmans PE, Pritchard MP, Berghs BM, van Rooyen KS, Wallace AL, de Beer JF. Arthroscopic rotator cuff repair with double-row fixation. J Bone Joint Surg Am 2007; 89(6): 1248-57.</w:t>
      </w:r>
    </w:p>
    <w:p w:rsidR="007E6ACE" w:rsidRPr="00955EBA" w:rsidRDefault="007E6ACE" w:rsidP="007E6ACE">
      <w:pPr>
        <w:pStyle w:val="ListParagraph"/>
        <w:numPr>
          <w:ilvl w:val="0"/>
          <w:numId w:val="1"/>
        </w:numPr>
        <w:spacing w:after="0" w:line="360" w:lineRule="auto"/>
        <w:jc w:val="both"/>
        <w:rPr>
          <w:rFonts w:ascii="Times New Roman" w:eastAsia="Times New Roman" w:hAnsi="Times New Roman" w:cs="Times New Roman"/>
          <w:sz w:val="20"/>
          <w:szCs w:val="20"/>
          <w:lang w:eastAsia="en-IN"/>
        </w:rPr>
      </w:pPr>
      <w:r w:rsidRPr="00955EBA">
        <w:rPr>
          <w:rFonts w:ascii="Times New Roman" w:eastAsia="Times New Roman" w:hAnsi="Times New Roman" w:cs="Times New Roman"/>
          <w:sz w:val="20"/>
          <w:szCs w:val="20"/>
          <w:lang w:eastAsia="en-IN"/>
        </w:rPr>
        <w:t>Liem D, Lichtenberg S, Magosch P, Habermeyer P. Magnetic resonance imaging of arthroscopic supraspinatus tendon repair. J Bone Joint Surg Am 2007; 89(8): 1770-6.</w:t>
      </w:r>
    </w:p>
    <w:sectPr w:rsidR="007E6ACE" w:rsidRPr="00955EBA" w:rsidSect="00955EBA">
      <w:headerReference w:type="default" r:id="rId8"/>
      <w:footerReference w:type="default" r:id="rId9"/>
      <w:pgSz w:w="11906" w:h="16838"/>
      <w:pgMar w:top="1440" w:right="1440" w:bottom="1440" w:left="1440" w:header="720" w:footer="720" w:gutter="0"/>
      <w:pgNumType w:start="958"/>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48E3" w:rsidRDefault="000B48E3" w:rsidP="00BA4ECC">
      <w:pPr>
        <w:spacing w:after="0" w:line="240" w:lineRule="auto"/>
      </w:pPr>
      <w:r>
        <w:separator/>
      </w:r>
    </w:p>
  </w:endnote>
  <w:endnote w:type="continuationSeparator" w:id="0">
    <w:p w:rsidR="000B48E3" w:rsidRDefault="000B48E3" w:rsidP="00BA4E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3652102"/>
      <w:docPartObj>
        <w:docPartGallery w:val="Page Numbers (Bottom of Page)"/>
        <w:docPartUnique/>
      </w:docPartObj>
    </w:sdtPr>
    <w:sdtEndPr>
      <w:rPr>
        <w:noProof/>
      </w:rPr>
    </w:sdtEndPr>
    <w:sdtContent>
      <w:p w:rsidR="00955EBA" w:rsidRDefault="00955EBA">
        <w:pPr>
          <w:pStyle w:val="Footer"/>
          <w:jc w:val="right"/>
        </w:pPr>
        <w:r>
          <w:fldChar w:fldCharType="begin"/>
        </w:r>
        <w:r>
          <w:instrText xml:space="preserve"> PAGE   \* MERGEFORMAT </w:instrText>
        </w:r>
        <w:r>
          <w:fldChar w:fldCharType="separate"/>
        </w:r>
        <w:r w:rsidR="000B48E3">
          <w:rPr>
            <w:noProof/>
          </w:rPr>
          <w:t>958</w:t>
        </w:r>
        <w:r>
          <w:rPr>
            <w:noProof/>
          </w:rPr>
          <w:fldChar w:fldCharType="end"/>
        </w:r>
      </w:p>
    </w:sdtContent>
  </w:sdt>
  <w:p w:rsidR="00955EBA" w:rsidRPr="00955EBA" w:rsidRDefault="00955EBA" w:rsidP="00955EBA">
    <w:pPr>
      <w:tabs>
        <w:tab w:val="center" w:pos="4513"/>
        <w:tab w:val="right" w:pos="9026"/>
      </w:tabs>
      <w:spacing w:after="0" w:line="240" w:lineRule="auto"/>
      <w:jc w:val="center"/>
      <w:rPr>
        <w:rFonts w:asciiTheme="majorHAnsi" w:eastAsia="Calibri" w:hAnsiTheme="majorHAnsi" w:cs="Times New Roman"/>
      </w:rPr>
    </w:pPr>
    <w:r w:rsidRPr="00955EBA">
      <w:rPr>
        <w:rFonts w:asciiTheme="majorHAnsi" w:eastAsia="Calibri" w:hAnsiTheme="majorHAnsi" w:cs="Times New Roman"/>
      </w:rPr>
      <w:t>www.ijbamr.com   P ISSN: 2250-284X, E ISSN: 2250-2858</w:t>
    </w:r>
  </w:p>
  <w:p w:rsidR="007E6ACE" w:rsidRDefault="007E6AC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48E3" w:rsidRDefault="000B48E3" w:rsidP="00BA4ECC">
      <w:pPr>
        <w:spacing w:after="0" w:line="240" w:lineRule="auto"/>
      </w:pPr>
      <w:r>
        <w:separator/>
      </w:r>
    </w:p>
  </w:footnote>
  <w:footnote w:type="continuationSeparator" w:id="0">
    <w:p w:rsidR="000B48E3" w:rsidRDefault="000B48E3" w:rsidP="00BA4EC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5EBA" w:rsidRPr="00955EBA" w:rsidRDefault="00955EBA" w:rsidP="00955EBA">
    <w:pPr>
      <w:tabs>
        <w:tab w:val="center" w:pos="4513"/>
        <w:tab w:val="right" w:pos="9026"/>
      </w:tabs>
      <w:spacing w:after="0" w:line="240" w:lineRule="auto"/>
      <w:jc w:val="center"/>
      <w:rPr>
        <w:rFonts w:ascii="Cambria" w:eastAsia="Calibri" w:hAnsi="Cambria" w:cs="SimSun"/>
        <w:sz w:val="18"/>
        <w:szCs w:val="18"/>
        <w:lang w:val="en-US" w:eastAsia="en-IN" w:bidi="hi-IN"/>
      </w:rPr>
    </w:pPr>
    <w:r w:rsidRPr="00955EBA">
      <w:rPr>
        <w:rFonts w:ascii="Cambria" w:eastAsia="Calibri" w:hAnsi="Cambria" w:cs="SimSun"/>
        <w:sz w:val="18"/>
        <w:szCs w:val="18"/>
        <w:lang w:val="en-US" w:eastAsia="en-IN" w:bidi="hi-IN"/>
      </w:rPr>
      <w:t xml:space="preserve">Indian Journal of Basic and Applied Medical Research; September 2016: Vol.-5, Issue- 4, P. </w:t>
    </w:r>
    <w:r>
      <w:rPr>
        <w:rFonts w:ascii="Cambria" w:eastAsia="Calibri" w:hAnsi="Cambria" w:cs="SimSun"/>
        <w:sz w:val="18"/>
        <w:szCs w:val="18"/>
        <w:lang w:val="en-US" w:eastAsia="en-IN" w:bidi="hi-IN"/>
      </w:rPr>
      <w:t>958- 962</w:t>
    </w:r>
  </w:p>
  <w:p w:rsidR="00BA4ECC" w:rsidRPr="00955EBA" w:rsidRDefault="00BA4ECC">
    <w:pPr>
      <w:pStyle w:val="Header"/>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873080"/>
    <w:multiLevelType w:val="hybridMultilevel"/>
    <w:tmpl w:val="589CBDF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4ECC"/>
    <w:rsid w:val="000B48E3"/>
    <w:rsid w:val="002C445B"/>
    <w:rsid w:val="006D48A4"/>
    <w:rsid w:val="007E6ACE"/>
    <w:rsid w:val="00955EBA"/>
    <w:rsid w:val="00A1729B"/>
    <w:rsid w:val="00BA4ECC"/>
    <w:rsid w:val="00BF0A7B"/>
    <w:rsid w:val="00C84E0E"/>
    <w:rsid w:val="00C921A1"/>
    <w:rsid w:val="00E52A5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A4EC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4ECC"/>
  </w:style>
  <w:style w:type="paragraph" w:styleId="Footer">
    <w:name w:val="footer"/>
    <w:basedOn w:val="Normal"/>
    <w:link w:val="FooterChar"/>
    <w:uiPriority w:val="99"/>
    <w:unhideWhenUsed/>
    <w:rsid w:val="00BA4EC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4ECC"/>
  </w:style>
  <w:style w:type="paragraph" w:styleId="BalloonText">
    <w:name w:val="Balloon Text"/>
    <w:basedOn w:val="Normal"/>
    <w:link w:val="BalloonTextChar"/>
    <w:uiPriority w:val="99"/>
    <w:semiHidden/>
    <w:unhideWhenUsed/>
    <w:rsid w:val="00BA4E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4ECC"/>
    <w:rPr>
      <w:rFonts w:ascii="Tahoma" w:hAnsi="Tahoma" w:cs="Tahoma"/>
      <w:sz w:val="16"/>
      <w:szCs w:val="16"/>
    </w:rPr>
  </w:style>
  <w:style w:type="table" w:styleId="TableGrid">
    <w:name w:val="Table Grid"/>
    <w:basedOn w:val="TableNormal"/>
    <w:uiPriority w:val="59"/>
    <w:rsid w:val="00BA4E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E6AC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A4EC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4ECC"/>
  </w:style>
  <w:style w:type="paragraph" w:styleId="Footer">
    <w:name w:val="footer"/>
    <w:basedOn w:val="Normal"/>
    <w:link w:val="FooterChar"/>
    <w:uiPriority w:val="99"/>
    <w:unhideWhenUsed/>
    <w:rsid w:val="00BA4EC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4ECC"/>
  </w:style>
  <w:style w:type="paragraph" w:styleId="BalloonText">
    <w:name w:val="Balloon Text"/>
    <w:basedOn w:val="Normal"/>
    <w:link w:val="BalloonTextChar"/>
    <w:uiPriority w:val="99"/>
    <w:semiHidden/>
    <w:unhideWhenUsed/>
    <w:rsid w:val="00BA4E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4ECC"/>
    <w:rPr>
      <w:rFonts w:ascii="Tahoma" w:hAnsi="Tahoma" w:cs="Tahoma"/>
      <w:sz w:val="16"/>
      <w:szCs w:val="16"/>
    </w:rPr>
  </w:style>
  <w:style w:type="table" w:styleId="TableGrid">
    <w:name w:val="Table Grid"/>
    <w:basedOn w:val="TableNormal"/>
    <w:uiPriority w:val="59"/>
    <w:rsid w:val="00BA4E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E6A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8151710">
      <w:bodyDiv w:val="1"/>
      <w:marLeft w:val="0"/>
      <w:marRight w:val="0"/>
      <w:marTop w:val="0"/>
      <w:marBottom w:val="0"/>
      <w:divBdr>
        <w:top w:val="none" w:sz="0" w:space="0" w:color="auto"/>
        <w:left w:val="none" w:sz="0" w:space="0" w:color="auto"/>
        <w:bottom w:val="none" w:sz="0" w:space="0" w:color="auto"/>
        <w:right w:val="none" w:sz="0" w:space="0" w:color="auto"/>
      </w:divBdr>
    </w:div>
    <w:div w:id="936059862">
      <w:bodyDiv w:val="1"/>
      <w:marLeft w:val="0"/>
      <w:marRight w:val="0"/>
      <w:marTop w:val="0"/>
      <w:marBottom w:val="0"/>
      <w:divBdr>
        <w:top w:val="none" w:sz="0" w:space="0" w:color="auto"/>
        <w:left w:val="none" w:sz="0" w:space="0" w:color="auto"/>
        <w:bottom w:val="none" w:sz="0" w:space="0" w:color="auto"/>
        <w:right w:val="none" w:sz="0" w:space="0" w:color="auto"/>
      </w:divBdr>
      <w:divsChild>
        <w:div w:id="1810585357">
          <w:marLeft w:val="0"/>
          <w:marRight w:val="0"/>
          <w:marTop w:val="0"/>
          <w:marBottom w:val="0"/>
          <w:divBdr>
            <w:top w:val="none" w:sz="0" w:space="0" w:color="auto"/>
            <w:left w:val="none" w:sz="0" w:space="0" w:color="auto"/>
            <w:bottom w:val="none" w:sz="0" w:space="0" w:color="auto"/>
            <w:right w:val="none" w:sz="0" w:space="0" w:color="auto"/>
          </w:divBdr>
          <w:divsChild>
            <w:div w:id="1966041335">
              <w:marLeft w:val="0"/>
              <w:marRight w:val="0"/>
              <w:marTop w:val="0"/>
              <w:marBottom w:val="0"/>
              <w:divBdr>
                <w:top w:val="none" w:sz="0" w:space="0" w:color="auto"/>
                <w:left w:val="none" w:sz="0" w:space="0" w:color="auto"/>
                <w:bottom w:val="none" w:sz="0" w:space="0" w:color="auto"/>
                <w:right w:val="none" w:sz="0" w:space="0" w:color="auto"/>
              </w:divBdr>
              <w:divsChild>
                <w:div w:id="1738043176">
                  <w:marLeft w:val="0"/>
                  <w:marRight w:val="0"/>
                  <w:marTop w:val="0"/>
                  <w:marBottom w:val="0"/>
                  <w:divBdr>
                    <w:top w:val="none" w:sz="0" w:space="0" w:color="auto"/>
                    <w:left w:val="none" w:sz="0" w:space="0" w:color="auto"/>
                    <w:bottom w:val="none" w:sz="0" w:space="0" w:color="auto"/>
                    <w:right w:val="none" w:sz="0" w:space="0" w:color="auto"/>
                  </w:divBdr>
                  <w:divsChild>
                    <w:div w:id="708915176">
                      <w:marLeft w:val="0"/>
                      <w:marRight w:val="0"/>
                      <w:marTop w:val="0"/>
                      <w:marBottom w:val="0"/>
                      <w:divBdr>
                        <w:top w:val="none" w:sz="0" w:space="0" w:color="auto"/>
                        <w:left w:val="none" w:sz="0" w:space="0" w:color="auto"/>
                        <w:bottom w:val="none" w:sz="0" w:space="0" w:color="auto"/>
                        <w:right w:val="none" w:sz="0" w:space="0" w:color="auto"/>
                      </w:divBdr>
                      <w:divsChild>
                        <w:div w:id="1337883848">
                          <w:marLeft w:val="0"/>
                          <w:marRight w:val="0"/>
                          <w:marTop w:val="0"/>
                          <w:marBottom w:val="0"/>
                          <w:divBdr>
                            <w:top w:val="none" w:sz="0" w:space="0" w:color="auto"/>
                            <w:left w:val="none" w:sz="0" w:space="0" w:color="auto"/>
                            <w:bottom w:val="none" w:sz="0" w:space="0" w:color="auto"/>
                            <w:right w:val="none" w:sz="0" w:space="0" w:color="auto"/>
                          </w:divBdr>
                          <w:divsChild>
                            <w:div w:id="2114280903">
                              <w:marLeft w:val="0"/>
                              <w:marRight w:val="0"/>
                              <w:marTop w:val="0"/>
                              <w:marBottom w:val="0"/>
                              <w:divBdr>
                                <w:top w:val="none" w:sz="0" w:space="0" w:color="auto"/>
                                <w:left w:val="none" w:sz="0" w:space="0" w:color="auto"/>
                                <w:bottom w:val="none" w:sz="0" w:space="0" w:color="auto"/>
                                <w:right w:val="none" w:sz="0" w:space="0" w:color="auto"/>
                              </w:divBdr>
                              <w:divsChild>
                                <w:div w:id="2097551732">
                                  <w:marLeft w:val="0"/>
                                  <w:marRight w:val="0"/>
                                  <w:marTop w:val="0"/>
                                  <w:marBottom w:val="0"/>
                                  <w:divBdr>
                                    <w:top w:val="none" w:sz="0" w:space="0" w:color="auto"/>
                                    <w:left w:val="none" w:sz="0" w:space="0" w:color="auto"/>
                                    <w:bottom w:val="none" w:sz="0" w:space="0" w:color="auto"/>
                                    <w:right w:val="none" w:sz="0" w:space="0" w:color="auto"/>
                                  </w:divBdr>
                                  <w:divsChild>
                                    <w:div w:id="768694893">
                                      <w:marLeft w:val="0"/>
                                      <w:marRight w:val="0"/>
                                      <w:marTop w:val="0"/>
                                      <w:marBottom w:val="0"/>
                                      <w:divBdr>
                                        <w:top w:val="none" w:sz="0" w:space="0" w:color="auto"/>
                                        <w:left w:val="none" w:sz="0" w:space="0" w:color="auto"/>
                                        <w:bottom w:val="none" w:sz="0" w:space="0" w:color="auto"/>
                                        <w:right w:val="none" w:sz="0" w:space="0" w:color="auto"/>
                                      </w:divBdr>
                                      <w:divsChild>
                                        <w:div w:id="1890460839">
                                          <w:marLeft w:val="0"/>
                                          <w:marRight w:val="0"/>
                                          <w:marTop w:val="0"/>
                                          <w:marBottom w:val="0"/>
                                          <w:divBdr>
                                            <w:top w:val="none" w:sz="0" w:space="0" w:color="auto"/>
                                            <w:left w:val="none" w:sz="0" w:space="0" w:color="auto"/>
                                            <w:bottom w:val="none" w:sz="0" w:space="0" w:color="auto"/>
                                            <w:right w:val="none" w:sz="0" w:space="0" w:color="auto"/>
                                          </w:divBdr>
                                        </w:div>
                                      </w:divsChild>
                                    </w:div>
                                    <w:div w:id="1494494989">
                                      <w:marLeft w:val="0"/>
                                      <w:marRight w:val="0"/>
                                      <w:marTop w:val="0"/>
                                      <w:marBottom w:val="0"/>
                                      <w:divBdr>
                                        <w:top w:val="none" w:sz="0" w:space="0" w:color="auto"/>
                                        <w:left w:val="none" w:sz="0" w:space="0" w:color="auto"/>
                                        <w:bottom w:val="none" w:sz="0" w:space="0" w:color="auto"/>
                                        <w:right w:val="none" w:sz="0" w:space="0" w:color="auto"/>
                                      </w:divBdr>
                                      <w:divsChild>
                                        <w:div w:id="414712267">
                                          <w:marLeft w:val="0"/>
                                          <w:marRight w:val="0"/>
                                          <w:marTop w:val="0"/>
                                          <w:marBottom w:val="0"/>
                                          <w:divBdr>
                                            <w:top w:val="none" w:sz="0" w:space="0" w:color="auto"/>
                                            <w:left w:val="none" w:sz="0" w:space="0" w:color="auto"/>
                                            <w:bottom w:val="none" w:sz="0" w:space="0" w:color="auto"/>
                                            <w:right w:val="none" w:sz="0" w:space="0" w:color="auto"/>
                                          </w:divBdr>
                                        </w:div>
                                      </w:divsChild>
                                    </w:div>
                                    <w:div w:id="779836839">
                                      <w:marLeft w:val="0"/>
                                      <w:marRight w:val="0"/>
                                      <w:marTop w:val="0"/>
                                      <w:marBottom w:val="0"/>
                                      <w:divBdr>
                                        <w:top w:val="none" w:sz="0" w:space="0" w:color="auto"/>
                                        <w:left w:val="none" w:sz="0" w:space="0" w:color="auto"/>
                                        <w:bottom w:val="none" w:sz="0" w:space="0" w:color="auto"/>
                                        <w:right w:val="none" w:sz="0" w:space="0" w:color="auto"/>
                                      </w:divBdr>
                                      <w:divsChild>
                                        <w:div w:id="118031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0779449">
          <w:marLeft w:val="0"/>
          <w:marRight w:val="0"/>
          <w:marTop w:val="0"/>
          <w:marBottom w:val="0"/>
          <w:divBdr>
            <w:top w:val="none" w:sz="0" w:space="0" w:color="auto"/>
            <w:left w:val="none" w:sz="0" w:space="0" w:color="auto"/>
            <w:bottom w:val="none" w:sz="0" w:space="0" w:color="auto"/>
            <w:right w:val="none" w:sz="0" w:space="0" w:color="auto"/>
          </w:divBdr>
          <w:divsChild>
            <w:div w:id="780689563">
              <w:marLeft w:val="0"/>
              <w:marRight w:val="0"/>
              <w:marTop w:val="0"/>
              <w:marBottom w:val="0"/>
              <w:divBdr>
                <w:top w:val="none" w:sz="0" w:space="0" w:color="auto"/>
                <w:left w:val="none" w:sz="0" w:space="0" w:color="auto"/>
                <w:bottom w:val="none" w:sz="0" w:space="0" w:color="auto"/>
                <w:right w:val="none" w:sz="0" w:space="0" w:color="auto"/>
              </w:divBdr>
              <w:divsChild>
                <w:div w:id="259679727">
                  <w:marLeft w:val="0"/>
                  <w:marRight w:val="0"/>
                  <w:marTop w:val="0"/>
                  <w:marBottom w:val="0"/>
                  <w:divBdr>
                    <w:top w:val="none" w:sz="0" w:space="0" w:color="auto"/>
                    <w:left w:val="none" w:sz="0" w:space="0" w:color="auto"/>
                    <w:bottom w:val="none" w:sz="0" w:space="0" w:color="auto"/>
                    <w:right w:val="none" w:sz="0" w:space="0" w:color="auto"/>
                  </w:divBdr>
                  <w:divsChild>
                    <w:div w:id="185758305">
                      <w:marLeft w:val="0"/>
                      <w:marRight w:val="0"/>
                      <w:marTop w:val="0"/>
                      <w:marBottom w:val="0"/>
                      <w:divBdr>
                        <w:top w:val="none" w:sz="0" w:space="0" w:color="auto"/>
                        <w:left w:val="none" w:sz="0" w:space="0" w:color="auto"/>
                        <w:bottom w:val="none" w:sz="0" w:space="0" w:color="auto"/>
                        <w:right w:val="none" w:sz="0" w:space="0" w:color="auto"/>
                      </w:divBdr>
                      <w:divsChild>
                        <w:div w:id="999964977">
                          <w:marLeft w:val="0"/>
                          <w:marRight w:val="0"/>
                          <w:marTop w:val="0"/>
                          <w:marBottom w:val="0"/>
                          <w:divBdr>
                            <w:top w:val="none" w:sz="0" w:space="0" w:color="auto"/>
                            <w:left w:val="none" w:sz="0" w:space="0" w:color="auto"/>
                            <w:bottom w:val="none" w:sz="0" w:space="0" w:color="auto"/>
                            <w:right w:val="none" w:sz="0" w:space="0" w:color="auto"/>
                          </w:divBdr>
                          <w:divsChild>
                            <w:div w:id="1701708785">
                              <w:marLeft w:val="0"/>
                              <w:marRight w:val="0"/>
                              <w:marTop w:val="0"/>
                              <w:marBottom w:val="0"/>
                              <w:divBdr>
                                <w:top w:val="none" w:sz="0" w:space="0" w:color="auto"/>
                                <w:left w:val="none" w:sz="0" w:space="0" w:color="auto"/>
                                <w:bottom w:val="none" w:sz="0" w:space="0" w:color="auto"/>
                                <w:right w:val="none" w:sz="0" w:space="0" w:color="auto"/>
                              </w:divBdr>
                              <w:divsChild>
                                <w:div w:id="1696075810">
                                  <w:marLeft w:val="0"/>
                                  <w:marRight w:val="0"/>
                                  <w:marTop w:val="0"/>
                                  <w:marBottom w:val="0"/>
                                  <w:divBdr>
                                    <w:top w:val="none" w:sz="0" w:space="0" w:color="auto"/>
                                    <w:left w:val="none" w:sz="0" w:space="0" w:color="auto"/>
                                    <w:bottom w:val="none" w:sz="0" w:space="0" w:color="auto"/>
                                    <w:right w:val="none" w:sz="0" w:space="0" w:color="auto"/>
                                  </w:divBdr>
                                  <w:divsChild>
                                    <w:div w:id="675109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0046588">
          <w:marLeft w:val="0"/>
          <w:marRight w:val="0"/>
          <w:marTop w:val="0"/>
          <w:marBottom w:val="0"/>
          <w:divBdr>
            <w:top w:val="none" w:sz="0" w:space="0" w:color="auto"/>
            <w:left w:val="none" w:sz="0" w:space="0" w:color="auto"/>
            <w:bottom w:val="none" w:sz="0" w:space="0" w:color="auto"/>
            <w:right w:val="none" w:sz="0" w:space="0" w:color="auto"/>
          </w:divBdr>
          <w:divsChild>
            <w:div w:id="719867380">
              <w:marLeft w:val="0"/>
              <w:marRight w:val="0"/>
              <w:marTop w:val="0"/>
              <w:marBottom w:val="0"/>
              <w:divBdr>
                <w:top w:val="none" w:sz="0" w:space="0" w:color="auto"/>
                <w:left w:val="none" w:sz="0" w:space="0" w:color="auto"/>
                <w:bottom w:val="none" w:sz="0" w:space="0" w:color="auto"/>
                <w:right w:val="none" w:sz="0" w:space="0" w:color="auto"/>
              </w:divBdr>
              <w:divsChild>
                <w:div w:id="209462753">
                  <w:marLeft w:val="0"/>
                  <w:marRight w:val="0"/>
                  <w:marTop w:val="0"/>
                  <w:marBottom w:val="0"/>
                  <w:divBdr>
                    <w:top w:val="none" w:sz="0" w:space="0" w:color="auto"/>
                    <w:left w:val="none" w:sz="0" w:space="0" w:color="auto"/>
                    <w:bottom w:val="none" w:sz="0" w:space="0" w:color="auto"/>
                    <w:right w:val="none" w:sz="0" w:space="0" w:color="auto"/>
                  </w:divBdr>
                  <w:divsChild>
                    <w:div w:id="1708948265">
                      <w:marLeft w:val="0"/>
                      <w:marRight w:val="0"/>
                      <w:marTop w:val="0"/>
                      <w:marBottom w:val="0"/>
                      <w:divBdr>
                        <w:top w:val="none" w:sz="0" w:space="0" w:color="auto"/>
                        <w:left w:val="none" w:sz="0" w:space="0" w:color="auto"/>
                        <w:bottom w:val="none" w:sz="0" w:space="0" w:color="auto"/>
                        <w:right w:val="none" w:sz="0" w:space="0" w:color="auto"/>
                      </w:divBdr>
                      <w:divsChild>
                        <w:div w:id="1440836111">
                          <w:marLeft w:val="0"/>
                          <w:marRight w:val="0"/>
                          <w:marTop w:val="0"/>
                          <w:marBottom w:val="0"/>
                          <w:divBdr>
                            <w:top w:val="none" w:sz="0" w:space="0" w:color="auto"/>
                            <w:left w:val="none" w:sz="0" w:space="0" w:color="auto"/>
                            <w:bottom w:val="none" w:sz="0" w:space="0" w:color="auto"/>
                            <w:right w:val="none" w:sz="0" w:space="0" w:color="auto"/>
                          </w:divBdr>
                          <w:divsChild>
                            <w:div w:id="326641172">
                              <w:marLeft w:val="0"/>
                              <w:marRight w:val="0"/>
                              <w:marTop w:val="0"/>
                              <w:marBottom w:val="0"/>
                              <w:divBdr>
                                <w:top w:val="none" w:sz="0" w:space="0" w:color="auto"/>
                                <w:left w:val="none" w:sz="0" w:space="0" w:color="auto"/>
                                <w:bottom w:val="none" w:sz="0" w:space="0" w:color="auto"/>
                                <w:right w:val="none" w:sz="0" w:space="0" w:color="auto"/>
                              </w:divBdr>
                              <w:divsChild>
                                <w:div w:id="1013142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8662979">
          <w:marLeft w:val="0"/>
          <w:marRight w:val="0"/>
          <w:marTop w:val="0"/>
          <w:marBottom w:val="0"/>
          <w:divBdr>
            <w:top w:val="none" w:sz="0" w:space="0" w:color="auto"/>
            <w:left w:val="none" w:sz="0" w:space="0" w:color="auto"/>
            <w:bottom w:val="none" w:sz="0" w:space="0" w:color="auto"/>
            <w:right w:val="none" w:sz="0" w:space="0" w:color="auto"/>
          </w:divBdr>
          <w:divsChild>
            <w:div w:id="2012175091">
              <w:marLeft w:val="0"/>
              <w:marRight w:val="0"/>
              <w:marTop w:val="0"/>
              <w:marBottom w:val="0"/>
              <w:divBdr>
                <w:top w:val="none" w:sz="0" w:space="0" w:color="auto"/>
                <w:left w:val="none" w:sz="0" w:space="0" w:color="auto"/>
                <w:bottom w:val="none" w:sz="0" w:space="0" w:color="auto"/>
                <w:right w:val="none" w:sz="0" w:space="0" w:color="auto"/>
              </w:divBdr>
              <w:divsChild>
                <w:div w:id="1743258407">
                  <w:marLeft w:val="0"/>
                  <w:marRight w:val="0"/>
                  <w:marTop w:val="0"/>
                  <w:marBottom w:val="0"/>
                  <w:divBdr>
                    <w:top w:val="none" w:sz="0" w:space="0" w:color="auto"/>
                    <w:left w:val="none" w:sz="0" w:space="0" w:color="auto"/>
                    <w:bottom w:val="none" w:sz="0" w:space="0" w:color="auto"/>
                    <w:right w:val="none" w:sz="0" w:space="0" w:color="auto"/>
                  </w:divBdr>
                  <w:divsChild>
                    <w:div w:id="270864771">
                      <w:marLeft w:val="0"/>
                      <w:marRight w:val="0"/>
                      <w:marTop w:val="0"/>
                      <w:marBottom w:val="0"/>
                      <w:divBdr>
                        <w:top w:val="none" w:sz="0" w:space="0" w:color="auto"/>
                        <w:left w:val="none" w:sz="0" w:space="0" w:color="auto"/>
                        <w:bottom w:val="none" w:sz="0" w:space="0" w:color="auto"/>
                        <w:right w:val="none" w:sz="0" w:space="0" w:color="auto"/>
                      </w:divBdr>
                      <w:divsChild>
                        <w:div w:id="1833139309">
                          <w:marLeft w:val="0"/>
                          <w:marRight w:val="0"/>
                          <w:marTop w:val="0"/>
                          <w:marBottom w:val="0"/>
                          <w:divBdr>
                            <w:top w:val="none" w:sz="0" w:space="0" w:color="auto"/>
                            <w:left w:val="none" w:sz="0" w:space="0" w:color="auto"/>
                            <w:bottom w:val="none" w:sz="0" w:space="0" w:color="auto"/>
                            <w:right w:val="none" w:sz="0" w:space="0" w:color="auto"/>
                          </w:divBdr>
                          <w:divsChild>
                            <w:div w:id="212088008">
                              <w:marLeft w:val="0"/>
                              <w:marRight w:val="0"/>
                              <w:marTop w:val="0"/>
                              <w:marBottom w:val="0"/>
                              <w:divBdr>
                                <w:top w:val="none" w:sz="0" w:space="0" w:color="auto"/>
                                <w:left w:val="none" w:sz="0" w:space="0" w:color="auto"/>
                                <w:bottom w:val="none" w:sz="0" w:space="0" w:color="auto"/>
                                <w:right w:val="none" w:sz="0" w:space="0" w:color="auto"/>
                              </w:divBdr>
                              <w:divsChild>
                                <w:div w:id="1071152280">
                                  <w:marLeft w:val="0"/>
                                  <w:marRight w:val="0"/>
                                  <w:marTop w:val="0"/>
                                  <w:marBottom w:val="0"/>
                                  <w:divBdr>
                                    <w:top w:val="none" w:sz="0" w:space="0" w:color="auto"/>
                                    <w:left w:val="none" w:sz="0" w:space="0" w:color="auto"/>
                                    <w:bottom w:val="none" w:sz="0" w:space="0" w:color="auto"/>
                                    <w:right w:val="none" w:sz="0" w:space="0" w:color="auto"/>
                                  </w:divBdr>
                                  <w:divsChild>
                                    <w:div w:id="1244990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5845326">
          <w:marLeft w:val="0"/>
          <w:marRight w:val="0"/>
          <w:marTop w:val="0"/>
          <w:marBottom w:val="0"/>
          <w:divBdr>
            <w:top w:val="none" w:sz="0" w:space="0" w:color="auto"/>
            <w:left w:val="none" w:sz="0" w:space="0" w:color="auto"/>
            <w:bottom w:val="none" w:sz="0" w:space="0" w:color="auto"/>
            <w:right w:val="none" w:sz="0" w:space="0" w:color="auto"/>
          </w:divBdr>
          <w:divsChild>
            <w:div w:id="1617374378">
              <w:marLeft w:val="0"/>
              <w:marRight w:val="0"/>
              <w:marTop w:val="0"/>
              <w:marBottom w:val="0"/>
              <w:divBdr>
                <w:top w:val="none" w:sz="0" w:space="0" w:color="auto"/>
                <w:left w:val="none" w:sz="0" w:space="0" w:color="auto"/>
                <w:bottom w:val="none" w:sz="0" w:space="0" w:color="auto"/>
                <w:right w:val="none" w:sz="0" w:space="0" w:color="auto"/>
              </w:divBdr>
              <w:divsChild>
                <w:div w:id="331153661">
                  <w:marLeft w:val="0"/>
                  <w:marRight w:val="0"/>
                  <w:marTop w:val="0"/>
                  <w:marBottom w:val="0"/>
                  <w:divBdr>
                    <w:top w:val="none" w:sz="0" w:space="0" w:color="auto"/>
                    <w:left w:val="none" w:sz="0" w:space="0" w:color="auto"/>
                    <w:bottom w:val="none" w:sz="0" w:space="0" w:color="auto"/>
                    <w:right w:val="none" w:sz="0" w:space="0" w:color="auto"/>
                  </w:divBdr>
                  <w:divsChild>
                    <w:div w:id="293800654">
                      <w:marLeft w:val="0"/>
                      <w:marRight w:val="0"/>
                      <w:marTop w:val="0"/>
                      <w:marBottom w:val="0"/>
                      <w:divBdr>
                        <w:top w:val="none" w:sz="0" w:space="0" w:color="auto"/>
                        <w:left w:val="none" w:sz="0" w:space="0" w:color="auto"/>
                        <w:bottom w:val="none" w:sz="0" w:space="0" w:color="auto"/>
                        <w:right w:val="none" w:sz="0" w:space="0" w:color="auto"/>
                      </w:divBdr>
                      <w:divsChild>
                        <w:div w:id="739329416">
                          <w:marLeft w:val="0"/>
                          <w:marRight w:val="0"/>
                          <w:marTop w:val="0"/>
                          <w:marBottom w:val="0"/>
                          <w:divBdr>
                            <w:top w:val="none" w:sz="0" w:space="0" w:color="auto"/>
                            <w:left w:val="none" w:sz="0" w:space="0" w:color="auto"/>
                            <w:bottom w:val="none" w:sz="0" w:space="0" w:color="auto"/>
                            <w:right w:val="none" w:sz="0" w:space="0" w:color="auto"/>
                          </w:divBdr>
                          <w:divsChild>
                            <w:div w:id="304552095">
                              <w:marLeft w:val="0"/>
                              <w:marRight w:val="0"/>
                              <w:marTop w:val="0"/>
                              <w:marBottom w:val="0"/>
                              <w:divBdr>
                                <w:top w:val="none" w:sz="0" w:space="0" w:color="auto"/>
                                <w:left w:val="none" w:sz="0" w:space="0" w:color="auto"/>
                                <w:bottom w:val="none" w:sz="0" w:space="0" w:color="auto"/>
                                <w:right w:val="none" w:sz="0" w:space="0" w:color="auto"/>
                              </w:divBdr>
                              <w:divsChild>
                                <w:div w:id="1547836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7276620">
      <w:bodyDiv w:val="1"/>
      <w:marLeft w:val="0"/>
      <w:marRight w:val="0"/>
      <w:marTop w:val="0"/>
      <w:marBottom w:val="0"/>
      <w:divBdr>
        <w:top w:val="none" w:sz="0" w:space="0" w:color="auto"/>
        <w:left w:val="none" w:sz="0" w:space="0" w:color="auto"/>
        <w:bottom w:val="none" w:sz="0" w:space="0" w:color="auto"/>
        <w:right w:val="none" w:sz="0" w:space="0" w:color="auto"/>
      </w:divBdr>
      <w:divsChild>
        <w:div w:id="1194345982">
          <w:marLeft w:val="0"/>
          <w:marRight w:val="0"/>
          <w:marTop w:val="0"/>
          <w:marBottom w:val="0"/>
          <w:divBdr>
            <w:top w:val="none" w:sz="0" w:space="0" w:color="auto"/>
            <w:left w:val="none" w:sz="0" w:space="0" w:color="auto"/>
            <w:bottom w:val="none" w:sz="0" w:space="0" w:color="auto"/>
            <w:right w:val="none" w:sz="0" w:space="0" w:color="auto"/>
          </w:divBdr>
          <w:divsChild>
            <w:div w:id="877086076">
              <w:marLeft w:val="0"/>
              <w:marRight w:val="0"/>
              <w:marTop w:val="0"/>
              <w:marBottom w:val="0"/>
              <w:divBdr>
                <w:top w:val="none" w:sz="0" w:space="0" w:color="auto"/>
                <w:left w:val="none" w:sz="0" w:space="0" w:color="auto"/>
                <w:bottom w:val="none" w:sz="0" w:space="0" w:color="auto"/>
                <w:right w:val="none" w:sz="0" w:space="0" w:color="auto"/>
              </w:divBdr>
              <w:divsChild>
                <w:div w:id="823739792">
                  <w:marLeft w:val="0"/>
                  <w:marRight w:val="0"/>
                  <w:marTop w:val="0"/>
                  <w:marBottom w:val="0"/>
                  <w:divBdr>
                    <w:top w:val="none" w:sz="0" w:space="0" w:color="auto"/>
                    <w:left w:val="none" w:sz="0" w:space="0" w:color="auto"/>
                    <w:bottom w:val="none" w:sz="0" w:space="0" w:color="auto"/>
                    <w:right w:val="none" w:sz="0" w:space="0" w:color="auto"/>
                  </w:divBdr>
                  <w:divsChild>
                    <w:div w:id="860973632">
                      <w:marLeft w:val="0"/>
                      <w:marRight w:val="0"/>
                      <w:marTop w:val="0"/>
                      <w:marBottom w:val="0"/>
                      <w:divBdr>
                        <w:top w:val="none" w:sz="0" w:space="0" w:color="auto"/>
                        <w:left w:val="none" w:sz="0" w:space="0" w:color="auto"/>
                        <w:bottom w:val="none" w:sz="0" w:space="0" w:color="auto"/>
                        <w:right w:val="none" w:sz="0" w:space="0" w:color="auto"/>
                      </w:divBdr>
                      <w:divsChild>
                        <w:div w:id="258605134">
                          <w:marLeft w:val="0"/>
                          <w:marRight w:val="0"/>
                          <w:marTop w:val="0"/>
                          <w:marBottom w:val="0"/>
                          <w:divBdr>
                            <w:top w:val="none" w:sz="0" w:space="0" w:color="auto"/>
                            <w:left w:val="none" w:sz="0" w:space="0" w:color="auto"/>
                            <w:bottom w:val="none" w:sz="0" w:space="0" w:color="auto"/>
                            <w:right w:val="none" w:sz="0" w:space="0" w:color="auto"/>
                          </w:divBdr>
                          <w:divsChild>
                            <w:div w:id="616520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9489232">
      <w:bodyDiv w:val="1"/>
      <w:marLeft w:val="0"/>
      <w:marRight w:val="0"/>
      <w:marTop w:val="0"/>
      <w:marBottom w:val="0"/>
      <w:divBdr>
        <w:top w:val="none" w:sz="0" w:space="0" w:color="auto"/>
        <w:left w:val="none" w:sz="0" w:space="0" w:color="auto"/>
        <w:bottom w:val="none" w:sz="0" w:space="0" w:color="auto"/>
        <w:right w:val="none" w:sz="0" w:space="0" w:color="auto"/>
      </w:divBdr>
      <w:divsChild>
        <w:div w:id="1599369921">
          <w:marLeft w:val="0"/>
          <w:marRight w:val="0"/>
          <w:marTop w:val="0"/>
          <w:marBottom w:val="0"/>
          <w:divBdr>
            <w:top w:val="none" w:sz="0" w:space="0" w:color="auto"/>
            <w:left w:val="none" w:sz="0" w:space="0" w:color="auto"/>
            <w:bottom w:val="none" w:sz="0" w:space="0" w:color="auto"/>
            <w:right w:val="none" w:sz="0" w:space="0" w:color="auto"/>
          </w:divBdr>
          <w:divsChild>
            <w:div w:id="383791704">
              <w:marLeft w:val="0"/>
              <w:marRight w:val="0"/>
              <w:marTop w:val="0"/>
              <w:marBottom w:val="0"/>
              <w:divBdr>
                <w:top w:val="none" w:sz="0" w:space="0" w:color="auto"/>
                <w:left w:val="none" w:sz="0" w:space="0" w:color="auto"/>
                <w:bottom w:val="none" w:sz="0" w:space="0" w:color="auto"/>
                <w:right w:val="none" w:sz="0" w:space="0" w:color="auto"/>
              </w:divBdr>
              <w:divsChild>
                <w:div w:id="518395209">
                  <w:marLeft w:val="0"/>
                  <w:marRight w:val="0"/>
                  <w:marTop w:val="0"/>
                  <w:marBottom w:val="0"/>
                  <w:divBdr>
                    <w:top w:val="none" w:sz="0" w:space="0" w:color="auto"/>
                    <w:left w:val="none" w:sz="0" w:space="0" w:color="auto"/>
                    <w:bottom w:val="none" w:sz="0" w:space="0" w:color="auto"/>
                    <w:right w:val="none" w:sz="0" w:space="0" w:color="auto"/>
                  </w:divBdr>
                  <w:divsChild>
                    <w:div w:id="299044085">
                      <w:marLeft w:val="0"/>
                      <w:marRight w:val="0"/>
                      <w:marTop w:val="0"/>
                      <w:marBottom w:val="0"/>
                      <w:divBdr>
                        <w:top w:val="none" w:sz="0" w:space="0" w:color="auto"/>
                        <w:left w:val="none" w:sz="0" w:space="0" w:color="auto"/>
                        <w:bottom w:val="none" w:sz="0" w:space="0" w:color="auto"/>
                        <w:right w:val="none" w:sz="0" w:space="0" w:color="auto"/>
                      </w:divBdr>
                      <w:divsChild>
                        <w:div w:id="1053432003">
                          <w:marLeft w:val="0"/>
                          <w:marRight w:val="0"/>
                          <w:marTop w:val="0"/>
                          <w:marBottom w:val="0"/>
                          <w:divBdr>
                            <w:top w:val="none" w:sz="0" w:space="0" w:color="auto"/>
                            <w:left w:val="none" w:sz="0" w:space="0" w:color="auto"/>
                            <w:bottom w:val="none" w:sz="0" w:space="0" w:color="auto"/>
                            <w:right w:val="none" w:sz="0" w:space="0" w:color="auto"/>
                          </w:divBdr>
                          <w:divsChild>
                            <w:div w:id="585119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2285</Words>
  <Characters>13027</Characters>
  <Application>Microsoft Office Word</Application>
  <DocSecurity>0</DocSecurity>
  <Lines>108</Lines>
  <Paragraphs>30</Paragraphs>
  <ScaleCrop>false</ScaleCrop>
  <HeadingPairs>
    <vt:vector size="4" baseType="variant">
      <vt:variant>
        <vt:lpstr>Title</vt:lpstr>
      </vt:variant>
      <vt:variant>
        <vt:i4>1</vt:i4>
      </vt:variant>
      <vt:variant>
        <vt:lpstr>Headings</vt:lpstr>
      </vt:variant>
      <vt:variant>
        <vt:i4>14</vt:i4>
      </vt:variant>
    </vt:vector>
  </HeadingPairs>
  <TitlesOfParts>
    <vt:vector size="15" baseType="lpstr">
      <vt:lpstr/>
      <vt:lpstr>        Original article</vt:lpstr>
      <vt:lpstr>        Evaluation of Clinical, Functional, and Radiological Outcomes Following Arthrosc</vt:lpstr>
      <vt:lpstr>    </vt:lpstr>
      <vt:lpstr>    Abstract</vt:lpstr>
      <vt:lpstr>        Background- Rotator cuff tears are a major cause of shoulder pain and disability</vt:lpstr>
      <vt:lpstr>        Aim- To compare the clinical, functional, and radiological outcomes of arthrosco</vt:lpstr>
      <vt:lpstr>        Materials and Methods- This prospective comparative study included 45 patients w</vt:lpstr>
      <vt:lpstr>        Results- Patients treated with arthroscopic repair demonstrated significantly lo</vt:lpstr>
      <vt:lpstr>        Conclusion- Both surgical techniques achieved satisfactory tendon healing and fu</vt:lpstr>
      <vt:lpstr>    Introduction </vt:lpstr>
      <vt:lpstr>        Materials and Methodology</vt:lpstr>
      <vt:lpstr>        Results</vt:lpstr>
      <vt:lpstr>        </vt:lpstr>
      <vt:lpstr>    Discussion</vt:lpstr>
    </vt:vector>
  </TitlesOfParts>
  <Company>HP</Company>
  <LinksUpToDate>false</LinksUpToDate>
  <CharactersWithSpaces>15282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RDRL</dc:creator>
  <cp:lastModifiedBy>RDRL</cp:lastModifiedBy>
  <cp:revision>7</cp:revision>
  <cp:lastPrinted>2026-07-24T11:00:00Z</cp:lastPrinted>
  <dcterms:created xsi:type="dcterms:W3CDTF">2026-07-20T09:08:00Z</dcterms:created>
  <dcterms:modified xsi:type="dcterms:W3CDTF">2026-07-24T11:00:00Z</dcterms:modified>
</cp:coreProperties>
</file>