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BE" w:rsidRPr="00A04E45" w:rsidRDefault="00A75BBE" w:rsidP="00A75BBE">
      <w:pPr>
        <w:spacing w:after="0"/>
        <w:rPr>
          <w:rFonts w:asciiTheme="majorHAnsi" w:hAnsiTheme="majorHAnsi" w:cs="Times New Roman"/>
          <w:b/>
          <w:bCs/>
          <w:i/>
          <w:sz w:val="24"/>
          <w:szCs w:val="24"/>
        </w:rPr>
      </w:pPr>
      <w:r w:rsidRPr="00A04E45">
        <w:rPr>
          <w:rFonts w:asciiTheme="majorHAnsi" w:hAnsiTheme="majorHAnsi" w:cs="Times New Roman"/>
          <w:b/>
          <w:bCs/>
          <w:i/>
          <w:sz w:val="24"/>
          <w:szCs w:val="24"/>
          <w:highlight w:val="lightGray"/>
        </w:rPr>
        <w:t>Original article</w:t>
      </w:r>
      <w:r w:rsidRPr="00A04E45">
        <w:rPr>
          <w:rFonts w:asciiTheme="majorHAnsi" w:hAnsiTheme="majorHAnsi" w:cs="Times New Roman"/>
          <w:b/>
          <w:bCs/>
          <w:i/>
          <w:sz w:val="24"/>
          <w:szCs w:val="24"/>
        </w:rPr>
        <w:t xml:space="preserve"> </w:t>
      </w:r>
    </w:p>
    <w:p w:rsidR="000C4309" w:rsidRPr="00A04E45" w:rsidRDefault="000C4309" w:rsidP="00A75BBE">
      <w:pPr>
        <w:spacing w:after="0"/>
        <w:rPr>
          <w:rFonts w:asciiTheme="majorHAnsi" w:hAnsiTheme="majorHAnsi" w:cs="Times New Roman"/>
          <w:i/>
          <w:color w:val="0070C0"/>
          <w:sz w:val="28"/>
          <w:szCs w:val="28"/>
        </w:rPr>
      </w:pPr>
      <w:r w:rsidRPr="00A04E45">
        <w:rPr>
          <w:rFonts w:asciiTheme="majorHAnsi" w:hAnsiTheme="majorHAnsi" w:cs="Times New Roman"/>
          <w:b/>
          <w:bCs/>
          <w:i/>
          <w:color w:val="0070C0"/>
          <w:sz w:val="28"/>
          <w:szCs w:val="28"/>
        </w:rPr>
        <w:t xml:space="preserve">Antibiotic Resistance Pattern of </w:t>
      </w:r>
      <w:r w:rsidRPr="00A04E45">
        <w:rPr>
          <w:rFonts w:asciiTheme="majorHAnsi" w:hAnsiTheme="majorHAnsi" w:cs="Times New Roman"/>
          <w:b/>
          <w:bCs/>
          <w:i/>
          <w:iCs/>
          <w:color w:val="0070C0"/>
          <w:sz w:val="28"/>
          <w:szCs w:val="28"/>
        </w:rPr>
        <w:t>Klebsiella pneumoniae</w:t>
      </w:r>
      <w:r w:rsidRPr="00A04E45">
        <w:rPr>
          <w:rFonts w:asciiTheme="majorHAnsi" w:hAnsiTheme="majorHAnsi" w:cs="Times New Roman"/>
          <w:b/>
          <w:bCs/>
          <w:i/>
          <w:color w:val="0070C0"/>
          <w:sz w:val="28"/>
          <w:szCs w:val="28"/>
        </w:rPr>
        <w:t xml:space="preserve"> in Pediatric Samples: A Prospective Observational Study </w:t>
      </w:r>
    </w:p>
    <w:p w:rsidR="00A04E45" w:rsidRDefault="00A75BBE" w:rsidP="00A75BBE">
      <w:pPr>
        <w:pStyle w:val="NormalWeb"/>
        <w:spacing w:before="0" w:beforeAutospacing="0" w:after="0" w:afterAutospacing="0" w:line="276" w:lineRule="auto"/>
        <w:rPr>
          <w:rStyle w:val="Strong"/>
          <w:rFonts w:asciiTheme="majorHAnsi" w:hAnsiTheme="majorHAnsi"/>
          <w:i/>
          <w:sz w:val="20"/>
          <w:szCs w:val="20"/>
        </w:rPr>
      </w:pPr>
      <w:r w:rsidRPr="00A04E45">
        <w:rPr>
          <w:rStyle w:val="Strong"/>
          <w:rFonts w:asciiTheme="majorHAnsi" w:hAnsiTheme="majorHAnsi"/>
          <w:i/>
          <w:sz w:val="20"/>
          <w:szCs w:val="20"/>
        </w:rPr>
        <w:t xml:space="preserve">Dr. Prashant Patil¹, Dr. Sunil Bhamare², Manu Gadekar³, Dr. P. L. Kashyap⁴, Dr. Ashish Sadafale⁵, Dr. Sushma Pednekar⁶, Dr. Vinni Sarkar⁷, Dr. Bandana Panda⁸, Dr. Chaya Chande⁹, </w:t>
      </w:r>
    </w:p>
    <w:p w:rsidR="00A75BBE" w:rsidRDefault="00A75BBE" w:rsidP="00A75BBE">
      <w:pPr>
        <w:pStyle w:val="NormalWeb"/>
        <w:spacing w:before="0" w:beforeAutospacing="0" w:after="0" w:afterAutospacing="0" w:line="276" w:lineRule="auto"/>
        <w:rPr>
          <w:rStyle w:val="Strong"/>
          <w:rFonts w:asciiTheme="majorHAnsi" w:hAnsiTheme="majorHAnsi"/>
          <w:i/>
          <w:sz w:val="20"/>
          <w:szCs w:val="20"/>
        </w:rPr>
      </w:pPr>
      <w:r w:rsidRPr="00A04E45">
        <w:rPr>
          <w:rStyle w:val="Strong"/>
          <w:rFonts w:asciiTheme="majorHAnsi" w:hAnsiTheme="majorHAnsi"/>
          <w:i/>
          <w:sz w:val="20"/>
          <w:szCs w:val="20"/>
        </w:rPr>
        <w:t>Dr. Rajesh Karyakarte¹⁰</w:t>
      </w:r>
    </w:p>
    <w:p w:rsidR="00A04E45" w:rsidRPr="00A04E45" w:rsidRDefault="00A04E45" w:rsidP="00A75BBE">
      <w:pPr>
        <w:pStyle w:val="NormalWeb"/>
        <w:spacing w:before="0" w:beforeAutospacing="0" w:after="0" w:afterAutospacing="0" w:line="276" w:lineRule="auto"/>
        <w:rPr>
          <w:rFonts w:asciiTheme="majorHAnsi" w:hAnsiTheme="majorHAnsi"/>
          <w:i/>
          <w:sz w:val="20"/>
          <w:szCs w:val="20"/>
        </w:rPr>
      </w:pPr>
    </w:p>
    <w:p w:rsidR="00A75BBE" w:rsidRPr="00A04E45" w:rsidRDefault="00A75BBE" w:rsidP="00A75BBE">
      <w:pPr>
        <w:pStyle w:val="NormalWeb"/>
        <w:spacing w:before="0" w:beforeAutospacing="0" w:after="0" w:afterAutospacing="0" w:line="276" w:lineRule="auto"/>
        <w:rPr>
          <w:rFonts w:asciiTheme="majorHAnsi" w:hAnsiTheme="majorHAnsi"/>
          <w:i/>
          <w:sz w:val="18"/>
          <w:szCs w:val="18"/>
        </w:rPr>
      </w:pPr>
      <w:r w:rsidRPr="00A04E45">
        <w:rPr>
          <w:rFonts w:asciiTheme="majorHAnsi" w:hAnsiTheme="majorHAnsi"/>
          <w:i/>
          <w:sz w:val="18"/>
          <w:szCs w:val="18"/>
        </w:rPr>
        <w:t xml:space="preserve">¹ Assistant Professor,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² Associate Professor,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³ Student, </w:t>
      </w:r>
      <w:r w:rsidRPr="00A04E45">
        <w:rPr>
          <w:rStyle w:val="whitespace-normal"/>
          <w:rFonts w:asciiTheme="majorHAnsi" w:hAnsiTheme="majorHAnsi"/>
          <w:i/>
          <w:sz w:val="18"/>
          <w:szCs w:val="18"/>
        </w:rPr>
        <w:t>University of California, Santa Cruz</w:t>
      </w:r>
      <w:r w:rsidRPr="00A04E45">
        <w:rPr>
          <w:rFonts w:asciiTheme="majorHAnsi" w:hAnsiTheme="majorHAnsi"/>
          <w:i/>
          <w:sz w:val="18"/>
          <w:szCs w:val="18"/>
        </w:rPr>
        <w:br/>
        <w:t xml:space="preserve">⁴ Assistant Professor,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⁵ Assistant Professor,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⁶ Associate Professor,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⁷ Senior Resident,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⁸ Senior Resident,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⁹ Professor, Department of Microbiology, </w:t>
      </w:r>
      <w:r w:rsidRPr="00A04E45">
        <w:rPr>
          <w:rStyle w:val="whitespace-normal"/>
          <w:rFonts w:asciiTheme="majorHAnsi" w:hAnsiTheme="majorHAnsi"/>
          <w:i/>
          <w:sz w:val="18"/>
          <w:szCs w:val="18"/>
        </w:rPr>
        <w:t>B. J. Government Medical College</w:t>
      </w:r>
      <w:r w:rsidRPr="00A04E45">
        <w:rPr>
          <w:rFonts w:asciiTheme="majorHAnsi" w:hAnsiTheme="majorHAnsi"/>
          <w:i/>
          <w:sz w:val="18"/>
          <w:szCs w:val="18"/>
        </w:rPr>
        <w:br/>
        <w:t xml:space="preserve">¹⁰ Professor, Department of Microbiology, </w:t>
      </w:r>
      <w:r w:rsidRPr="00A04E45">
        <w:rPr>
          <w:rStyle w:val="whitespace-normal"/>
          <w:rFonts w:asciiTheme="majorHAnsi" w:hAnsiTheme="majorHAnsi"/>
          <w:i/>
          <w:sz w:val="18"/>
          <w:szCs w:val="18"/>
        </w:rPr>
        <w:t>B. J. Government Medical College</w:t>
      </w:r>
    </w:p>
    <w:p w:rsidR="00A75BBE" w:rsidRPr="00A04E45" w:rsidRDefault="00A75BBE" w:rsidP="00A75BBE">
      <w:pPr>
        <w:pStyle w:val="NormalWeb"/>
        <w:spacing w:before="0" w:beforeAutospacing="0" w:after="0" w:afterAutospacing="0" w:line="276" w:lineRule="auto"/>
        <w:rPr>
          <w:rFonts w:asciiTheme="majorHAnsi" w:hAnsiTheme="majorHAnsi"/>
          <w:i/>
          <w:sz w:val="18"/>
          <w:szCs w:val="18"/>
        </w:rPr>
      </w:pPr>
      <w:r w:rsidRPr="00A04E45">
        <w:rPr>
          <w:rStyle w:val="Strong"/>
          <w:rFonts w:asciiTheme="majorHAnsi" w:hAnsiTheme="majorHAnsi"/>
          <w:b w:val="0"/>
          <w:i/>
          <w:sz w:val="18"/>
          <w:szCs w:val="18"/>
        </w:rPr>
        <w:t>Corresponding Author: Dr. Sunil Bhamare</w:t>
      </w:r>
      <w:r w:rsidR="00A04E45">
        <w:rPr>
          <w:rStyle w:val="Strong"/>
          <w:rFonts w:asciiTheme="majorHAnsi" w:hAnsiTheme="majorHAnsi"/>
          <w:b w:val="0"/>
          <w:i/>
          <w:sz w:val="18"/>
          <w:szCs w:val="18"/>
        </w:rPr>
        <w:t xml:space="preserve">, </w:t>
      </w:r>
      <w:r w:rsidR="00A04E45" w:rsidRPr="00A04E45">
        <w:rPr>
          <w:rFonts w:asciiTheme="majorHAnsi" w:hAnsiTheme="majorHAnsi"/>
          <w:bCs/>
          <w:i/>
          <w:sz w:val="18"/>
          <w:szCs w:val="18"/>
        </w:rPr>
        <w:t>Department of Microbiology, B. J. Government Medical College</w:t>
      </w:r>
      <w:r w:rsidR="00A04E45">
        <w:rPr>
          <w:rFonts w:asciiTheme="majorHAnsi" w:hAnsiTheme="majorHAnsi"/>
          <w:bCs/>
          <w:i/>
          <w:sz w:val="18"/>
          <w:szCs w:val="18"/>
        </w:rPr>
        <w:t xml:space="preserve">, Pune </w:t>
      </w:r>
      <w:r w:rsidR="00A04E45" w:rsidRPr="00A04E45">
        <w:rPr>
          <w:rFonts w:asciiTheme="majorHAnsi" w:hAnsiTheme="majorHAnsi"/>
          <w:bCs/>
          <w:i/>
          <w:sz w:val="18"/>
          <w:szCs w:val="18"/>
        </w:rPr>
        <w:br/>
      </w:r>
    </w:p>
    <w:p w:rsidR="000C4309" w:rsidRPr="00A04E45" w:rsidRDefault="000C4309" w:rsidP="00A75BBE">
      <w:pPr>
        <w:spacing w:after="0"/>
        <w:jc w:val="both"/>
        <w:rPr>
          <w:rFonts w:asciiTheme="majorHAnsi" w:hAnsiTheme="majorHAnsi" w:cs="Times New Roman"/>
          <w:b/>
          <w:bCs/>
          <w:i/>
          <w:sz w:val="20"/>
          <w:szCs w:val="20"/>
        </w:rPr>
      </w:pPr>
      <w:r w:rsidRPr="00A04E45">
        <w:rPr>
          <w:rFonts w:asciiTheme="majorHAnsi" w:hAnsiTheme="majorHAnsi" w:cs="Times New Roman"/>
          <w:b/>
          <w:bCs/>
          <w:i/>
          <w:sz w:val="20"/>
          <w:szCs w:val="20"/>
        </w:rPr>
        <w:t>ABSTRACT</w:t>
      </w:r>
    </w:p>
    <w:p w:rsidR="000C4309" w:rsidRPr="00A04E45" w:rsidRDefault="000C4309" w:rsidP="00A75BBE">
      <w:pPr>
        <w:spacing w:after="0"/>
        <w:jc w:val="both"/>
        <w:rPr>
          <w:rFonts w:asciiTheme="majorHAnsi" w:hAnsiTheme="majorHAnsi" w:cs="Times New Roman"/>
          <w:i/>
          <w:sz w:val="20"/>
          <w:szCs w:val="20"/>
        </w:rPr>
      </w:pPr>
      <w:r w:rsidRPr="00A04E45">
        <w:rPr>
          <w:rFonts w:asciiTheme="majorHAnsi" w:hAnsiTheme="majorHAnsi" w:cs="Times New Roman"/>
          <w:b/>
          <w:bCs/>
          <w:i/>
          <w:sz w:val="20"/>
          <w:szCs w:val="20"/>
        </w:rPr>
        <w:t>Background:</w:t>
      </w:r>
      <w:r w:rsidRPr="00A04E45">
        <w:rPr>
          <w:rFonts w:asciiTheme="majorHAnsi" w:hAnsiTheme="majorHAnsi" w:cs="Times New Roman"/>
          <w:i/>
          <w:sz w:val="20"/>
          <w:szCs w:val="20"/>
        </w:rPr>
        <w:t xml:space="preserve"> </w:t>
      </w:r>
      <w:r w:rsidRPr="00A04E45">
        <w:rPr>
          <w:rFonts w:asciiTheme="majorHAnsi" w:hAnsiTheme="majorHAnsi" w:cs="Times New Roman"/>
          <w:i/>
          <w:iCs/>
          <w:sz w:val="20"/>
          <w:szCs w:val="20"/>
        </w:rPr>
        <w:t>Klebsiella pneumoniae</w:t>
      </w:r>
      <w:r w:rsidRPr="00A04E45">
        <w:rPr>
          <w:rFonts w:asciiTheme="majorHAnsi" w:hAnsiTheme="majorHAnsi" w:cs="Times New Roman"/>
          <w:i/>
          <w:sz w:val="20"/>
          <w:szCs w:val="20"/>
        </w:rPr>
        <w:t xml:space="preserve"> is a major opportunistic pathogen responsible for significant morbi</w:t>
      </w:r>
      <w:bookmarkStart w:id="0" w:name="_GoBack"/>
      <w:bookmarkEnd w:id="0"/>
      <w:r w:rsidRPr="00A04E45">
        <w:rPr>
          <w:rFonts w:asciiTheme="majorHAnsi" w:hAnsiTheme="majorHAnsi" w:cs="Times New Roman"/>
          <w:i/>
          <w:sz w:val="20"/>
          <w:szCs w:val="20"/>
        </w:rPr>
        <w:t>dity in pediatric populations, particularly in hospital settings. The increasing prevalence of multidrug-resistant (MDR) strains has become a major public health concern.</w:t>
      </w:r>
    </w:p>
    <w:p w:rsidR="000C4309" w:rsidRPr="00A04E45" w:rsidRDefault="000C4309" w:rsidP="00A75BBE">
      <w:pPr>
        <w:spacing w:after="0"/>
        <w:jc w:val="both"/>
        <w:rPr>
          <w:rFonts w:asciiTheme="majorHAnsi" w:hAnsiTheme="majorHAnsi" w:cs="Times New Roman"/>
          <w:i/>
          <w:sz w:val="20"/>
          <w:szCs w:val="20"/>
        </w:rPr>
      </w:pPr>
      <w:r w:rsidRPr="00A04E45">
        <w:rPr>
          <w:rFonts w:asciiTheme="majorHAnsi" w:hAnsiTheme="majorHAnsi" w:cs="Times New Roman"/>
          <w:b/>
          <w:bCs/>
          <w:i/>
          <w:sz w:val="20"/>
          <w:szCs w:val="20"/>
        </w:rPr>
        <w:t>Aim:</w:t>
      </w:r>
      <w:r w:rsidRPr="00A04E45">
        <w:rPr>
          <w:rFonts w:asciiTheme="majorHAnsi" w:hAnsiTheme="majorHAnsi" w:cs="Times New Roman"/>
          <w:i/>
          <w:sz w:val="20"/>
          <w:szCs w:val="20"/>
        </w:rPr>
        <w:t xml:space="preserve"> To evaluate the antibiotic resistance pattern of </w:t>
      </w:r>
      <w:r w:rsidRPr="00A04E45">
        <w:rPr>
          <w:rFonts w:asciiTheme="majorHAnsi" w:hAnsiTheme="majorHAnsi" w:cs="Times New Roman"/>
          <w:i/>
          <w:iCs/>
          <w:sz w:val="20"/>
          <w:szCs w:val="20"/>
        </w:rPr>
        <w:t>Klebsiella pneumoniae</w:t>
      </w:r>
      <w:r w:rsidRPr="00A04E45">
        <w:rPr>
          <w:rFonts w:asciiTheme="majorHAnsi" w:hAnsiTheme="majorHAnsi" w:cs="Times New Roman"/>
          <w:i/>
          <w:sz w:val="20"/>
          <w:szCs w:val="20"/>
        </w:rPr>
        <w:t xml:space="preserve"> isolated from pediatric samples in a tertiary care hospital.</w:t>
      </w:r>
    </w:p>
    <w:p w:rsidR="000C4309" w:rsidRPr="00A04E45" w:rsidRDefault="000C4309" w:rsidP="00A75BBE">
      <w:pPr>
        <w:spacing w:after="0"/>
        <w:jc w:val="both"/>
        <w:rPr>
          <w:rFonts w:asciiTheme="majorHAnsi" w:hAnsiTheme="majorHAnsi" w:cs="Times New Roman"/>
          <w:i/>
          <w:sz w:val="20"/>
          <w:szCs w:val="20"/>
        </w:rPr>
      </w:pPr>
      <w:r w:rsidRPr="00A04E45">
        <w:rPr>
          <w:rFonts w:asciiTheme="majorHAnsi" w:hAnsiTheme="majorHAnsi" w:cs="Times New Roman"/>
          <w:b/>
          <w:bCs/>
          <w:i/>
          <w:sz w:val="20"/>
          <w:szCs w:val="20"/>
        </w:rPr>
        <w:t>Methods:</w:t>
      </w:r>
      <w:r w:rsidRPr="00A04E45">
        <w:rPr>
          <w:rFonts w:asciiTheme="majorHAnsi" w:hAnsiTheme="majorHAnsi" w:cs="Times New Roman"/>
          <w:i/>
          <w:sz w:val="20"/>
          <w:szCs w:val="20"/>
        </w:rPr>
        <w:t xml:space="preserve"> A prospective observational study was conducted at B.J. Government Medical College and Sassoon General Hospital, Pune, from January 2024 to January 2025. Samples were collected from both indoor and OPD pediatric patients using simple random sampling. Microbiological identification and antibiotic susceptibility testing were performed using standard CLSI guidelines.</w:t>
      </w:r>
    </w:p>
    <w:p w:rsidR="000C4309" w:rsidRPr="00A04E45" w:rsidRDefault="000C4309" w:rsidP="00A75BBE">
      <w:pPr>
        <w:spacing w:after="0"/>
        <w:jc w:val="both"/>
        <w:rPr>
          <w:rFonts w:asciiTheme="majorHAnsi" w:hAnsiTheme="majorHAnsi" w:cs="Times New Roman"/>
          <w:i/>
          <w:sz w:val="20"/>
          <w:szCs w:val="20"/>
        </w:rPr>
      </w:pPr>
      <w:r w:rsidRPr="00A04E45">
        <w:rPr>
          <w:rFonts w:asciiTheme="majorHAnsi" w:hAnsiTheme="majorHAnsi" w:cs="Times New Roman"/>
          <w:b/>
          <w:bCs/>
          <w:i/>
          <w:sz w:val="20"/>
          <w:szCs w:val="20"/>
        </w:rPr>
        <w:t>Results:</w:t>
      </w:r>
      <w:r w:rsidRPr="00A04E45">
        <w:rPr>
          <w:rFonts w:asciiTheme="majorHAnsi" w:hAnsiTheme="majorHAnsi" w:cs="Times New Roman"/>
          <w:i/>
          <w:sz w:val="20"/>
          <w:szCs w:val="20"/>
        </w:rPr>
        <w:t xml:space="preserve"> A total of 150 isolates of </w:t>
      </w:r>
      <w:r w:rsidRPr="00A04E45">
        <w:rPr>
          <w:rFonts w:asciiTheme="majorHAnsi" w:hAnsiTheme="majorHAnsi" w:cs="Times New Roman"/>
          <w:i/>
          <w:iCs/>
          <w:sz w:val="20"/>
          <w:szCs w:val="20"/>
        </w:rPr>
        <w:t>Klebsiella pneumoniae</w:t>
      </w:r>
      <w:r w:rsidRPr="00A04E45">
        <w:rPr>
          <w:rFonts w:asciiTheme="majorHAnsi" w:hAnsiTheme="majorHAnsi" w:cs="Times New Roman"/>
          <w:i/>
          <w:sz w:val="20"/>
          <w:szCs w:val="20"/>
        </w:rPr>
        <w:t xml:space="preserve"> were analyzed. High resistance was observed to third-generation cephalosporins (78%), fluoroquinolones (65%), and aminoglycosides (52%). Carbapenem resistance was noted in 28% of isolates. Multidrug resistance was observed in 62% of cases.</w:t>
      </w:r>
    </w:p>
    <w:p w:rsidR="000C4309" w:rsidRPr="00A04E45" w:rsidRDefault="000C4309" w:rsidP="00A75BBE">
      <w:pPr>
        <w:spacing w:after="0"/>
        <w:jc w:val="both"/>
        <w:rPr>
          <w:rFonts w:asciiTheme="majorHAnsi" w:hAnsiTheme="majorHAnsi" w:cs="Times New Roman"/>
          <w:i/>
          <w:sz w:val="20"/>
          <w:szCs w:val="20"/>
        </w:rPr>
      </w:pPr>
      <w:r w:rsidRPr="00A04E45">
        <w:rPr>
          <w:rFonts w:asciiTheme="majorHAnsi" w:hAnsiTheme="majorHAnsi" w:cs="Times New Roman"/>
          <w:b/>
          <w:bCs/>
          <w:i/>
          <w:sz w:val="20"/>
          <w:szCs w:val="20"/>
        </w:rPr>
        <w:t>Conclusion:</w:t>
      </w:r>
      <w:r w:rsidRPr="00A04E45">
        <w:rPr>
          <w:rFonts w:asciiTheme="majorHAnsi" w:hAnsiTheme="majorHAnsi" w:cs="Times New Roman"/>
          <w:i/>
          <w:sz w:val="20"/>
          <w:szCs w:val="20"/>
        </w:rPr>
        <w:t xml:space="preserve"> The study highlights alarming resistance trends, emphasizing the need for antibiotic stewardship and continuous surveillance.</w:t>
      </w:r>
    </w:p>
    <w:p w:rsidR="000C4309" w:rsidRPr="00A04E45" w:rsidRDefault="000C4309" w:rsidP="00A75BBE">
      <w:pPr>
        <w:spacing w:after="0"/>
        <w:jc w:val="both"/>
        <w:rPr>
          <w:rFonts w:asciiTheme="majorHAnsi" w:hAnsiTheme="majorHAnsi" w:cs="Times New Roman"/>
          <w:i/>
          <w:sz w:val="20"/>
          <w:szCs w:val="20"/>
        </w:rPr>
      </w:pPr>
      <w:r w:rsidRPr="00A04E45">
        <w:rPr>
          <w:rFonts w:asciiTheme="majorHAnsi" w:hAnsiTheme="majorHAnsi" w:cs="Times New Roman"/>
          <w:b/>
          <w:bCs/>
          <w:i/>
          <w:sz w:val="20"/>
          <w:szCs w:val="20"/>
        </w:rPr>
        <w:t>Keywords:</w:t>
      </w:r>
      <w:r w:rsidRPr="00A04E45">
        <w:rPr>
          <w:rFonts w:asciiTheme="majorHAnsi" w:hAnsiTheme="majorHAnsi" w:cs="Times New Roman"/>
          <w:i/>
          <w:sz w:val="20"/>
          <w:szCs w:val="20"/>
        </w:rPr>
        <w:t xml:space="preserve"> Klebsiella pneumoniae, pediatric infections, antibiotic resistance, MDR, tertiary care hospital</w:t>
      </w:r>
    </w:p>
    <w:p w:rsidR="000C4309" w:rsidRPr="00A75BBE" w:rsidRDefault="000C4309" w:rsidP="00A75BBE">
      <w:pPr>
        <w:spacing w:after="0"/>
        <w:jc w:val="both"/>
        <w:rPr>
          <w:rFonts w:asciiTheme="majorHAnsi" w:hAnsiTheme="majorHAnsi" w:cs="Times New Roman"/>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 xml:space="preserve">INTRODUCTION </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is a Gram-negative, encapsulated bacillus that forms part of the normal flora of the human gastrointestinal tract but is also a significant cause of healthcare-associated infections, particularly in pediatric populations. </w:t>
      </w:r>
      <w:r w:rsidR="00A57BBF" w:rsidRPr="00A04E45">
        <w:rPr>
          <w:rFonts w:ascii="Times New Roman" w:hAnsi="Times New Roman" w:cs="Times New Roman"/>
          <w:sz w:val="20"/>
          <w:szCs w:val="20"/>
        </w:rPr>
        <w:t xml:space="preserve">(1,2) </w:t>
      </w:r>
      <w:r w:rsidRPr="00A04E45">
        <w:rPr>
          <w:rFonts w:ascii="Times New Roman" w:hAnsi="Times New Roman" w:cs="Times New Roman"/>
          <w:sz w:val="20"/>
          <w:szCs w:val="20"/>
        </w:rPr>
        <w:t xml:space="preserve">It is commonly implicated in pneumonia, urinary tract infections, septicemia, and meningitis, especially in immunocompromised and hospitalized children. </w:t>
      </w:r>
      <w:r w:rsidR="00A57BBF" w:rsidRPr="00A04E45">
        <w:rPr>
          <w:rFonts w:ascii="Times New Roman" w:hAnsi="Times New Roman" w:cs="Times New Roman"/>
          <w:sz w:val="20"/>
          <w:szCs w:val="20"/>
        </w:rPr>
        <w:t xml:space="preserve">(3) </w:t>
      </w:r>
      <w:r w:rsidRPr="00A04E45">
        <w:rPr>
          <w:rFonts w:ascii="Times New Roman" w:hAnsi="Times New Roman" w:cs="Times New Roman"/>
          <w:sz w:val="20"/>
          <w:szCs w:val="20"/>
        </w:rPr>
        <w:t>The organism has gained considerable attention due to its increasing ability to develop resistance to multiple classes of antibiotics.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The emergence of extended-spectrum beta-lactamase (ESBL) producing and carbapenem-resistant strains has severely limited treatment options, leading to increased morbidity, mortality, and healthcare costs. Pediatric patients are particularly vulnerable due to immature immunity, frequent hospital admissions, and exposure to invasive procedures. India has reported a rising trend of antimicrobial resistance among Gram-negative organisms, necessitating region-specific data for effective management. </w:t>
      </w:r>
      <w:r w:rsidR="00A57BBF" w:rsidRPr="00A04E45">
        <w:rPr>
          <w:rFonts w:ascii="Times New Roman" w:hAnsi="Times New Roman" w:cs="Times New Roman"/>
          <w:sz w:val="20"/>
          <w:szCs w:val="20"/>
        </w:rPr>
        <w:t xml:space="preserve">(4,5) </w:t>
      </w:r>
      <w:r w:rsidRPr="00A04E45">
        <w:rPr>
          <w:rFonts w:ascii="Times New Roman" w:hAnsi="Times New Roman" w:cs="Times New Roman"/>
          <w:sz w:val="20"/>
          <w:szCs w:val="20"/>
        </w:rPr>
        <w:t xml:space="preserve">Understanding local antibiograms is crucial for guiding empirical therapy and preventing the spread of resistant strains. </w:t>
      </w:r>
      <w:r w:rsidR="00A57BBF" w:rsidRPr="00A04E45">
        <w:rPr>
          <w:rFonts w:ascii="Times New Roman" w:hAnsi="Times New Roman" w:cs="Times New Roman"/>
          <w:sz w:val="20"/>
          <w:szCs w:val="20"/>
        </w:rPr>
        <w:t xml:space="preserve">(6) </w:t>
      </w:r>
      <w:r w:rsidRPr="00A04E45">
        <w:rPr>
          <w:rFonts w:ascii="Times New Roman" w:hAnsi="Times New Roman" w:cs="Times New Roman"/>
          <w:sz w:val="20"/>
          <w:szCs w:val="20"/>
        </w:rPr>
        <w:t xml:space="preserve">This study was undertaken to evaluate the antibiotic resistance pattern of </w:t>
      </w: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in pediatric samples collected from both indoor and outpatient settings in a tertiary care hospital in Pune.</w:t>
      </w:r>
    </w:p>
    <w:p w:rsidR="00A04E45" w:rsidRDefault="00A04E45" w:rsidP="00A75BBE">
      <w:pPr>
        <w:spacing w:after="0"/>
        <w:jc w:val="both"/>
        <w:rPr>
          <w:rFonts w:ascii="Times New Roman" w:hAnsi="Times New Roman" w:cs="Times New Roman"/>
          <w:sz w:val="20"/>
          <w:szCs w:val="20"/>
        </w:rPr>
      </w:pPr>
    </w:p>
    <w:p w:rsidR="00A04E45" w:rsidRDefault="00A04E45" w:rsidP="00A75BBE">
      <w:pPr>
        <w:spacing w:after="0"/>
        <w:jc w:val="both"/>
        <w:rPr>
          <w:rFonts w:ascii="Times New Roman" w:hAnsi="Times New Roman" w:cs="Times New Roman"/>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lastRenderedPageBreak/>
        <w:t xml:space="preserve">STUDY METHODOLOGY </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This prospective observational study was conducted in the Department of Microbiology in collaboration with the Department of Pediatrics at B.J. Government Medical College and Sassoon General Hospital, Pune, over a period of one year from January 2024 to January 2025.</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All pediatric patients (age 0–14 years) presenting with suspected bacterial infections were included. Samples were collected from both indoor (IPD) and outpatient (OPD) settings. The specimens included blood, urine, sputum, pus, and other body fluids.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Sampling was performed using a simple random sampling technique. All suspected clinical samples received during the study period were considered as the sampling frame.</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Isolation and identification of </w:t>
      </w: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were carried out using standard microbiological techniques, including culture on MacConkey agar and biochemical tests. Antibiotic susceptibility testing was performed using the Kirby-Bauer disk diffusion method, and results were interpreted according to Clinical and Laboratory Standards Institute (CLSI) guidelines.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The antibiotics tested included beta-lactams, cephalosporins, aminoglycosides, fluoroquinolones, and carbapenems. Multidrug resistance (MDR) was defined as resistance to at least three classes of antibiotics.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Data were entered into Microsoft Excel and analyzed using descriptive statistics.</w:t>
      </w:r>
    </w:p>
    <w:p w:rsidR="000C4309" w:rsidRPr="00A04E45" w:rsidRDefault="000C4309" w:rsidP="00A75BBE">
      <w:pPr>
        <w:spacing w:after="0"/>
        <w:jc w:val="both"/>
        <w:rPr>
          <w:rFonts w:ascii="Times New Roman" w:hAnsi="Times New Roman" w:cs="Times New Roman"/>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RESULTS</w:t>
      </w: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Table 1: Distribution of Samples by Type</w:t>
      </w:r>
    </w:p>
    <w:tbl>
      <w:tblPr>
        <w:tblStyle w:val="TableGrid"/>
        <w:tblW w:w="0" w:type="auto"/>
        <w:tblLook w:val="04A0" w:firstRow="1" w:lastRow="0" w:firstColumn="1" w:lastColumn="0" w:noHBand="0" w:noVBand="1"/>
      </w:tblPr>
      <w:tblGrid>
        <w:gridCol w:w="1333"/>
        <w:gridCol w:w="1636"/>
        <w:gridCol w:w="1544"/>
      </w:tblGrid>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Sample Type</w:t>
            </w:r>
          </w:p>
        </w:tc>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Number (n=150)</w:t>
            </w:r>
          </w:p>
        </w:tc>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Percentage (%)</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Urine</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52</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34.7%</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Blood</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38</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25.3%</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Sputum</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24</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16.0%</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Pus</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21</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14.0%</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Others</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15</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10.0%</w:t>
            </w:r>
          </w:p>
        </w:tc>
      </w:tr>
    </w:tbl>
    <w:p w:rsidR="000C4309" w:rsidRPr="00A04E45" w:rsidRDefault="000C4309" w:rsidP="00A75BBE">
      <w:pPr>
        <w:spacing w:after="0"/>
        <w:jc w:val="both"/>
        <w:rPr>
          <w:rFonts w:ascii="Times New Roman" w:hAnsi="Times New Roman" w:cs="Times New Roman"/>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Table 2: Antibiotic Resistance Pattern</w:t>
      </w:r>
    </w:p>
    <w:tbl>
      <w:tblPr>
        <w:tblStyle w:val="TableGrid"/>
        <w:tblW w:w="4523" w:type="dxa"/>
        <w:tblLook w:val="04A0" w:firstRow="1" w:lastRow="0" w:firstColumn="1" w:lastColumn="0" w:noHBand="0" w:noVBand="1"/>
      </w:tblPr>
      <w:tblGrid>
        <w:gridCol w:w="2630"/>
        <w:gridCol w:w="1893"/>
      </w:tblGrid>
      <w:tr w:rsidR="000C4309" w:rsidRPr="00A04E45" w:rsidTr="00A04E45">
        <w:trPr>
          <w:trHeight w:val="282"/>
        </w:trPr>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Antibiotic Class</w:t>
            </w:r>
          </w:p>
        </w:tc>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Resistance (%)</w:t>
            </w:r>
          </w:p>
        </w:tc>
      </w:tr>
      <w:tr w:rsidR="000C4309" w:rsidRPr="00A04E45" w:rsidTr="00A04E45">
        <w:trPr>
          <w:trHeight w:val="292"/>
        </w:trPr>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Cephalosporins</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78%</w:t>
            </w:r>
          </w:p>
        </w:tc>
      </w:tr>
      <w:tr w:rsidR="000C4309" w:rsidRPr="00A04E45" w:rsidTr="00A04E45">
        <w:trPr>
          <w:trHeight w:val="282"/>
        </w:trPr>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Fluoroquinolones</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65%</w:t>
            </w:r>
          </w:p>
        </w:tc>
      </w:tr>
      <w:tr w:rsidR="000C4309" w:rsidRPr="00A04E45" w:rsidTr="00A04E45">
        <w:trPr>
          <w:trHeight w:val="282"/>
        </w:trPr>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Aminoglycosides</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52%</w:t>
            </w:r>
          </w:p>
        </w:tc>
      </w:tr>
      <w:tr w:rsidR="000C4309" w:rsidRPr="00A04E45" w:rsidTr="00A04E45">
        <w:trPr>
          <w:trHeight w:val="282"/>
        </w:trPr>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Beta-lactam + inhibitor</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48%</w:t>
            </w:r>
          </w:p>
        </w:tc>
      </w:tr>
      <w:tr w:rsidR="000C4309" w:rsidRPr="00A04E45" w:rsidTr="00A04E45">
        <w:trPr>
          <w:trHeight w:val="303"/>
        </w:trPr>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Carbapenems</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28%</w:t>
            </w:r>
          </w:p>
        </w:tc>
      </w:tr>
    </w:tbl>
    <w:p w:rsidR="000C4309" w:rsidRPr="00A04E45" w:rsidRDefault="000C4309" w:rsidP="00A75BBE">
      <w:pPr>
        <w:spacing w:after="0"/>
        <w:jc w:val="both"/>
        <w:rPr>
          <w:rFonts w:ascii="Times New Roman" w:hAnsi="Times New Roman" w:cs="Times New Roman"/>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Table 3: Multidrug Resistance Pattern</w:t>
      </w:r>
    </w:p>
    <w:tbl>
      <w:tblPr>
        <w:tblStyle w:val="TableGrid"/>
        <w:tblW w:w="0" w:type="auto"/>
        <w:tblLook w:val="04A0" w:firstRow="1" w:lastRow="0" w:firstColumn="1" w:lastColumn="0" w:noHBand="0" w:noVBand="1"/>
      </w:tblPr>
      <w:tblGrid>
        <w:gridCol w:w="1955"/>
        <w:gridCol w:w="928"/>
        <w:gridCol w:w="1544"/>
      </w:tblGrid>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Resistance Category</w:t>
            </w:r>
          </w:p>
        </w:tc>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Number</w:t>
            </w:r>
          </w:p>
        </w:tc>
        <w:tc>
          <w:tcPr>
            <w:tcW w:w="0" w:type="auto"/>
            <w:hideMark/>
          </w:tcPr>
          <w:p w:rsidR="000C4309" w:rsidRPr="00A04E45" w:rsidRDefault="000C4309" w:rsidP="00A75BBE">
            <w:pPr>
              <w:spacing w:line="276" w:lineRule="auto"/>
              <w:jc w:val="both"/>
              <w:rPr>
                <w:rFonts w:ascii="Times New Roman" w:hAnsi="Times New Roman" w:cs="Times New Roman"/>
                <w:b/>
                <w:bCs/>
                <w:sz w:val="20"/>
                <w:szCs w:val="20"/>
              </w:rPr>
            </w:pPr>
            <w:r w:rsidRPr="00A04E45">
              <w:rPr>
                <w:rFonts w:ascii="Times New Roman" w:hAnsi="Times New Roman" w:cs="Times New Roman"/>
                <w:b/>
                <w:bCs/>
                <w:sz w:val="20"/>
                <w:szCs w:val="20"/>
              </w:rPr>
              <w:t>Percentage (%)</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MDR</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93</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62%</w:t>
            </w:r>
          </w:p>
        </w:tc>
      </w:tr>
      <w:tr w:rsidR="000C4309" w:rsidRPr="00A04E45" w:rsidTr="000C4309">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Non-MDR</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57</w:t>
            </w:r>
          </w:p>
        </w:tc>
        <w:tc>
          <w:tcPr>
            <w:tcW w:w="0" w:type="auto"/>
            <w:hideMark/>
          </w:tcPr>
          <w:p w:rsidR="000C4309" w:rsidRPr="00A04E45" w:rsidRDefault="000C4309" w:rsidP="00A75BBE">
            <w:pPr>
              <w:spacing w:line="276" w:lineRule="auto"/>
              <w:jc w:val="both"/>
              <w:rPr>
                <w:rFonts w:ascii="Times New Roman" w:hAnsi="Times New Roman" w:cs="Times New Roman"/>
                <w:sz w:val="20"/>
                <w:szCs w:val="20"/>
              </w:rPr>
            </w:pPr>
            <w:r w:rsidRPr="00A04E45">
              <w:rPr>
                <w:rFonts w:ascii="Times New Roman" w:hAnsi="Times New Roman" w:cs="Times New Roman"/>
                <w:sz w:val="20"/>
                <w:szCs w:val="20"/>
              </w:rPr>
              <w:t>38%</w:t>
            </w:r>
          </w:p>
        </w:tc>
      </w:tr>
    </w:tbl>
    <w:p w:rsidR="000C4309" w:rsidRPr="00A04E45" w:rsidRDefault="000C4309" w:rsidP="00A75BBE">
      <w:pPr>
        <w:spacing w:after="0"/>
        <w:jc w:val="both"/>
        <w:rPr>
          <w:rFonts w:ascii="Times New Roman" w:hAnsi="Times New Roman" w:cs="Times New Roman"/>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 xml:space="preserve">DISCUSSION </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The present study provides an important insight into the antibiotic resistance pattern of </w:t>
      </w: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in pediatric patients at a tertiary care hospital in Pune. The findings highlight a significant burden of antimicrobial resistance, particularly among commonly used antibiotics.</w:t>
      </w:r>
      <w:r w:rsidR="00A57BBF" w:rsidRPr="00A04E45">
        <w:rPr>
          <w:rFonts w:ascii="Times New Roman" w:hAnsi="Times New Roman" w:cs="Times New Roman"/>
          <w:sz w:val="20"/>
          <w:szCs w:val="20"/>
        </w:rPr>
        <w:t xml:space="preserve">(7,8) </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In this study, urine samples constituted the highest proportion of isolates (34.7%), followed by blood and sputum samples. This is consistent with previous studies where </w:t>
      </w: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is commonly implicated in urinary tract infections and septicemia in children. The higher prevalence in urine samples may be attributed to poor hygiene practices and catheter-associated infections in hospitalized children.</w:t>
      </w:r>
      <w:r w:rsidR="00A57BBF" w:rsidRPr="00A04E45">
        <w:rPr>
          <w:rFonts w:ascii="Times New Roman" w:hAnsi="Times New Roman" w:cs="Times New Roman"/>
          <w:sz w:val="20"/>
          <w:szCs w:val="20"/>
        </w:rPr>
        <w:t xml:space="preserve"> (9,10,11) </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A major finding of this study is the high resistance observed to third-generation cephalosporins (78%). This suggests a high prevalence of ESBL-producing strains, which has been widely reported in Indian healthcare settings. The misuse and overuse of cephalosporins in clinical practice have significantly contributed to this resistance pattern.</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Fluoroquinolone resistance was also notably high (65%), which is concerning as these drugs are often used as second-line agents. Aminoglycoside resistance (52%) further limits treatment options, especially in severe infections where combination therapy is required.</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Carbapenems, considered last-resort antibiotics, showed resistance in 28% of isolates. This indicates the emergence of carbapenem-resistant </w:t>
      </w: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(CRKP), which is a serious public health threat. The presence of carbapenem resistance suggests the possible production of carbapenemases such as KPC, NDM, or OXA enzymes.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The study also found that 62% of isolates were multidrug-resistant. This high prevalence of MDR organisms significantly complicates treatment strategies and increases the risk of treatment failure. Similar findings have been reported in other Indian studies, reflecting a nationwide trend.</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The increasing resistance can be attributed to several factors, including irrational antibiotic use, lack of antibiotic stewardship programs, and inadequate infection control practices. Pediatric populations are particularly vulnerable due to frequent antibiotic exposure and immature immune systems.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Comparatively, studies conducted by Sharma et al. and Gupta et al. </w:t>
      </w:r>
      <w:r w:rsidR="00A57BBF" w:rsidRPr="00A04E45">
        <w:rPr>
          <w:rFonts w:ascii="Times New Roman" w:hAnsi="Times New Roman" w:cs="Times New Roman"/>
          <w:sz w:val="20"/>
          <w:szCs w:val="20"/>
        </w:rPr>
        <w:t xml:space="preserve">(4,5) </w:t>
      </w:r>
      <w:r w:rsidRPr="00A04E45">
        <w:rPr>
          <w:rFonts w:ascii="Times New Roman" w:hAnsi="Times New Roman" w:cs="Times New Roman"/>
          <w:sz w:val="20"/>
          <w:szCs w:val="20"/>
        </w:rPr>
        <w:t>have reported MDR rates ranging from 50% to 70%, which aligns with the findings of this study. The emergence of MDR and extensively drug-resistant (XDR) strains necessitates urgent intervention.</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The study underscores the importance of regular surveillance of antibiotic resistance patterns. Hospital-specific antibiograms should be developed and updated periodically to guide empirical therapy. Implementation of antibiotic stewardship programs is essential to optimize antibiotic use and reduce resistance.</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Strict infection control measures, including hand hygiene, sterilization protocols, and isolation of infected patients, should be enforced to prevent nosocomial transmission. Additionally, awareness among healthcare professionals regarding rational antibiotic use is crucial.</w:t>
      </w:r>
      <w:r w:rsidR="00A57BBF" w:rsidRPr="00A04E45">
        <w:rPr>
          <w:rFonts w:ascii="Times New Roman" w:hAnsi="Times New Roman" w:cs="Times New Roman"/>
          <w:sz w:val="20"/>
          <w:szCs w:val="20"/>
        </w:rPr>
        <w:t xml:space="preserve">(12) </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Despite its strengths, the study has certain limitations. It was conducted in a single center and may not be generalizable to other settings. Molecular characterization of resistance mechanisms was not performed, which could provide further insights.</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Overall, the study highlights the urgent need for coordinated efforts to combat antimicrobial resistance in pediatric populations.</w:t>
      </w: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CONCLUSION</w:t>
      </w:r>
    </w:p>
    <w:p w:rsidR="000C4309" w:rsidRPr="00A04E45" w:rsidRDefault="000C4309" w:rsidP="00A75BBE">
      <w:pPr>
        <w:spacing w:after="0"/>
        <w:jc w:val="both"/>
        <w:rPr>
          <w:rFonts w:ascii="Times New Roman" w:hAnsi="Times New Roman" w:cs="Times New Roman"/>
          <w:sz w:val="20"/>
          <w:szCs w:val="20"/>
        </w:rPr>
      </w:pPr>
      <w:r w:rsidRPr="00A04E45">
        <w:rPr>
          <w:rFonts w:ascii="Times New Roman" w:hAnsi="Times New Roman" w:cs="Times New Roman"/>
          <w:sz w:val="20"/>
          <w:szCs w:val="20"/>
        </w:rPr>
        <w:t xml:space="preserve">The study demonstrates a high prevalence of antibiotic resistance among </w:t>
      </w:r>
      <w:r w:rsidRPr="00A04E45">
        <w:rPr>
          <w:rFonts w:ascii="Times New Roman" w:hAnsi="Times New Roman" w:cs="Times New Roman"/>
          <w:i/>
          <w:iCs/>
          <w:sz w:val="20"/>
          <w:szCs w:val="20"/>
        </w:rPr>
        <w:t>Klebsiella pneumoniae</w:t>
      </w:r>
      <w:r w:rsidRPr="00A04E45">
        <w:rPr>
          <w:rFonts w:ascii="Times New Roman" w:hAnsi="Times New Roman" w:cs="Times New Roman"/>
          <w:sz w:val="20"/>
          <w:szCs w:val="20"/>
        </w:rPr>
        <w:t xml:space="preserve"> isolates in pediatric patients, with a significant proportion exhibiting multidrug resistance. The rising resistance to commonly used antibiotics, including carbapenems, is alarming. Continuous surveillance, strict infection control measures, and implementation of antibiotic stewardship programs are essential to address this growing threat.</w:t>
      </w:r>
    </w:p>
    <w:p w:rsidR="000C4309" w:rsidRPr="00A04E45" w:rsidRDefault="000C4309" w:rsidP="00A75BBE">
      <w:pPr>
        <w:spacing w:after="0"/>
        <w:jc w:val="both"/>
        <w:rPr>
          <w:rFonts w:ascii="Times New Roman" w:hAnsi="Times New Roman" w:cs="Times New Roman"/>
          <w:b/>
          <w:bCs/>
          <w:sz w:val="20"/>
          <w:szCs w:val="20"/>
        </w:rPr>
      </w:pPr>
    </w:p>
    <w:p w:rsidR="000C4309" w:rsidRPr="00A04E45" w:rsidRDefault="000C4309" w:rsidP="00A75BBE">
      <w:pPr>
        <w:spacing w:after="0"/>
        <w:jc w:val="both"/>
        <w:rPr>
          <w:rFonts w:ascii="Times New Roman" w:hAnsi="Times New Roman" w:cs="Times New Roman"/>
          <w:b/>
          <w:bCs/>
          <w:sz w:val="20"/>
          <w:szCs w:val="20"/>
        </w:rPr>
      </w:pPr>
      <w:r w:rsidRPr="00A04E45">
        <w:rPr>
          <w:rFonts w:ascii="Times New Roman" w:hAnsi="Times New Roman" w:cs="Times New Roman"/>
          <w:b/>
          <w:bCs/>
          <w:sz w:val="20"/>
          <w:szCs w:val="20"/>
        </w:rPr>
        <w:t xml:space="preserve">REFERENCES -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Podschun R, Ullmann U. </w:t>
      </w:r>
      <w:r w:rsidRPr="00A04E45">
        <w:rPr>
          <w:rFonts w:ascii="Times New Roman" w:hAnsi="Times New Roman" w:cs="Times New Roman"/>
          <w:i/>
          <w:iCs/>
          <w:sz w:val="20"/>
          <w:szCs w:val="20"/>
        </w:rPr>
        <w:t>Klebsiella spp. as nosocomial pathogens: epidemiology, taxonomy, typing methods, and pathogenicity factors.</w:t>
      </w:r>
      <w:r w:rsidRPr="00A04E45">
        <w:rPr>
          <w:rFonts w:ascii="Times New Roman" w:hAnsi="Times New Roman" w:cs="Times New Roman"/>
          <w:sz w:val="20"/>
          <w:szCs w:val="20"/>
        </w:rPr>
        <w:t xml:space="preserve"> Clin Microbiol Rev. 1998;11(4):589–603.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Pitout JDD, Laupland KB., </w:t>
      </w:r>
      <w:r w:rsidRPr="00A04E45">
        <w:rPr>
          <w:rFonts w:ascii="Times New Roman" w:hAnsi="Times New Roman" w:cs="Times New Roman"/>
          <w:i/>
          <w:iCs/>
          <w:sz w:val="20"/>
          <w:szCs w:val="20"/>
        </w:rPr>
        <w:t>Extended-spectrum β-lactamase-producing Enterobacteriaceae: an emerging public-health concern.</w:t>
      </w:r>
      <w:r w:rsidRPr="00A04E45">
        <w:rPr>
          <w:rFonts w:ascii="Times New Roman" w:hAnsi="Times New Roman" w:cs="Times New Roman"/>
          <w:sz w:val="20"/>
          <w:szCs w:val="20"/>
        </w:rPr>
        <w:t xml:space="preserve"> Lancet Infect Dis. 2008;8(3):159–166.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Clinical and Laboratory Standards Institute (CLSI).</w:t>
      </w:r>
      <w:r w:rsidRPr="00A04E45">
        <w:rPr>
          <w:rFonts w:ascii="Times New Roman" w:hAnsi="Times New Roman" w:cs="Times New Roman"/>
          <w:i/>
          <w:iCs/>
          <w:sz w:val="20"/>
          <w:szCs w:val="20"/>
        </w:rPr>
        <w:t>Performance Standards for Antimicrobial Susceptibility Testing; 33rd Informational Supplement.</w:t>
      </w:r>
      <w:r w:rsidRPr="00A04E45">
        <w:rPr>
          <w:rFonts w:ascii="Times New Roman" w:hAnsi="Times New Roman" w:cs="Times New Roman"/>
          <w:sz w:val="20"/>
          <w:szCs w:val="20"/>
        </w:rPr>
        <w:t xml:space="preserve">CLSI document M100. Wayne (PA): CLSI; 2023.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Sharma S, Bhat GK, Shenoy S. </w:t>
      </w:r>
      <w:r w:rsidRPr="00A04E45">
        <w:rPr>
          <w:rFonts w:ascii="Times New Roman" w:hAnsi="Times New Roman" w:cs="Times New Roman"/>
          <w:i/>
          <w:iCs/>
          <w:sz w:val="20"/>
          <w:szCs w:val="20"/>
        </w:rPr>
        <w:t>Virulence factors and drug resistance in Escherichia coli isolated from extraintestinal infections.</w:t>
      </w:r>
      <w:r w:rsidRPr="00A04E45">
        <w:rPr>
          <w:rFonts w:ascii="Times New Roman" w:hAnsi="Times New Roman" w:cs="Times New Roman"/>
          <w:sz w:val="20"/>
          <w:szCs w:val="20"/>
        </w:rPr>
        <w:t xml:space="preserve"> J Clin Diagn Res. 2016;10(6):DC01–DC04.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Gupta V, Singla N, Chander J. </w:t>
      </w:r>
      <w:r w:rsidRPr="00A04E45">
        <w:rPr>
          <w:rFonts w:ascii="Times New Roman" w:hAnsi="Times New Roman" w:cs="Times New Roman"/>
          <w:i/>
          <w:iCs/>
          <w:sz w:val="20"/>
          <w:szCs w:val="20"/>
        </w:rPr>
        <w:t>Detection of ESBLs using third and fourth generation cephalosporins in Klebsiella species.</w:t>
      </w:r>
      <w:r w:rsidRPr="00A04E45">
        <w:rPr>
          <w:rFonts w:ascii="Times New Roman" w:hAnsi="Times New Roman" w:cs="Times New Roman"/>
          <w:sz w:val="20"/>
          <w:szCs w:val="20"/>
        </w:rPr>
        <w:t xml:space="preserve"> Indian J Med Microbiol. 2013;31(3):249–254.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Taneja N, Sharma M. </w:t>
      </w:r>
      <w:r w:rsidRPr="00A04E45">
        <w:rPr>
          <w:rFonts w:ascii="Times New Roman" w:hAnsi="Times New Roman" w:cs="Times New Roman"/>
          <w:i/>
          <w:iCs/>
          <w:sz w:val="20"/>
          <w:szCs w:val="20"/>
        </w:rPr>
        <w:t>Antimicrobial resistance in the environment: the Indian scenario.</w:t>
      </w:r>
      <w:r w:rsidRPr="00A04E45">
        <w:rPr>
          <w:rFonts w:ascii="Times New Roman" w:hAnsi="Times New Roman" w:cs="Times New Roman"/>
          <w:sz w:val="20"/>
          <w:szCs w:val="20"/>
        </w:rPr>
        <w:t xml:space="preserve"> Indian J Med Res. 2014;139(3):450–456.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World Health Organization (WHO). </w:t>
      </w:r>
      <w:r w:rsidRPr="00A04E45">
        <w:rPr>
          <w:rFonts w:ascii="Times New Roman" w:hAnsi="Times New Roman" w:cs="Times New Roman"/>
          <w:i/>
          <w:iCs/>
          <w:sz w:val="20"/>
          <w:szCs w:val="20"/>
        </w:rPr>
        <w:t>Global Antimicrobial Resistance Surveillance System (GLASS) Report: Early Implementation 2020.</w:t>
      </w:r>
      <w:r w:rsidRPr="00A04E45">
        <w:rPr>
          <w:rFonts w:ascii="Times New Roman" w:hAnsi="Times New Roman" w:cs="Times New Roman"/>
          <w:sz w:val="20"/>
          <w:szCs w:val="20"/>
        </w:rPr>
        <w:t xml:space="preserve"> Geneva: WHO; 2020.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Magiorakos AP, Srinivasan A, Carey RB, Carmeli Y, Falagas ME, Giske CG, et al.</w:t>
      </w:r>
      <w:r w:rsidRPr="00A04E45">
        <w:rPr>
          <w:rFonts w:ascii="Times New Roman" w:hAnsi="Times New Roman" w:cs="Times New Roman"/>
          <w:sz w:val="20"/>
          <w:szCs w:val="20"/>
        </w:rPr>
        <w:br/>
      </w:r>
      <w:r w:rsidRPr="00A04E45">
        <w:rPr>
          <w:rFonts w:ascii="Times New Roman" w:hAnsi="Times New Roman" w:cs="Times New Roman"/>
          <w:i/>
          <w:iCs/>
          <w:sz w:val="20"/>
          <w:szCs w:val="20"/>
        </w:rPr>
        <w:t>Multidrug-resistant, extensively drug-resistant and pandrug-resistant bacteria: an international expert proposal for interim standard definitions.</w:t>
      </w:r>
      <w:r w:rsidRPr="00A04E45">
        <w:rPr>
          <w:rFonts w:ascii="Times New Roman" w:hAnsi="Times New Roman" w:cs="Times New Roman"/>
          <w:sz w:val="20"/>
          <w:szCs w:val="20"/>
        </w:rPr>
        <w:br/>
        <w:t xml:space="preserve">Clin Microbiol Infect. 2012;18(3):268–281.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Paterson DL. </w:t>
      </w:r>
      <w:r w:rsidRPr="00A04E45">
        <w:rPr>
          <w:rFonts w:ascii="Times New Roman" w:hAnsi="Times New Roman" w:cs="Times New Roman"/>
          <w:i/>
          <w:iCs/>
          <w:sz w:val="20"/>
          <w:szCs w:val="20"/>
        </w:rPr>
        <w:t>Resistance in gram-negative bacteria: Enterobacteriaceae.</w:t>
      </w:r>
      <w:r w:rsidRPr="00A04E45">
        <w:rPr>
          <w:rFonts w:ascii="Times New Roman" w:hAnsi="Times New Roman" w:cs="Times New Roman"/>
          <w:sz w:val="20"/>
          <w:szCs w:val="20"/>
        </w:rPr>
        <w:t xml:space="preserve"> Clin Microbiol Rev. 2005;18(4):657–686.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Kaur A, Singh S, Kaur J. </w:t>
      </w:r>
      <w:r w:rsidRPr="00A04E45">
        <w:rPr>
          <w:rFonts w:ascii="Times New Roman" w:hAnsi="Times New Roman" w:cs="Times New Roman"/>
          <w:i/>
          <w:iCs/>
          <w:sz w:val="20"/>
          <w:szCs w:val="20"/>
        </w:rPr>
        <w:t>Antimicrobial resistance pattern of Klebsiella pneumoniae isolated from clinical samples.</w:t>
      </w:r>
      <w:r w:rsidRPr="00A04E45">
        <w:rPr>
          <w:rFonts w:ascii="Times New Roman" w:hAnsi="Times New Roman" w:cs="Times New Roman"/>
          <w:sz w:val="20"/>
          <w:szCs w:val="20"/>
        </w:rPr>
        <w:t xml:space="preserve"> Int J Res Med Sci. 2018;6(5):1623–1628.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Datta S, Wattal C, Goel N, Oberoi JK, Raveendran R, Prasad KJ. </w:t>
      </w:r>
      <w:r w:rsidRPr="00A04E45">
        <w:rPr>
          <w:rFonts w:ascii="Times New Roman" w:hAnsi="Times New Roman" w:cs="Times New Roman"/>
          <w:i/>
          <w:iCs/>
          <w:sz w:val="20"/>
          <w:szCs w:val="20"/>
        </w:rPr>
        <w:t>A ten year analysis of multidrug resistant bloodstream infections caused by Escherichia coli and Klebsiella pneumoniae in a tertiary care hospital.</w:t>
      </w:r>
      <w:r w:rsidRPr="00A04E45">
        <w:rPr>
          <w:rFonts w:ascii="Times New Roman" w:hAnsi="Times New Roman" w:cs="Times New Roman"/>
          <w:sz w:val="20"/>
          <w:szCs w:val="20"/>
        </w:rPr>
        <w:t xml:space="preserve">Indian J Pathol Microbiol. 2012;55(3):327–330. </w:t>
      </w:r>
    </w:p>
    <w:p w:rsidR="000C4309" w:rsidRPr="00A04E45" w:rsidRDefault="000C4309" w:rsidP="00A75BBE">
      <w:pPr>
        <w:numPr>
          <w:ilvl w:val="0"/>
          <w:numId w:val="1"/>
        </w:numPr>
        <w:spacing w:after="0"/>
        <w:rPr>
          <w:rFonts w:ascii="Times New Roman" w:hAnsi="Times New Roman" w:cs="Times New Roman"/>
          <w:sz w:val="20"/>
          <w:szCs w:val="20"/>
        </w:rPr>
      </w:pPr>
      <w:r w:rsidRPr="00A04E45">
        <w:rPr>
          <w:rFonts w:ascii="Times New Roman" w:hAnsi="Times New Roman" w:cs="Times New Roman"/>
          <w:sz w:val="20"/>
          <w:szCs w:val="20"/>
        </w:rPr>
        <w:t xml:space="preserve">Singh AK, Das S, Singh S, Gajamer VR, Pradhan N, Lepcha YD, et al. </w:t>
      </w:r>
      <w:r w:rsidRPr="00A04E45">
        <w:rPr>
          <w:rFonts w:ascii="Times New Roman" w:hAnsi="Times New Roman" w:cs="Times New Roman"/>
          <w:i/>
          <w:iCs/>
          <w:sz w:val="20"/>
          <w:szCs w:val="20"/>
        </w:rPr>
        <w:t>Prevalence of antibiotic resistance in Klebsiella pneumoniae in India: a systematic review and meta-analysis.</w:t>
      </w:r>
      <w:r w:rsidRPr="00A04E45">
        <w:rPr>
          <w:rFonts w:ascii="Times New Roman" w:hAnsi="Times New Roman" w:cs="Times New Roman"/>
          <w:sz w:val="20"/>
          <w:szCs w:val="20"/>
        </w:rPr>
        <w:t xml:space="preserve"> J Infect Dev Ctries. 2019;13(2):152–160. </w:t>
      </w:r>
    </w:p>
    <w:p w:rsidR="002866C6" w:rsidRPr="00A04E45" w:rsidRDefault="002866C6" w:rsidP="00A75BBE">
      <w:pPr>
        <w:spacing w:after="0"/>
        <w:rPr>
          <w:rFonts w:ascii="Times New Roman" w:hAnsi="Times New Roman" w:cs="Times New Roman"/>
          <w:sz w:val="20"/>
          <w:szCs w:val="20"/>
        </w:rPr>
      </w:pPr>
    </w:p>
    <w:sectPr w:rsidR="002866C6" w:rsidRPr="00A04E45" w:rsidSect="00A75BBE">
      <w:headerReference w:type="default" r:id="rId8"/>
      <w:footerReference w:type="default" r:id="rId9"/>
      <w:pgSz w:w="11906" w:h="16838"/>
      <w:pgMar w:top="1440" w:right="1440" w:bottom="1440" w:left="1440" w:header="720" w:footer="144"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F96" w:rsidRDefault="00377F96" w:rsidP="000C4309">
      <w:pPr>
        <w:spacing w:after="0" w:line="240" w:lineRule="auto"/>
      </w:pPr>
      <w:r>
        <w:separator/>
      </w:r>
    </w:p>
  </w:endnote>
  <w:endnote w:type="continuationSeparator" w:id="0">
    <w:p w:rsidR="00377F96" w:rsidRDefault="00377F96" w:rsidP="000C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982481"/>
      <w:docPartObj>
        <w:docPartGallery w:val="Page Numbers (Bottom of Page)"/>
        <w:docPartUnique/>
      </w:docPartObj>
    </w:sdtPr>
    <w:sdtEndPr>
      <w:rPr>
        <w:noProof/>
      </w:rPr>
    </w:sdtEndPr>
    <w:sdtContent>
      <w:p w:rsidR="000C4309" w:rsidRDefault="000C4309">
        <w:pPr>
          <w:pStyle w:val="Footer"/>
          <w:jc w:val="right"/>
        </w:pPr>
        <w:r>
          <w:fldChar w:fldCharType="begin"/>
        </w:r>
        <w:r>
          <w:instrText xml:space="preserve"> PAGE   \* MERGEFORMAT </w:instrText>
        </w:r>
        <w:r>
          <w:fldChar w:fldCharType="separate"/>
        </w:r>
        <w:r w:rsidR="00377F96">
          <w:rPr>
            <w:noProof/>
          </w:rPr>
          <w:t>14</w:t>
        </w:r>
        <w:r>
          <w:rPr>
            <w:noProof/>
          </w:rPr>
          <w:fldChar w:fldCharType="end"/>
        </w:r>
      </w:p>
    </w:sdtContent>
  </w:sdt>
  <w:p w:rsidR="00A75BBE" w:rsidRPr="00A75BBE" w:rsidRDefault="00A75BBE" w:rsidP="00A75BBE">
    <w:pPr>
      <w:tabs>
        <w:tab w:val="center" w:pos="4513"/>
        <w:tab w:val="right" w:pos="9026"/>
      </w:tabs>
      <w:spacing w:after="160" w:line="259" w:lineRule="auto"/>
      <w:rPr>
        <w:rFonts w:ascii="Calibri" w:eastAsia="Calibri" w:hAnsi="Calibri" w:cs="Gautami"/>
        <w:lang w:val="en-US"/>
      </w:rPr>
    </w:pPr>
    <w:r w:rsidRPr="00A75BBE">
      <w:rPr>
        <w:rFonts w:ascii="Calibri" w:eastAsia="Calibri" w:hAnsi="Calibri" w:cs="Gautami"/>
        <w:i/>
        <w:lang w:val="en-US"/>
      </w:rPr>
      <w:t>www.ijbamr.com   P ISSN: 2250-284X, E ISSN: 2250-2858</w:t>
    </w:r>
  </w:p>
  <w:p w:rsidR="000C4309" w:rsidRDefault="000C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F96" w:rsidRDefault="00377F96" w:rsidP="000C4309">
      <w:pPr>
        <w:spacing w:after="0" w:line="240" w:lineRule="auto"/>
      </w:pPr>
      <w:r>
        <w:separator/>
      </w:r>
    </w:p>
  </w:footnote>
  <w:footnote w:type="continuationSeparator" w:id="0">
    <w:p w:rsidR="00377F96" w:rsidRDefault="00377F96" w:rsidP="000C4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BE" w:rsidRPr="00A75BBE" w:rsidRDefault="00A75BBE" w:rsidP="00A75BBE">
    <w:pPr>
      <w:tabs>
        <w:tab w:val="center" w:pos="4513"/>
        <w:tab w:val="right" w:pos="9026"/>
      </w:tabs>
      <w:spacing w:after="160" w:line="259" w:lineRule="auto"/>
      <w:rPr>
        <w:rFonts w:ascii="Cambria" w:eastAsia="Calibri" w:hAnsi="Cambria" w:cs="Gautami"/>
        <w:i/>
      </w:rPr>
    </w:pPr>
    <w:r w:rsidRPr="00A75BBE">
      <w:rPr>
        <w:rFonts w:ascii="Cambria" w:eastAsia="Calibri" w:hAnsi="Cambria" w:cs="Gautami"/>
        <w:i/>
      </w:rPr>
      <w:t xml:space="preserve">Indian Journal of Basic and Applied Medical Research; March 2026: Vol.-15, Issue-1, P. </w:t>
    </w:r>
    <w:r w:rsidR="00A04E45">
      <w:rPr>
        <w:rFonts w:ascii="Cambria" w:eastAsia="Calibri" w:hAnsi="Cambria" w:cs="Gautami"/>
        <w:i/>
      </w:rPr>
      <w:t xml:space="preserve">14 – 17 </w:t>
    </w:r>
  </w:p>
  <w:p w:rsidR="000C4309" w:rsidRPr="000C4309" w:rsidRDefault="000C430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70AB6"/>
    <w:multiLevelType w:val="multilevel"/>
    <w:tmpl w:val="30A0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09"/>
    <w:rsid w:val="000C4309"/>
    <w:rsid w:val="002866C6"/>
    <w:rsid w:val="00377F96"/>
    <w:rsid w:val="004B125B"/>
    <w:rsid w:val="006E0F2A"/>
    <w:rsid w:val="00A04E45"/>
    <w:rsid w:val="00A57BBF"/>
    <w:rsid w:val="00A75B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309"/>
  </w:style>
  <w:style w:type="paragraph" w:styleId="Footer">
    <w:name w:val="footer"/>
    <w:basedOn w:val="Normal"/>
    <w:link w:val="FooterChar"/>
    <w:uiPriority w:val="99"/>
    <w:unhideWhenUsed/>
    <w:rsid w:val="000C4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309"/>
  </w:style>
  <w:style w:type="paragraph" w:styleId="BalloonText">
    <w:name w:val="Balloon Text"/>
    <w:basedOn w:val="Normal"/>
    <w:link w:val="BalloonTextChar"/>
    <w:uiPriority w:val="99"/>
    <w:semiHidden/>
    <w:unhideWhenUsed/>
    <w:rsid w:val="000C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309"/>
    <w:rPr>
      <w:rFonts w:ascii="Tahoma" w:hAnsi="Tahoma" w:cs="Tahoma"/>
      <w:sz w:val="16"/>
      <w:szCs w:val="16"/>
    </w:rPr>
  </w:style>
  <w:style w:type="table" w:styleId="TableGrid">
    <w:name w:val="Table Grid"/>
    <w:basedOn w:val="TableNormal"/>
    <w:uiPriority w:val="59"/>
    <w:rsid w:val="000C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75B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75BBE"/>
    <w:rPr>
      <w:b/>
      <w:bCs/>
    </w:rPr>
  </w:style>
  <w:style w:type="character" w:customStyle="1" w:styleId="whitespace-normal">
    <w:name w:val="whitespace-normal"/>
    <w:basedOn w:val="DefaultParagraphFont"/>
    <w:rsid w:val="00A75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309"/>
  </w:style>
  <w:style w:type="paragraph" w:styleId="Footer">
    <w:name w:val="footer"/>
    <w:basedOn w:val="Normal"/>
    <w:link w:val="FooterChar"/>
    <w:uiPriority w:val="99"/>
    <w:unhideWhenUsed/>
    <w:rsid w:val="000C4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309"/>
  </w:style>
  <w:style w:type="paragraph" w:styleId="BalloonText">
    <w:name w:val="Balloon Text"/>
    <w:basedOn w:val="Normal"/>
    <w:link w:val="BalloonTextChar"/>
    <w:uiPriority w:val="99"/>
    <w:semiHidden/>
    <w:unhideWhenUsed/>
    <w:rsid w:val="000C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309"/>
    <w:rPr>
      <w:rFonts w:ascii="Tahoma" w:hAnsi="Tahoma" w:cs="Tahoma"/>
      <w:sz w:val="16"/>
      <w:szCs w:val="16"/>
    </w:rPr>
  </w:style>
  <w:style w:type="table" w:styleId="TableGrid">
    <w:name w:val="Table Grid"/>
    <w:basedOn w:val="TableNormal"/>
    <w:uiPriority w:val="59"/>
    <w:rsid w:val="000C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75BB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75BBE"/>
    <w:rPr>
      <w:b/>
      <w:bCs/>
    </w:rPr>
  </w:style>
  <w:style w:type="character" w:customStyle="1" w:styleId="whitespace-normal">
    <w:name w:val="whitespace-normal"/>
    <w:basedOn w:val="DefaultParagraphFont"/>
    <w:rsid w:val="00A7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09424">
      <w:bodyDiv w:val="1"/>
      <w:marLeft w:val="0"/>
      <w:marRight w:val="0"/>
      <w:marTop w:val="0"/>
      <w:marBottom w:val="0"/>
      <w:divBdr>
        <w:top w:val="none" w:sz="0" w:space="0" w:color="auto"/>
        <w:left w:val="none" w:sz="0" w:space="0" w:color="auto"/>
        <w:bottom w:val="none" w:sz="0" w:space="0" w:color="auto"/>
        <w:right w:val="none" w:sz="0" w:space="0" w:color="auto"/>
      </w:divBdr>
      <w:divsChild>
        <w:div w:id="173570030">
          <w:marLeft w:val="0"/>
          <w:marRight w:val="0"/>
          <w:marTop w:val="0"/>
          <w:marBottom w:val="0"/>
          <w:divBdr>
            <w:top w:val="none" w:sz="0" w:space="0" w:color="auto"/>
            <w:left w:val="none" w:sz="0" w:space="0" w:color="auto"/>
            <w:bottom w:val="none" w:sz="0" w:space="0" w:color="auto"/>
            <w:right w:val="none" w:sz="0" w:space="0" w:color="auto"/>
          </w:divBdr>
          <w:divsChild>
            <w:div w:id="531846564">
              <w:marLeft w:val="0"/>
              <w:marRight w:val="0"/>
              <w:marTop w:val="0"/>
              <w:marBottom w:val="0"/>
              <w:divBdr>
                <w:top w:val="none" w:sz="0" w:space="0" w:color="auto"/>
                <w:left w:val="none" w:sz="0" w:space="0" w:color="auto"/>
                <w:bottom w:val="none" w:sz="0" w:space="0" w:color="auto"/>
                <w:right w:val="none" w:sz="0" w:space="0" w:color="auto"/>
              </w:divBdr>
              <w:divsChild>
                <w:div w:id="655959337">
                  <w:marLeft w:val="0"/>
                  <w:marRight w:val="0"/>
                  <w:marTop w:val="0"/>
                  <w:marBottom w:val="0"/>
                  <w:divBdr>
                    <w:top w:val="none" w:sz="0" w:space="0" w:color="auto"/>
                    <w:left w:val="none" w:sz="0" w:space="0" w:color="auto"/>
                    <w:bottom w:val="none" w:sz="0" w:space="0" w:color="auto"/>
                    <w:right w:val="none" w:sz="0" w:space="0" w:color="auto"/>
                  </w:divBdr>
                  <w:divsChild>
                    <w:div w:id="186604782">
                      <w:marLeft w:val="0"/>
                      <w:marRight w:val="0"/>
                      <w:marTop w:val="0"/>
                      <w:marBottom w:val="0"/>
                      <w:divBdr>
                        <w:top w:val="none" w:sz="0" w:space="0" w:color="auto"/>
                        <w:left w:val="none" w:sz="0" w:space="0" w:color="auto"/>
                        <w:bottom w:val="none" w:sz="0" w:space="0" w:color="auto"/>
                        <w:right w:val="none" w:sz="0" w:space="0" w:color="auto"/>
                      </w:divBdr>
                      <w:divsChild>
                        <w:div w:id="482235461">
                          <w:marLeft w:val="0"/>
                          <w:marRight w:val="0"/>
                          <w:marTop w:val="0"/>
                          <w:marBottom w:val="0"/>
                          <w:divBdr>
                            <w:top w:val="none" w:sz="0" w:space="0" w:color="auto"/>
                            <w:left w:val="none" w:sz="0" w:space="0" w:color="auto"/>
                            <w:bottom w:val="none" w:sz="0" w:space="0" w:color="auto"/>
                            <w:right w:val="none" w:sz="0" w:space="0" w:color="auto"/>
                          </w:divBdr>
                          <w:divsChild>
                            <w:div w:id="29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825295">
      <w:bodyDiv w:val="1"/>
      <w:marLeft w:val="0"/>
      <w:marRight w:val="0"/>
      <w:marTop w:val="0"/>
      <w:marBottom w:val="0"/>
      <w:divBdr>
        <w:top w:val="none" w:sz="0" w:space="0" w:color="auto"/>
        <w:left w:val="none" w:sz="0" w:space="0" w:color="auto"/>
        <w:bottom w:val="none" w:sz="0" w:space="0" w:color="auto"/>
        <w:right w:val="none" w:sz="0" w:space="0" w:color="auto"/>
      </w:divBdr>
    </w:div>
    <w:div w:id="1029259318">
      <w:bodyDiv w:val="1"/>
      <w:marLeft w:val="0"/>
      <w:marRight w:val="0"/>
      <w:marTop w:val="0"/>
      <w:marBottom w:val="0"/>
      <w:divBdr>
        <w:top w:val="none" w:sz="0" w:space="0" w:color="auto"/>
        <w:left w:val="none" w:sz="0" w:space="0" w:color="auto"/>
        <w:bottom w:val="none" w:sz="0" w:space="0" w:color="auto"/>
        <w:right w:val="none" w:sz="0" w:space="0" w:color="auto"/>
      </w:divBdr>
      <w:divsChild>
        <w:div w:id="1547062861">
          <w:marLeft w:val="0"/>
          <w:marRight w:val="0"/>
          <w:marTop w:val="0"/>
          <w:marBottom w:val="0"/>
          <w:divBdr>
            <w:top w:val="none" w:sz="0" w:space="0" w:color="auto"/>
            <w:left w:val="none" w:sz="0" w:space="0" w:color="auto"/>
            <w:bottom w:val="none" w:sz="0" w:space="0" w:color="auto"/>
            <w:right w:val="none" w:sz="0" w:space="0" w:color="auto"/>
          </w:divBdr>
          <w:divsChild>
            <w:div w:id="339427912">
              <w:marLeft w:val="0"/>
              <w:marRight w:val="0"/>
              <w:marTop w:val="0"/>
              <w:marBottom w:val="0"/>
              <w:divBdr>
                <w:top w:val="none" w:sz="0" w:space="0" w:color="auto"/>
                <w:left w:val="none" w:sz="0" w:space="0" w:color="auto"/>
                <w:bottom w:val="none" w:sz="0" w:space="0" w:color="auto"/>
                <w:right w:val="none" w:sz="0" w:space="0" w:color="auto"/>
              </w:divBdr>
            </w:div>
          </w:divsChild>
        </w:div>
        <w:div w:id="67923179">
          <w:marLeft w:val="0"/>
          <w:marRight w:val="0"/>
          <w:marTop w:val="0"/>
          <w:marBottom w:val="0"/>
          <w:divBdr>
            <w:top w:val="none" w:sz="0" w:space="0" w:color="auto"/>
            <w:left w:val="none" w:sz="0" w:space="0" w:color="auto"/>
            <w:bottom w:val="none" w:sz="0" w:space="0" w:color="auto"/>
            <w:right w:val="none" w:sz="0" w:space="0" w:color="auto"/>
          </w:divBdr>
          <w:divsChild>
            <w:div w:id="1516384389">
              <w:marLeft w:val="0"/>
              <w:marRight w:val="0"/>
              <w:marTop w:val="0"/>
              <w:marBottom w:val="0"/>
              <w:divBdr>
                <w:top w:val="none" w:sz="0" w:space="0" w:color="auto"/>
                <w:left w:val="none" w:sz="0" w:space="0" w:color="auto"/>
                <w:bottom w:val="none" w:sz="0" w:space="0" w:color="auto"/>
                <w:right w:val="none" w:sz="0" w:space="0" w:color="auto"/>
              </w:divBdr>
            </w:div>
          </w:divsChild>
        </w:div>
        <w:div w:id="1092363231">
          <w:marLeft w:val="0"/>
          <w:marRight w:val="0"/>
          <w:marTop w:val="0"/>
          <w:marBottom w:val="0"/>
          <w:divBdr>
            <w:top w:val="none" w:sz="0" w:space="0" w:color="auto"/>
            <w:left w:val="none" w:sz="0" w:space="0" w:color="auto"/>
            <w:bottom w:val="none" w:sz="0" w:space="0" w:color="auto"/>
            <w:right w:val="none" w:sz="0" w:space="0" w:color="auto"/>
          </w:divBdr>
          <w:divsChild>
            <w:div w:id="18141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6</cp:revision>
  <cp:lastPrinted>2026-05-04T15:59:00Z</cp:lastPrinted>
  <dcterms:created xsi:type="dcterms:W3CDTF">2026-04-15T06:41:00Z</dcterms:created>
  <dcterms:modified xsi:type="dcterms:W3CDTF">2026-05-04T16:00:00Z</dcterms:modified>
</cp:coreProperties>
</file>