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E7" w:rsidRPr="00830AE7" w:rsidRDefault="00830AE7" w:rsidP="00830AE7">
      <w:pPr>
        <w:spacing w:after="0" w:line="360" w:lineRule="auto"/>
        <w:rPr>
          <w:rFonts w:asciiTheme="majorHAnsi" w:hAnsiTheme="majorHAnsi" w:cs="Times New Roman"/>
          <w:b/>
          <w:sz w:val="24"/>
          <w:szCs w:val="24"/>
          <w:lang w:val="en-US"/>
        </w:rPr>
      </w:pPr>
      <w:r w:rsidRPr="00830AE7">
        <w:rPr>
          <w:rFonts w:asciiTheme="majorHAnsi" w:hAnsiTheme="majorHAnsi" w:cs="Times New Roman"/>
          <w:b/>
          <w:sz w:val="24"/>
          <w:szCs w:val="24"/>
          <w:highlight w:val="lightGray"/>
          <w:lang w:val="en-US"/>
        </w:rPr>
        <w:t>Original article:</w:t>
      </w:r>
    </w:p>
    <w:p w:rsidR="00830AE7" w:rsidRPr="00830AE7" w:rsidRDefault="00A51ABF" w:rsidP="00830AE7">
      <w:pPr>
        <w:spacing w:after="0" w:line="360" w:lineRule="auto"/>
        <w:rPr>
          <w:rFonts w:asciiTheme="majorHAnsi" w:hAnsiTheme="majorHAnsi" w:cs="Times New Roman"/>
          <w:b/>
          <w:color w:val="0070C0"/>
          <w:sz w:val="28"/>
          <w:szCs w:val="28"/>
          <w:shd w:val="clear" w:color="auto" w:fill="FFFFFF"/>
        </w:rPr>
      </w:pPr>
      <w:proofErr w:type="spellStart"/>
      <w:r w:rsidRPr="00830AE7">
        <w:rPr>
          <w:rFonts w:asciiTheme="majorHAnsi" w:hAnsiTheme="majorHAnsi" w:cs="Times New Roman"/>
          <w:b/>
          <w:color w:val="0070C0"/>
          <w:sz w:val="28"/>
          <w:szCs w:val="28"/>
          <w:shd w:val="clear" w:color="auto" w:fill="FFFFFF"/>
        </w:rPr>
        <w:t>Creatine</w:t>
      </w:r>
      <w:proofErr w:type="spellEnd"/>
      <w:r w:rsidRPr="00830AE7">
        <w:rPr>
          <w:rFonts w:asciiTheme="majorHAnsi" w:hAnsiTheme="majorHAnsi" w:cs="Times New Roman"/>
          <w:b/>
          <w:color w:val="0070C0"/>
          <w:sz w:val="28"/>
          <w:szCs w:val="28"/>
          <w:shd w:val="clear" w:color="auto" w:fill="FFFFFF"/>
        </w:rPr>
        <w:t xml:space="preserve"> Kinase MB: An important point of care diagnostic bioma</w:t>
      </w:r>
      <w:r w:rsidR="00830AE7" w:rsidRPr="00830AE7">
        <w:rPr>
          <w:rFonts w:asciiTheme="majorHAnsi" w:hAnsiTheme="majorHAnsi" w:cs="Times New Roman"/>
          <w:b/>
          <w:color w:val="0070C0"/>
          <w:sz w:val="28"/>
          <w:szCs w:val="28"/>
          <w:shd w:val="clear" w:color="auto" w:fill="FFFFFF"/>
        </w:rPr>
        <w:t>rker for cardiovascular disease</w:t>
      </w:r>
    </w:p>
    <w:p w:rsidR="00830AE7" w:rsidRPr="00830AE7" w:rsidRDefault="00830AE7" w:rsidP="00830AE7">
      <w:pPr>
        <w:spacing w:after="0" w:line="360" w:lineRule="auto"/>
        <w:rPr>
          <w:rFonts w:asciiTheme="majorHAnsi" w:hAnsiTheme="majorHAnsi" w:cs="Times New Roman"/>
          <w:b/>
          <w:sz w:val="24"/>
          <w:szCs w:val="24"/>
          <w:shd w:val="clear" w:color="auto" w:fill="FFFFFF"/>
        </w:rPr>
      </w:pPr>
      <w:r w:rsidRPr="00830AE7">
        <w:rPr>
          <w:rFonts w:asciiTheme="majorHAnsi" w:hAnsiTheme="majorHAnsi" w:cs="Times New Roman"/>
          <w:b/>
          <w:sz w:val="24"/>
          <w:szCs w:val="24"/>
          <w:shd w:val="clear" w:color="auto" w:fill="FFFFFF"/>
          <w:vertAlign w:val="superscript"/>
        </w:rPr>
        <w:t>1</w:t>
      </w:r>
      <w:r w:rsidR="00A51ABF" w:rsidRPr="00830AE7">
        <w:rPr>
          <w:rFonts w:asciiTheme="majorHAnsi" w:hAnsiTheme="majorHAnsi" w:cs="Times New Roman"/>
          <w:b/>
          <w:sz w:val="24"/>
          <w:szCs w:val="24"/>
          <w:shd w:val="clear" w:color="auto" w:fill="FFFFFF"/>
        </w:rPr>
        <w:t>Shraddha Singh</w:t>
      </w:r>
      <w:proofErr w:type="gramStart"/>
      <w:r w:rsidR="00A51ABF" w:rsidRPr="00830AE7">
        <w:rPr>
          <w:rFonts w:asciiTheme="majorHAnsi" w:hAnsiTheme="majorHAnsi" w:cs="Times New Roman"/>
          <w:b/>
          <w:sz w:val="24"/>
          <w:szCs w:val="24"/>
          <w:shd w:val="clear" w:color="auto" w:fill="FFFFFF"/>
        </w:rPr>
        <w:t>*</w:t>
      </w:r>
      <w:r w:rsidRPr="00830AE7">
        <w:rPr>
          <w:rFonts w:asciiTheme="majorHAnsi" w:hAnsiTheme="majorHAnsi" w:cs="Times New Roman"/>
          <w:b/>
          <w:sz w:val="24"/>
          <w:szCs w:val="24"/>
          <w:shd w:val="clear" w:color="auto" w:fill="FFFFFF"/>
        </w:rPr>
        <w:t xml:space="preserve"> ,</w:t>
      </w:r>
      <w:proofErr w:type="gramEnd"/>
      <w:r w:rsidRPr="00830AE7">
        <w:rPr>
          <w:rFonts w:asciiTheme="majorHAnsi" w:hAnsiTheme="majorHAnsi" w:cs="Times New Roman"/>
          <w:b/>
          <w:sz w:val="24"/>
          <w:szCs w:val="24"/>
          <w:shd w:val="clear" w:color="auto" w:fill="FFFFFF"/>
        </w:rPr>
        <w:t xml:space="preserve"> </w:t>
      </w:r>
      <w:r w:rsidRPr="00830AE7">
        <w:rPr>
          <w:rFonts w:asciiTheme="majorHAnsi" w:hAnsiTheme="majorHAnsi" w:cs="Times New Roman"/>
          <w:b/>
          <w:sz w:val="24"/>
          <w:szCs w:val="24"/>
          <w:shd w:val="clear" w:color="auto" w:fill="FFFFFF"/>
          <w:vertAlign w:val="superscript"/>
        </w:rPr>
        <w:t>2</w:t>
      </w:r>
      <w:r>
        <w:rPr>
          <w:rFonts w:asciiTheme="majorHAnsi" w:hAnsiTheme="majorHAnsi" w:cs="Times New Roman"/>
          <w:b/>
          <w:sz w:val="24"/>
          <w:szCs w:val="24"/>
          <w:shd w:val="clear" w:color="auto" w:fill="FFFFFF"/>
        </w:rPr>
        <w:t xml:space="preserve">Dr. </w:t>
      </w:r>
      <w:proofErr w:type="spellStart"/>
      <w:r>
        <w:rPr>
          <w:rFonts w:asciiTheme="majorHAnsi" w:hAnsiTheme="majorHAnsi" w:cs="Times New Roman"/>
          <w:b/>
          <w:sz w:val="24"/>
          <w:szCs w:val="24"/>
          <w:shd w:val="clear" w:color="auto" w:fill="FFFFFF"/>
        </w:rPr>
        <w:t>Jusmita</w:t>
      </w:r>
      <w:proofErr w:type="spellEnd"/>
      <w:r>
        <w:rPr>
          <w:rFonts w:asciiTheme="majorHAnsi" w:hAnsiTheme="majorHAnsi" w:cs="Times New Roman"/>
          <w:b/>
          <w:sz w:val="24"/>
          <w:szCs w:val="24"/>
          <w:shd w:val="clear" w:color="auto" w:fill="FFFFFF"/>
        </w:rPr>
        <w:t xml:space="preserve"> </w:t>
      </w:r>
      <w:proofErr w:type="spellStart"/>
      <w:r>
        <w:rPr>
          <w:rFonts w:asciiTheme="majorHAnsi" w:hAnsiTheme="majorHAnsi" w:cs="Times New Roman"/>
          <w:b/>
          <w:sz w:val="24"/>
          <w:szCs w:val="24"/>
          <w:shd w:val="clear" w:color="auto" w:fill="FFFFFF"/>
        </w:rPr>
        <w:t>Dutta</w:t>
      </w:r>
      <w:proofErr w:type="spellEnd"/>
    </w:p>
    <w:p w:rsidR="00A51ABF" w:rsidRPr="00830AE7" w:rsidRDefault="00A51ABF" w:rsidP="00830AE7">
      <w:pPr>
        <w:spacing w:after="0" w:line="360" w:lineRule="auto"/>
        <w:rPr>
          <w:rFonts w:asciiTheme="majorHAnsi" w:hAnsiTheme="majorHAnsi" w:cs="Times New Roman"/>
          <w:sz w:val="24"/>
          <w:szCs w:val="24"/>
          <w:shd w:val="clear" w:color="auto" w:fill="FFFFFF"/>
        </w:rPr>
      </w:pPr>
    </w:p>
    <w:p w:rsidR="00A51ABF" w:rsidRPr="00830AE7" w:rsidRDefault="00830AE7" w:rsidP="00830AE7">
      <w:pPr>
        <w:spacing w:after="0" w:line="360" w:lineRule="auto"/>
        <w:rPr>
          <w:rFonts w:asciiTheme="majorHAnsi" w:hAnsiTheme="majorHAnsi" w:cs="Times New Roman"/>
          <w:sz w:val="18"/>
          <w:szCs w:val="18"/>
          <w:shd w:val="clear" w:color="auto" w:fill="FFFFFF"/>
        </w:rPr>
      </w:pPr>
      <w:r w:rsidRPr="00830AE7">
        <w:rPr>
          <w:rFonts w:asciiTheme="majorHAnsi" w:hAnsiTheme="majorHAnsi" w:cs="Times New Roman"/>
          <w:sz w:val="18"/>
          <w:szCs w:val="18"/>
          <w:shd w:val="clear" w:color="auto" w:fill="FFFFFF"/>
          <w:vertAlign w:val="superscript"/>
        </w:rPr>
        <w:t>1</w:t>
      </w:r>
      <w:r w:rsidR="00A51ABF" w:rsidRPr="00830AE7">
        <w:rPr>
          <w:rFonts w:asciiTheme="majorHAnsi" w:hAnsiTheme="majorHAnsi" w:cs="Times New Roman"/>
          <w:sz w:val="18"/>
          <w:szCs w:val="18"/>
          <w:shd w:val="clear" w:color="auto" w:fill="FFFFFF"/>
        </w:rPr>
        <w:t xml:space="preserve">PhD </w:t>
      </w:r>
      <w:r w:rsidRPr="00830AE7">
        <w:rPr>
          <w:rFonts w:asciiTheme="majorHAnsi" w:hAnsiTheme="majorHAnsi" w:cs="Times New Roman"/>
          <w:sz w:val="18"/>
          <w:szCs w:val="18"/>
          <w:shd w:val="clear" w:color="auto" w:fill="FFFFFF"/>
        </w:rPr>
        <w:t xml:space="preserve">student, </w:t>
      </w:r>
      <w:r w:rsidR="00A51ABF" w:rsidRPr="00830AE7">
        <w:rPr>
          <w:rFonts w:asciiTheme="majorHAnsi" w:hAnsiTheme="majorHAnsi" w:cs="Times New Roman"/>
          <w:sz w:val="18"/>
          <w:szCs w:val="18"/>
          <w:shd w:val="clear" w:color="auto" w:fill="FFFFFF"/>
        </w:rPr>
        <w:t xml:space="preserve">Department of </w:t>
      </w:r>
      <w:r w:rsidRPr="00830AE7">
        <w:rPr>
          <w:rFonts w:asciiTheme="majorHAnsi" w:hAnsiTheme="majorHAnsi" w:cs="Times New Roman"/>
          <w:sz w:val="18"/>
          <w:szCs w:val="18"/>
          <w:shd w:val="clear" w:color="auto" w:fill="FFFFFF"/>
        </w:rPr>
        <w:t xml:space="preserve">Biochemistry, </w:t>
      </w:r>
      <w:r w:rsidR="00A51ABF" w:rsidRPr="00830AE7">
        <w:rPr>
          <w:rFonts w:asciiTheme="majorHAnsi" w:hAnsiTheme="majorHAnsi" w:cs="Times New Roman"/>
          <w:sz w:val="18"/>
          <w:szCs w:val="18"/>
          <w:shd w:val="clear" w:color="auto" w:fill="FFFFFF"/>
        </w:rPr>
        <w:t xml:space="preserve">LN Medical </w:t>
      </w:r>
      <w:r w:rsidRPr="00830AE7">
        <w:rPr>
          <w:rFonts w:asciiTheme="majorHAnsi" w:hAnsiTheme="majorHAnsi" w:cs="Times New Roman"/>
          <w:sz w:val="18"/>
          <w:szCs w:val="18"/>
          <w:shd w:val="clear" w:color="auto" w:fill="FFFFFF"/>
        </w:rPr>
        <w:t xml:space="preserve">College, </w:t>
      </w:r>
      <w:r w:rsidR="00A51ABF" w:rsidRPr="00830AE7">
        <w:rPr>
          <w:rFonts w:asciiTheme="majorHAnsi" w:hAnsiTheme="majorHAnsi" w:cs="Times New Roman"/>
          <w:sz w:val="18"/>
          <w:szCs w:val="18"/>
          <w:shd w:val="clear" w:color="auto" w:fill="FFFFFF"/>
        </w:rPr>
        <w:t>Bhopal</w:t>
      </w:r>
    </w:p>
    <w:p w:rsidR="00A51ABF" w:rsidRPr="00830AE7" w:rsidRDefault="00830AE7" w:rsidP="00830AE7">
      <w:pPr>
        <w:spacing w:after="0" w:line="360" w:lineRule="auto"/>
        <w:rPr>
          <w:rFonts w:asciiTheme="majorHAnsi" w:hAnsiTheme="majorHAnsi" w:cs="Times New Roman"/>
          <w:sz w:val="18"/>
          <w:szCs w:val="18"/>
          <w:shd w:val="clear" w:color="auto" w:fill="FFFFFF"/>
        </w:rPr>
      </w:pPr>
      <w:r w:rsidRPr="00830AE7">
        <w:rPr>
          <w:rFonts w:asciiTheme="majorHAnsi" w:hAnsiTheme="majorHAnsi" w:cs="Times New Roman"/>
          <w:sz w:val="18"/>
          <w:szCs w:val="18"/>
          <w:shd w:val="clear" w:color="auto" w:fill="FFFFFF"/>
          <w:vertAlign w:val="superscript"/>
        </w:rPr>
        <w:t>2</w:t>
      </w:r>
      <w:r w:rsidR="00A51ABF" w:rsidRPr="00830AE7">
        <w:rPr>
          <w:rFonts w:asciiTheme="majorHAnsi" w:hAnsiTheme="majorHAnsi" w:cs="Times New Roman"/>
          <w:sz w:val="18"/>
          <w:szCs w:val="18"/>
          <w:shd w:val="clear" w:color="auto" w:fill="FFFFFF"/>
        </w:rPr>
        <w:t xml:space="preserve">Professor and </w:t>
      </w:r>
      <w:proofErr w:type="gramStart"/>
      <w:r w:rsidR="00A51ABF" w:rsidRPr="00830AE7">
        <w:rPr>
          <w:rFonts w:asciiTheme="majorHAnsi" w:hAnsiTheme="majorHAnsi" w:cs="Times New Roman"/>
          <w:sz w:val="18"/>
          <w:szCs w:val="18"/>
          <w:shd w:val="clear" w:color="auto" w:fill="FFFFFF"/>
        </w:rPr>
        <w:t>Head</w:t>
      </w:r>
      <w:r w:rsidRPr="00830AE7">
        <w:rPr>
          <w:rFonts w:asciiTheme="majorHAnsi" w:hAnsiTheme="majorHAnsi" w:cs="Times New Roman"/>
          <w:sz w:val="18"/>
          <w:szCs w:val="18"/>
          <w:shd w:val="clear" w:color="auto" w:fill="FFFFFF"/>
        </w:rPr>
        <w:t xml:space="preserve"> ,</w:t>
      </w:r>
      <w:proofErr w:type="gramEnd"/>
      <w:r w:rsidRPr="00830AE7">
        <w:rPr>
          <w:rFonts w:asciiTheme="majorHAnsi" w:hAnsiTheme="majorHAnsi" w:cs="Times New Roman"/>
          <w:sz w:val="18"/>
          <w:szCs w:val="18"/>
          <w:shd w:val="clear" w:color="auto" w:fill="FFFFFF"/>
        </w:rPr>
        <w:t xml:space="preserve"> </w:t>
      </w:r>
      <w:r w:rsidR="00A51ABF" w:rsidRPr="00830AE7">
        <w:rPr>
          <w:rFonts w:asciiTheme="majorHAnsi" w:hAnsiTheme="majorHAnsi" w:cs="Times New Roman"/>
          <w:sz w:val="18"/>
          <w:szCs w:val="18"/>
          <w:shd w:val="clear" w:color="auto" w:fill="FFFFFF"/>
        </w:rPr>
        <w:t>Department of Biochemistry</w:t>
      </w:r>
      <w:r w:rsidRPr="00830AE7">
        <w:rPr>
          <w:rFonts w:asciiTheme="majorHAnsi" w:hAnsiTheme="majorHAnsi" w:cs="Times New Roman"/>
          <w:sz w:val="18"/>
          <w:szCs w:val="18"/>
          <w:shd w:val="clear" w:color="auto" w:fill="FFFFFF"/>
        </w:rPr>
        <w:t xml:space="preserve"> , </w:t>
      </w:r>
      <w:r w:rsidR="00A51ABF" w:rsidRPr="00830AE7">
        <w:rPr>
          <w:rFonts w:asciiTheme="majorHAnsi" w:hAnsiTheme="majorHAnsi" w:cs="Times New Roman"/>
          <w:sz w:val="18"/>
          <w:szCs w:val="18"/>
          <w:shd w:val="clear" w:color="auto" w:fill="FFFFFF"/>
        </w:rPr>
        <w:t>LN Medical College</w:t>
      </w:r>
      <w:r w:rsidRPr="00830AE7">
        <w:rPr>
          <w:rFonts w:asciiTheme="majorHAnsi" w:hAnsiTheme="majorHAnsi" w:cs="Times New Roman"/>
          <w:sz w:val="18"/>
          <w:szCs w:val="18"/>
          <w:shd w:val="clear" w:color="auto" w:fill="FFFFFF"/>
        </w:rPr>
        <w:t xml:space="preserve"> , </w:t>
      </w:r>
      <w:r w:rsidR="00A51ABF" w:rsidRPr="00830AE7">
        <w:rPr>
          <w:rFonts w:asciiTheme="majorHAnsi" w:hAnsiTheme="majorHAnsi" w:cs="Times New Roman"/>
          <w:sz w:val="18"/>
          <w:szCs w:val="18"/>
          <w:shd w:val="clear" w:color="auto" w:fill="FFFFFF"/>
        </w:rPr>
        <w:t>Bhopal</w:t>
      </w:r>
    </w:p>
    <w:p w:rsidR="00A51ABF" w:rsidRPr="00830AE7" w:rsidRDefault="00A51ABF" w:rsidP="00830AE7">
      <w:pPr>
        <w:spacing w:after="0" w:line="360" w:lineRule="auto"/>
        <w:rPr>
          <w:rFonts w:asciiTheme="majorHAnsi" w:hAnsiTheme="majorHAnsi" w:cs="Times New Roman"/>
          <w:sz w:val="18"/>
          <w:szCs w:val="18"/>
          <w:shd w:val="clear" w:color="auto" w:fill="FFFFFF"/>
        </w:rPr>
      </w:pPr>
      <w:r w:rsidRPr="00830AE7">
        <w:rPr>
          <w:rFonts w:asciiTheme="majorHAnsi" w:hAnsiTheme="majorHAnsi" w:cs="Times New Roman"/>
          <w:sz w:val="18"/>
          <w:szCs w:val="18"/>
          <w:shd w:val="clear" w:color="auto" w:fill="FFFFFF"/>
        </w:rPr>
        <w:t xml:space="preserve">Corresponding </w:t>
      </w:r>
      <w:proofErr w:type="gramStart"/>
      <w:r w:rsidRPr="00830AE7">
        <w:rPr>
          <w:rFonts w:asciiTheme="majorHAnsi" w:hAnsiTheme="majorHAnsi" w:cs="Times New Roman"/>
          <w:sz w:val="18"/>
          <w:szCs w:val="18"/>
          <w:shd w:val="clear" w:color="auto" w:fill="FFFFFF"/>
        </w:rPr>
        <w:t>author</w:t>
      </w:r>
      <w:r w:rsidR="00830AE7" w:rsidRPr="00830AE7">
        <w:rPr>
          <w:rFonts w:asciiTheme="majorHAnsi" w:hAnsiTheme="majorHAnsi" w:cs="Times New Roman"/>
          <w:sz w:val="18"/>
          <w:szCs w:val="18"/>
          <w:shd w:val="clear" w:color="auto" w:fill="FFFFFF"/>
        </w:rPr>
        <w:t xml:space="preserve"> :</w:t>
      </w:r>
      <w:proofErr w:type="gramEnd"/>
      <w:r w:rsidR="00830AE7" w:rsidRPr="00830AE7">
        <w:rPr>
          <w:rFonts w:asciiTheme="majorHAnsi" w:hAnsiTheme="majorHAnsi" w:cs="Times New Roman"/>
          <w:sz w:val="18"/>
          <w:szCs w:val="18"/>
          <w:shd w:val="clear" w:color="auto" w:fill="FFFFFF"/>
        </w:rPr>
        <w:t xml:space="preserve"> </w:t>
      </w:r>
      <w:proofErr w:type="spellStart"/>
      <w:r w:rsidRPr="00830AE7">
        <w:rPr>
          <w:rFonts w:asciiTheme="majorHAnsi" w:hAnsiTheme="majorHAnsi" w:cs="Times New Roman"/>
          <w:sz w:val="18"/>
          <w:szCs w:val="18"/>
          <w:shd w:val="clear" w:color="auto" w:fill="FFFFFF"/>
        </w:rPr>
        <w:t>Shraddha</w:t>
      </w:r>
      <w:proofErr w:type="spellEnd"/>
      <w:r w:rsidRPr="00830AE7">
        <w:rPr>
          <w:rFonts w:asciiTheme="majorHAnsi" w:hAnsiTheme="majorHAnsi" w:cs="Times New Roman"/>
          <w:sz w:val="18"/>
          <w:szCs w:val="18"/>
          <w:shd w:val="clear" w:color="auto" w:fill="FFFFFF"/>
        </w:rPr>
        <w:t xml:space="preserve"> Singh*</w:t>
      </w:r>
    </w:p>
    <w:p w:rsidR="00830AE7" w:rsidRPr="00830AE7" w:rsidRDefault="00830AE7" w:rsidP="00A51ABF">
      <w:pPr>
        <w:spacing w:line="360" w:lineRule="auto"/>
        <w:jc w:val="both"/>
        <w:rPr>
          <w:rFonts w:ascii="Times New Roman" w:hAnsi="Times New Roman" w:cs="Times New Roman"/>
          <w:sz w:val="24"/>
          <w:szCs w:val="24"/>
          <w:shd w:val="clear" w:color="auto" w:fill="FFFFFF"/>
        </w:rPr>
      </w:pPr>
      <w:bookmarkStart w:id="0" w:name="_GoBack"/>
    </w:p>
    <w:p w:rsidR="00A51ABF" w:rsidRPr="00830AE7" w:rsidRDefault="00A51ABF" w:rsidP="00830AE7">
      <w:pPr>
        <w:spacing w:after="0" w:line="360" w:lineRule="auto"/>
        <w:jc w:val="both"/>
        <w:rPr>
          <w:rFonts w:ascii="Times New Roman" w:hAnsi="Times New Roman" w:cs="Times New Roman"/>
          <w:b/>
          <w:sz w:val="20"/>
          <w:szCs w:val="20"/>
          <w:shd w:val="clear" w:color="auto" w:fill="FFFFFF"/>
        </w:rPr>
      </w:pPr>
      <w:r w:rsidRPr="00830AE7">
        <w:rPr>
          <w:rFonts w:ascii="Times New Roman" w:hAnsi="Times New Roman" w:cs="Times New Roman"/>
          <w:b/>
          <w:sz w:val="20"/>
          <w:szCs w:val="20"/>
          <w:shd w:val="clear" w:color="auto" w:fill="FFFFFF"/>
        </w:rPr>
        <w:t>Abstract</w:t>
      </w:r>
    </w:p>
    <w:bookmarkEnd w:id="0"/>
    <w:p w:rsidR="00830AE7" w:rsidRDefault="00A51ABF" w:rsidP="00830AE7">
      <w:pPr>
        <w:spacing w:after="0" w:line="360" w:lineRule="auto"/>
        <w:ind w:right="288"/>
        <w:jc w:val="both"/>
        <w:rPr>
          <w:rFonts w:ascii="Times New Roman" w:hAnsi="Times New Roman" w:cs="Times New Roman"/>
          <w:sz w:val="18"/>
          <w:szCs w:val="18"/>
          <w:shd w:val="clear" w:color="auto" w:fill="FFFFFF"/>
        </w:rPr>
      </w:pPr>
      <w:r w:rsidRPr="00830AE7">
        <w:rPr>
          <w:rFonts w:ascii="Times New Roman" w:hAnsi="Times New Roman" w:cs="Times New Roman"/>
          <w:b/>
          <w:sz w:val="18"/>
          <w:szCs w:val="18"/>
          <w:shd w:val="clear" w:color="auto" w:fill="FFFFFF"/>
        </w:rPr>
        <w:t xml:space="preserve">Background: </w:t>
      </w:r>
      <w:r w:rsidRPr="00830AE7">
        <w:rPr>
          <w:rFonts w:ascii="Times New Roman" w:hAnsi="Times New Roman" w:cs="Times New Roman"/>
          <w:bCs/>
          <w:sz w:val="18"/>
          <w:szCs w:val="18"/>
          <w:lang w:val="en-US"/>
        </w:rPr>
        <w:t xml:space="preserve">Inflammation and oxidative stress is one of the important of mechanisms proposed for </w:t>
      </w:r>
      <w:r w:rsidRPr="00830AE7">
        <w:rPr>
          <w:rFonts w:ascii="Times New Roman" w:hAnsi="Times New Roman" w:cs="Times New Roman"/>
          <w:sz w:val="18"/>
          <w:szCs w:val="18"/>
        </w:rPr>
        <w:t>cardiovascular disease (</w:t>
      </w:r>
      <w:r w:rsidRPr="00830AE7">
        <w:rPr>
          <w:rFonts w:ascii="Times New Roman" w:hAnsi="Times New Roman" w:cs="Times New Roman"/>
          <w:bCs/>
          <w:sz w:val="18"/>
          <w:szCs w:val="18"/>
          <w:lang w:val="en-US"/>
        </w:rPr>
        <w:t xml:space="preserve">CVD). </w:t>
      </w:r>
      <w:r w:rsidRPr="00830AE7">
        <w:rPr>
          <w:rFonts w:ascii="Times New Roman" w:hAnsi="Times New Roman" w:cs="Times New Roman"/>
          <w:sz w:val="18"/>
          <w:szCs w:val="18"/>
        </w:rPr>
        <w:t xml:space="preserve">Early diagnosis of CVD is critically important for successful treatment and recovery of patients. </w:t>
      </w:r>
      <w:proofErr w:type="spellStart"/>
      <w:r w:rsidRPr="00830AE7">
        <w:rPr>
          <w:rFonts w:ascii="Times New Roman" w:hAnsi="Times New Roman" w:cs="Times New Roman"/>
          <w:sz w:val="18"/>
          <w:szCs w:val="18"/>
          <w:shd w:val="clear" w:color="auto" w:fill="FFFFFF"/>
        </w:rPr>
        <w:t>Creatine</w:t>
      </w:r>
      <w:proofErr w:type="spellEnd"/>
      <w:r w:rsidRPr="00830AE7">
        <w:rPr>
          <w:rFonts w:ascii="Times New Roman" w:hAnsi="Times New Roman" w:cs="Times New Roman"/>
          <w:sz w:val="18"/>
          <w:szCs w:val="18"/>
          <w:shd w:val="clear" w:color="auto" w:fill="FFFFFF"/>
        </w:rPr>
        <w:t xml:space="preserve"> Kinase MB (CK-MB) is an example of earliest biomarker of cardiac dysfunction. </w:t>
      </w:r>
    </w:p>
    <w:p w:rsidR="00830AE7" w:rsidRPr="00830AE7" w:rsidRDefault="00A51ABF" w:rsidP="00830AE7">
      <w:pPr>
        <w:spacing w:after="0" w:line="360" w:lineRule="auto"/>
        <w:ind w:right="288"/>
        <w:jc w:val="both"/>
        <w:rPr>
          <w:rFonts w:ascii="Times New Roman" w:hAnsi="Times New Roman" w:cs="Times New Roman"/>
          <w:bCs/>
          <w:sz w:val="18"/>
          <w:szCs w:val="18"/>
          <w:lang w:val="en-US"/>
        </w:rPr>
      </w:pPr>
      <w:r w:rsidRPr="00830AE7">
        <w:rPr>
          <w:rFonts w:ascii="Times New Roman" w:hAnsi="Times New Roman" w:cs="Times New Roman"/>
          <w:b/>
          <w:sz w:val="18"/>
          <w:szCs w:val="18"/>
          <w:shd w:val="clear" w:color="auto" w:fill="FFFFFF"/>
        </w:rPr>
        <w:t>Aim:</w:t>
      </w:r>
      <w:r w:rsidRPr="00830AE7">
        <w:rPr>
          <w:rFonts w:ascii="Times New Roman" w:hAnsi="Times New Roman" w:cs="Times New Roman"/>
          <w:bCs/>
          <w:sz w:val="18"/>
          <w:szCs w:val="18"/>
          <w:lang w:val="en-US"/>
        </w:rPr>
        <w:t xml:space="preserve"> To evaluate the diagnostic role of CK-MB in patients with CVD. </w:t>
      </w:r>
    </w:p>
    <w:p w:rsidR="00830AE7" w:rsidRPr="00830AE7" w:rsidRDefault="00A51ABF" w:rsidP="00830AE7">
      <w:pPr>
        <w:spacing w:after="0" w:line="360" w:lineRule="auto"/>
        <w:ind w:right="288"/>
        <w:jc w:val="both"/>
        <w:rPr>
          <w:rFonts w:ascii="Times New Roman" w:hAnsi="Times New Roman" w:cs="Times New Roman"/>
          <w:bCs/>
          <w:sz w:val="18"/>
          <w:szCs w:val="18"/>
          <w:lang w:val="en-US"/>
        </w:rPr>
      </w:pPr>
      <w:r w:rsidRPr="00830AE7">
        <w:rPr>
          <w:rFonts w:ascii="Times New Roman" w:hAnsi="Times New Roman" w:cs="Times New Roman"/>
          <w:b/>
          <w:bCs/>
          <w:sz w:val="18"/>
          <w:szCs w:val="18"/>
          <w:lang w:val="en-US"/>
        </w:rPr>
        <w:t>Methods:</w:t>
      </w:r>
      <w:r w:rsidRPr="00830AE7">
        <w:rPr>
          <w:rFonts w:ascii="Times New Roman" w:hAnsi="Times New Roman" w:cs="Times New Roman"/>
          <w:bCs/>
          <w:sz w:val="18"/>
          <w:szCs w:val="18"/>
          <w:lang w:val="en-US"/>
        </w:rPr>
        <w:t xml:space="preserve"> A total 150 clinically diagnosed CVD patients belonging age group 40-60 years and admitted to medicine wards and ICUs were included in the study. Additionally, a total of 150, age matched healthy individuals with no clinical or family history of CVD were recruited as controls. CK-MB test was done by an automated VIDAS instrument using ELFA technique (Enzyme Linked Fluorescent Assay). Other biochemical parameters studied included renal function tests, HbA1c and lipid profile.</w:t>
      </w:r>
    </w:p>
    <w:p w:rsidR="00830AE7" w:rsidRPr="00830AE7" w:rsidRDefault="00A51ABF" w:rsidP="00830AE7">
      <w:pPr>
        <w:spacing w:after="0" w:line="360" w:lineRule="auto"/>
        <w:ind w:right="288"/>
        <w:jc w:val="both"/>
        <w:rPr>
          <w:rFonts w:ascii="Times New Roman" w:hAnsi="Times New Roman" w:cs="Times New Roman"/>
          <w:bCs/>
          <w:sz w:val="18"/>
          <w:szCs w:val="18"/>
          <w:lang w:val="en-US"/>
        </w:rPr>
      </w:pPr>
      <w:r w:rsidRPr="00830AE7">
        <w:rPr>
          <w:rFonts w:ascii="Times New Roman" w:hAnsi="Times New Roman" w:cs="Times New Roman"/>
          <w:bCs/>
          <w:sz w:val="18"/>
          <w:szCs w:val="18"/>
          <w:lang w:val="en-US"/>
        </w:rPr>
        <w:t xml:space="preserve"> </w:t>
      </w:r>
      <w:r w:rsidRPr="00830AE7">
        <w:rPr>
          <w:rFonts w:ascii="Times New Roman" w:hAnsi="Times New Roman" w:cs="Times New Roman"/>
          <w:b/>
          <w:bCs/>
          <w:sz w:val="18"/>
          <w:szCs w:val="18"/>
          <w:lang w:val="en-US"/>
        </w:rPr>
        <w:t>Results:</w:t>
      </w:r>
      <w:r w:rsidRPr="00830AE7">
        <w:rPr>
          <w:rFonts w:ascii="Times New Roman" w:hAnsi="Times New Roman" w:cs="Times New Roman"/>
          <w:bCs/>
          <w:sz w:val="18"/>
          <w:szCs w:val="18"/>
          <w:lang w:val="en-US"/>
        </w:rPr>
        <w:t xml:space="preserve"> CVD was found to be significantly associated with male gender compared to female. The BMI of CVD patients (</w:t>
      </w:r>
      <w:r w:rsidRPr="00830AE7">
        <w:rPr>
          <w:rFonts w:ascii="Times New Roman" w:hAnsi="Times New Roman" w:cs="Times New Roman"/>
          <w:bCs/>
          <w:kern w:val="24"/>
          <w:sz w:val="18"/>
          <w:szCs w:val="18"/>
          <w:lang w:val="en-US"/>
        </w:rPr>
        <w:t>29.05 ± 2.01</w:t>
      </w:r>
      <w:r w:rsidRPr="00830AE7">
        <w:rPr>
          <w:rFonts w:ascii="Times New Roman" w:hAnsi="Times New Roman" w:cs="Times New Roman"/>
          <w:bCs/>
          <w:sz w:val="18"/>
          <w:szCs w:val="18"/>
          <w:lang w:val="en-US"/>
        </w:rPr>
        <w:t>) was significantly high as compared to healthy individuals (</w:t>
      </w:r>
      <w:r w:rsidRPr="00830AE7">
        <w:rPr>
          <w:rFonts w:ascii="Times New Roman" w:hAnsi="Times New Roman" w:cs="Times New Roman"/>
          <w:bCs/>
          <w:kern w:val="24"/>
          <w:sz w:val="18"/>
          <w:szCs w:val="18"/>
          <w:lang w:val="en-US"/>
        </w:rPr>
        <w:t>23.10 ± 2.38</w:t>
      </w:r>
      <w:r w:rsidRPr="00830AE7">
        <w:rPr>
          <w:rFonts w:ascii="Times New Roman" w:hAnsi="Times New Roman" w:cs="Times New Roman"/>
          <w:bCs/>
          <w:sz w:val="18"/>
          <w:szCs w:val="18"/>
          <w:lang w:val="en-US"/>
        </w:rPr>
        <w:t xml:space="preserve">). Dyslipidemia was significantly associated with CVD patients. CK-MB level was significantly increased in CVD patients compared to healthy individuals. </w:t>
      </w:r>
    </w:p>
    <w:p w:rsidR="00A51ABF" w:rsidRPr="00830AE7" w:rsidRDefault="00A51ABF" w:rsidP="00830AE7">
      <w:pPr>
        <w:spacing w:after="0" w:line="360" w:lineRule="auto"/>
        <w:ind w:right="288"/>
        <w:jc w:val="both"/>
        <w:rPr>
          <w:rFonts w:ascii="Times New Roman" w:hAnsi="Times New Roman" w:cs="Times New Roman"/>
          <w:bCs/>
          <w:sz w:val="18"/>
          <w:szCs w:val="18"/>
          <w:lang w:val="en-US"/>
        </w:rPr>
      </w:pPr>
      <w:r w:rsidRPr="00830AE7">
        <w:rPr>
          <w:rFonts w:ascii="Times New Roman" w:hAnsi="Times New Roman" w:cs="Times New Roman"/>
          <w:b/>
          <w:bCs/>
          <w:sz w:val="18"/>
          <w:szCs w:val="18"/>
          <w:lang w:val="en-US"/>
        </w:rPr>
        <w:t>Conclusion:</w:t>
      </w:r>
      <w:r w:rsidRPr="00830AE7">
        <w:rPr>
          <w:rFonts w:ascii="Times New Roman" w:hAnsi="Times New Roman" w:cs="Times New Roman"/>
          <w:bCs/>
          <w:sz w:val="18"/>
          <w:szCs w:val="18"/>
          <w:lang w:val="en-US"/>
        </w:rPr>
        <w:t xml:space="preserve"> Early detection and treatment of CVD is very important to prevent death associated with it. Various biomarkers have been identified for early and accurate diagnosis of CVD. CK-MB can be effectively utilized as an important biomarker for diagnosis of CVD.</w:t>
      </w:r>
    </w:p>
    <w:p w:rsidR="00A51ABF" w:rsidRPr="00830AE7" w:rsidRDefault="00A51ABF" w:rsidP="00830AE7">
      <w:pPr>
        <w:spacing w:after="0" w:line="360" w:lineRule="auto"/>
        <w:ind w:right="288"/>
        <w:jc w:val="both"/>
        <w:rPr>
          <w:rFonts w:ascii="Times New Roman" w:hAnsi="Times New Roman" w:cs="Times New Roman"/>
          <w:bCs/>
          <w:sz w:val="18"/>
          <w:szCs w:val="18"/>
          <w:lang w:val="en-US"/>
        </w:rPr>
      </w:pPr>
      <w:r w:rsidRPr="00830AE7">
        <w:rPr>
          <w:rFonts w:ascii="Times New Roman" w:hAnsi="Times New Roman" w:cs="Times New Roman"/>
          <w:b/>
          <w:bCs/>
          <w:sz w:val="18"/>
          <w:szCs w:val="18"/>
          <w:lang w:val="en-US"/>
        </w:rPr>
        <w:t>Key words</w:t>
      </w:r>
      <w:r w:rsidRPr="00830AE7">
        <w:rPr>
          <w:rFonts w:ascii="Times New Roman" w:hAnsi="Times New Roman" w:cs="Times New Roman"/>
          <w:bCs/>
          <w:sz w:val="18"/>
          <w:szCs w:val="18"/>
          <w:lang w:val="en-US"/>
        </w:rPr>
        <w:t xml:space="preserve">: Biomarker, </w:t>
      </w:r>
      <w:r w:rsidRPr="00830AE7">
        <w:rPr>
          <w:rFonts w:ascii="Times New Roman" w:hAnsi="Times New Roman" w:cs="Times New Roman"/>
          <w:sz w:val="18"/>
          <w:szCs w:val="18"/>
        </w:rPr>
        <w:t xml:space="preserve">cardiovascular disease, </w:t>
      </w:r>
      <w:proofErr w:type="spellStart"/>
      <w:r w:rsidRPr="00830AE7">
        <w:rPr>
          <w:rFonts w:ascii="Times New Roman" w:hAnsi="Times New Roman" w:cs="Times New Roman"/>
          <w:sz w:val="18"/>
          <w:szCs w:val="18"/>
          <w:shd w:val="clear" w:color="auto" w:fill="FFFFFF"/>
        </w:rPr>
        <w:t>creatine</w:t>
      </w:r>
      <w:proofErr w:type="spellEnd"/>
      <w:r w:rsidRPr="00830AE7">
        <w:rPr>
          <w:rFonts w:ascii="Times New Roman" w:hAnsi="Times New Roman" w:cs="Times New Roman"/>
          <w:sz w:val="18"/>
          <w:szCs w:val="18"/>
          <w:shd w:val="clear" w:color="auto" w:fill="FFFFFF"/>
        </w:rPr>
        <w:t xml:space="preserve"> Kinase MB, </w:t>
      </w:r>
      <w:r w:rsidRPr="00830AE7">
        <w:rPr>
          <w:rFonts w:ascii="Times New Roman" w:hAnsi="Times New Roman" w:cs="Times New Roman"/>
          <w:bCs/>
          <w:sz w:val="18"/>
          <w:szCs w:val="18"/>
          <w:lang w:val="en-US"/>
        </w:rPr>
        <w:t>dyslipidemia</w:t>
      </w:r>
    </w:p>
    <w:p w:rsidR="00A51ABF" w:rsidRPr="00830AE7" w:rsidRDefault="00A51ABF" w:rsidP="00830AE7">
      <w:pPr>
        <w:spacing w:after="0" w:line="360" w:lineRule="auto"/>
        <w:jc w:val="both"/>
        <w:rPr>
          <w:rFonts w:ascii="Times New Roman" w:hAnsi="Times New Roman" w:cs="Times New Roman"/>
          <w:b/>
          <w:sz w:val="20"/>
          <w:szCs w:val="20"/>
          <w:shd w:val="clear" w:color="auto" w:fill="FFFFFF"/>
        </w:rPr>
      </w:pPr>
    </w:p>
    <w:p w:rsidR="00A51ABF" w:rsidRPr="00830AE7" w:rsidRDefault="00A51ABF" w:rsidP="00830AE7">
      <w:pPr>
        <w:spacing w:after="0" w:line="360" w:lineRule="auto"/>
        <w:jc w:val="both"/>
        <w:rPr>
          <w:rFonts w:ascii="Times New Roman" w:hAnsi="Times New Roman" w:cs="Times New Roman"/>
          <w:b/>
          <w:sz w:val="20"/>
          <w:szCs w:val="20"/>
          <w:lang w:val="en-US"/>
        </w:rPr>
      </w:pPr>
      <w:r w:rsidRPr="00830AE7">
        <w:rPr>
          <w:rFonts w:ascii="Times New Roman" w:hAnsi="Times New Roman" w:cs="Times New Roman"/>
          <w:b/>
          <w:sz w:val="20"/>
          <w:szCs w:val="20"/>
          <w:lang w:val="en-US"/>
        </w:rPr>
        <w:t>Introduction.</w:t>
      </w:r>
    </w:p>
    <w:p w:rsidR="00A51ABF" w:rsidRPr="00830AE7" w:rsidRDefault="00A51ABF" w:rsidP="00830AE7">
      <w:pPr>
        <w:spacing w:after="0" w:line="360" w:lineRule="auto"/>
        <w:jc w:val="both"/>
        <w:rPr>
          <w:rFonts w:ascii="Times New Roman" w:hAnsi="Times New Roman" w:cs="Times New Roman"/>
          <w:sz w:val="20"/>
          <w:szCs w:val="20"/>
          <w:shd w:val="clear" w:color="auto" w:fill="FFFFFF"/>
        </w:rPr>
      </w:pPr>
      <w:r w:rsidRPr="00830AE7">
        <w:rPr>
          <w:rFonts w:ascii="Times New Roman" w:hAnsi="Times New Roman" w:cs="Times New Roman"/>
          <w:sz w:val="20"/>
          <w:szCs w:val="20"/>
          <w:lang w:val="en-US"/>
        </w:rPr>
        <w:t xml:space="preserve">Only few decades back cardiovascular disease (CVD) was considered as a disease of </w:t>
      </w:r>
      <w:r w:rsidRPr="00830AE7">
        <w:rPr>
          <w:rFonts w:ascii="Times New Roman" w:hAnsi="Times New Roman" w:cs="Times New Roman"/>
          <w:sz w:val="20"/>
          <w:szCs w:val="20"/>
          <w:shd w:val="clear" w:color="auto" w:fill="FFFFFF"/>
        </w:rPr>
        <w:t>wealthy, industrialized societies.</w:t>
      </w:r>
      <w:r w:rsidRPr="00830AE7">
        <w:rPr>
          <w:rFonts w:ascii="Times New Roman" w:hAnsi="Times New Roman" w:cs="Times New Roman"/>
          <w:sz w:val="20"/>
          <w:szCs w:val="20"/>
          <w:shd w:val="clear" w:color="auto" w:fill="FFFFFF"/>
          <w:vertAlign w:val="superscript"/>
        </w:rPr>
        <w:t>1</w:t>
      </w:r>
      <w:r w:rsidRPr="00830AE7">
        <w:rPr>
          <w:rFonts w:ascii="Times New Roman" w:hAnsi="Times New Roman" w:cs="Times New Roman"/>
          <w:sz w:val="20"/>
          <w:szCs w:val="20"/>
          <w:shd w:val="clear" w:color="auto" w:fill="FFFFFF"/>
        </w:rPr>
        <w:t> In recent years, it is witnessed that the epidemic of CVD has migrated from westernized societies to developing countries.</w:t>
      </w:r>
      <w:r w:rsidRPr="00830AE7">
        <w:rPr>
          <w:rFonts w:ascii="Times New Roman" w:hAnsi="Times New Roman" w:cs="Times New Roman"/>
          <w:sz w:val="20"/>
          <w:szCs w:val="20"/>
          <w:shd w:val="clear" w:color="auto" w:fill="FFFFFF"/>
          <w:vertAlign w:val="superscript"/>
        </w:rPr>
        <w:t>2</w:t>
      </w:r>
      <w:r w:rsidRPr="00830AE7">
        <w:rPr>
          <w:rFonts w:ascii="Times New Roman" w:hAnsi="Times New Roman" w:cs="Times New Roman"/>
          <w:sz w:val="20"/>
          <w:szCs w:val="20"/>
          <w:shd w:val="clear" w:color="auto" w:fill="FFFFFF"/>
        </w:rPr>
        <w:t xml:space="preserve"> Nearly 80% of deaths due to CVD occur in developing countries.</w:t>
      </w:r>
      <w:r w:rsidR="00830AE7">
        <w:rPr>
          <w:rFonts w:ascii="Times New Roman" w:hAnsi="Times New Roman" w:cs="Times New Roman"/>
          <w:sz w:val="20"/>
          <w:szCs w:val="20"/>
          <w:shd w:val="clear" w:color="auto" w:fill="FFFFFF"/>
        </w:rPr>
        <w:t xml:space="preserve"> </w:t>
      </w:r>
      <w:r w:rsidRPr="00830AE7">
        <w:rPr>
          <w:rFonts w:ascii="Times New Roman" w:hAnsi="Times New Roman" w:cs="Times New Roman"/>
          <w:sz w:val="20"/>
          <w:szCs w:val="20"/>
          <w:shd w:val="clear" w:color="auto" w:fill="FFFFFF"/>
        </w:rPr>
        <w:t>Hypertension, hyperlipidaemia, smoking, obesity and genetic predisposition are identified as important risk factors for CVD.</w:t>
      </w:r>
      <w:r w:rsidRPr="00830AE7">
        <w:rPr>
          <w:rFonts w:ascii="Times New Roman" w:hAnsi="Times New Roman" w:cs="Times New Roman"/>
          <w:sz w:val="20"/>
          <w:szCs w:val="20"/>
          <w:shd w:val="clear" w:color="auto" w:fill="FFFFFF"/>
          <w:vertAlign w:val="superscript"/>
        </w:rPr>
        <w:t>3 </w:t>
      </w:r>
      <w:r w:rsidRPr="00830AE7">
        <w:rPr>
          <w:rFonts w:ascii="Times New Roman" w:hAnsi="Times New Roman" w:cs="Times New Roman"/>
          <w:sz w:val="20"/>
          <w:szCs w:val="20"/>
        </w:rPr>
        <w:t>In addition to these, emotional factors like stress and anxiety and the environmental issues play a significant role to increase the rates of CVD in developing countries.</w:t>
      </w:r>
      <w:r w:rsidRPr="00830AE7">
        <w:rPr>
          <w:rFonts w:ascii="Times New Roman" w:hAnsi="Times New Roman" w:cs="Times New Roman"/>
          <w:sz w:val="20"/>
          <w:szCs w:val="20"/>
          <w:vertAlign w:val="superscript"/>
        </w:rPr>
        <w:t xml:space="preserve"> 4</w:t>
      </w:r>
      <w:r w:rsidR="00830AE7">
        <w:rPr>
          <w:rFonts w:ascii="Times New Roman" w:hAnsi="Times New Roman" w:cs="Times New Roman"/>
          <w:sz w:val="20"/>
          <w:szCs w:val="20"/>
          <w:shd w:val="clear" w:color="auto" w:fill="FFFFFF"/>
        </w:rPr>
        <w:t xml:space="preserve"> </w:t>
      </w:r>
      <w:r w:rsidRPr="00830AE7">
        <w:rPr>
          <w:rFonts w:ascii="Times New Roman" w:hAnsi="Times New Roman" w:cs="Times New Roman"/>
          <w:sz w:val="20"/>
          <w:szCs w:val="20"/>
          <w:shd w:val="clear" w:color="auto" w:fill="FFFFFF"/>
        </w:rPr>
        <w:t>As overall mechanism of CVD is complex with multiple of biological pathways involved, several mechanisms are considered to be involved in its pathophysiology.</w:t>
      </w:r>
      <w:r w:rsidRPr="00830AE7">
        <w:rPr>
          <w:rFonts w:ascii="Times New Roman" w:hAnsi="Times New Roman" w:cs="Times New Roman"/>
          <w:sz w:val="20"/>
          <w:szCs w:val="20"/>
          <w:vertAlign w:val="superscript"/>
        </w:rPr>
        <w:t xml:space="preserve"> 5</w:t>
      </w:r>
      <w:r w:rsidRPr="00830AE7">
        <w:rPr>
          <w:rFonts w:ascii="Times New Roman" w:hAnsi="Times New Roman" w:cs="Times New Roman"/>
          <w:sz w:val="20"/>
          <w:szCs w:val="20"/>
          <w:shd w:val="clear" w:color="auto" w:fill="FFFFFF"/>
        </w:rPr>
        <w:t xml:space="preserve"> </w:t>
      </w:r>
      <w:r w:rsidRPr="00830AE7">
        <w:rPr>
          <w:rFonts w:ascii="Times New Roman" w:hAnsi="Times New Roman" w:cs="Times New Roman"/>
          <w:bCs/>
          <w:sz w:val="20"/>
          <w:szCs w:val="20"/>
          <w:lang w:val="en-US"/>
        </w:rPr>
        <w:t xml:space="preserve">Inflammation and oxidative stress is one of the important of mechanisms proposed for CVD. </w:t>
      </w:r>
      <w:r w:rsidRPr="00830AE7">
        <w:rPr>
          <w:rFonts w:ascii="Times New Roman" w:hAnsi="Times New Roman" w:cs="Times New Roman"/>
          <w:sz w:val="20"/>
          <w:szCs w:val="20"/>
        </w:rPr>
        <w:t>Early diagnosis of cardiovascular disease (CVD) is critically important for successful treatment and recovery of patients.</w:t>
      </w:r>
      <w:r w:rsidRPr="00830AE7">
        <w:rPr>
          <w:rFonts w:ascii="Times New Roman" w:hAnsi="Times New Roman" w:cs="Times New Roman"/>
          <w:sz w:val="20"/>
          <w:szCs w:val="20"/>
          <w:vertAlign w:val="superscript"/>
        </w:rPr>
        <w:t>6</w:t>
      </w:r>
      <w:r w:rsidRPr="00830AE7">
        <w:rPr>
          <w:rFonts w:ascii="Times New Roman" w:hAnsi="Times New Roman" w:cs="Times New Roman"/>
          <w:sz w:val="20"/>
          <w:szCs w:val="20"/>
          <w:shd w:val="clear" w:color="auto" w:fill="FFFFFF"/>
        </w:rPr>
        <w:t xml:space="preserve"> </w:t>
      </w:r>
    </w:p>
    <w:p w:rsidR="00A51ABF" w:rsidRPr="00830AE7" w:rsidRDefault="00A51ABF" w:rsidP="00830AE7">
      <w:pPr>
        <w:spacing w:after="0" w:line="360" w:lineRule="auto"/>
        <w:jc w:val="both"/>
        <w:rPr>
          <w:rFonts w:ascii="Times New Roman" w:hAnsi="Times New Roman" w:cs="Times New Roman"/>
          <w:sz w:val="20"/>
          <w:szCs w:val="20"/>
          <w:shd w:val="clear" w:color="auto" w:fill="FFFFFF"/>
        </w:rPr>
      </w:pPr>
      <w:r w:rsidRPr="00830AE7">
        <w:rPr>
          <w:rFonts w:ascii="Times New Roman" w:hAnsi="Times New Roman" w:cs="Times New Roman"/>
          <w:sz w:val="20"/>
          <w:szCs w:val="20"/>
          <w:shd w:val="clear" w:color="auto" w:fill="FFFFFF"/>
        </w:rPr>
        <w:lastRenderedPageBreak/>
        <w:t xml:space="preserve">In recent years multitudes of biomarkers are used for rapid and precise diagnosis of CVD. As per definition biomarker is </w:t>
      </w:r>
      <w:r w:rsidRPr="00830AE7">
        <w:rPr>
          <w:rFonts w:ascii="Times New Roman" w:hAnsi="Times New Roman" w:cs="Times New Roman"/>
          <w:sz w:val="20"/>
          <w:szCs w:val="20"/>
        </w:rPr>
        <w:t>“a characteristic that is objectively measured and evaluated as an indicator of normal biological processes, pathogenic processes, or pharmacologic responses to a therapeutic intervention”.</w:t>
      </w:r>
      <w:r w:rsidRPr="00830AE7">
        <w:rPr>
          <w:rFonts w:ascii="Times New Roman" w:hAnsi="Times New Roman" w:cs="Times New Roman"/>
          <w:sz w:val="20"/>
          <w:szCs w:val="20"/>
          <w:vertAlign w:val="superscript"/>
        </w:rPr>
        <w:t>7</w:t>
      </w:r>
    </w:p>
    <w:p w:rsidR="00A51ABF" w:rsidRPr="00830AE7" w:rsidRDefault="00A51ABF" w:rsidP="00830AE7">
      <w:pPr>
        <w:spacing w:after="0" w:line="360" w:lineRule="auto"/>
        <w:jc w:val="both"/>
        <w:rPr>
          <w:rFonts w:ascii="Times New Roman" w:hAnsi="Times New Roman" w:cs="Times New Roman"/>
          <w:sz w:val="20"/>
          <w:szCs w:val="20"/>
          <w:shd w:val="clear" w:color="auto" w:fill="FFFFFF"/>
        </w:rPr>
      </w:pPr>
      <w:proofErr w:type="spellStart"/>
      <w:r w:rsidRPr="00830AE7">
        <w:rPr>
          <w:rFonts w:ascii="Times New Roman" w:hAnsi="Times New Roman" w:cs="Times New Roman"/>
          <w:sz w:val="20"/>
          <w:szCs w:val="20"/>
          <w:shd w:val="clear" w:color="auto" w:fill="FFFFFF"/>
        </w:rPr>
        <w:t>Creatine</w:t>
      </w:r>
      <w:proofErr w:type="spellEnd"/>
      <w:r w:rsidRPr="00830AE7">
        <w:rPr>
          <w:rFonts w:ascii="Times New Roman" w:hAnsi="Times New Roman" w:cs="Times New Roman"/>
          <w:sz w:val="20"/>
          <w:szCs w:val="20"/>
          <w:shd w:val="clear" w:color="auto" w:fill="FFFFFF"/>
        </w:rPr>
        <w:t xml:space="preserve"> Kinase MB (CK-MB) is an example of earliest biomarker of cardiac dysfunction. Approximately 30% of myocardial CK is CK-MB and a rise of &gt; 5% of the total CK activity indicates damage to the cardiac muscle.</w:t>
      </w:r>
      <w:r w:rsidRPr="00830AE7">
        <w:rPr>
          <w:rFonts w:ascii="Times New Roman" w:hAnsi="Times New Roman" w:cs="Times New Roman"/>
          <w:sz w:val="20"/>
          <w:szCs w:val="20"/>
          <w:vertAlign w:val="superscript"/>
        </w:rPr>
        <w:t xml:space="preserve"> 5</w:t>
      </w:r>
      <w:r w:rsidRPr="00830AE7">
        <w:rPr>
          <w:rFonts w:ascii="Times New Roman" w:hAnsi="Times New Roman" w:cs="Times New Roman"/>
          <w:sz w:val="20"/>
          <w:szCs w:val="20"/>
          <w:shd w:val="clear" w:color="auto" w:fill="FFFFFF"/>
        </w:rPr>
        <w:t xml:space="preserve"> CK-MB appears in the bloodstream 4-6 h after onset of angina and peaks between 10-12 h after the myocardial infarction (MI).</w:t>
      </w:r>
      <w:r w:rsidRPr="00830AE7">
        <w:rPr>
          <w:rFonts w:ascii="Times New Roman" w:hAnsi="Times New Roman" w:cs="Times New Roman"/>
          <w:sz w:val="20"/>
          <w:szCs w:val="20"/>
          <w:vertAlign w:val="superscript"/>
        </w:rPr>
        <w:t xml:space="preserve"> 5</w:t>
      </w:r>
      <w:r w:rsidRPr="00830AE7">
        <w:rPr>
          <w:rFonts w:ascii="Times New Roman" w:hAnsi="Times New Roman" w:cs="Times New Roman"/>
          <w:sz w:val="20"/>
          <w:szCs w:val="20"/>
          <w:shd w:val="clear" w:color="auto" w:fill="FFFFFF"/>
        </w:rPr>
        <w:t> </w:t>
      </w:r>
      <w:r w:rsidRPr="00830AE7">
        <w:rPr>
          <w:rFonts w:ascii="Times New Roman" w:hAnsi="Times New Roman" w:cs="Times New Roman"/>
          <w:bCs/>
          <w:sz w:val="20"/>
          <w:szCs w:val="20"/>
          <w:lang w:val="en-US"/>
        </w:rPr>
        <w:t>The present was conducted in a tertiary care teaching hospital with aim to evaluate the diagnostic role of CK-MB in patients with CVD.</w:t>
      </w:r>
    </w:p>
    <w:p w:rsidR="00A51ABF" w:rsidRPr="00830AE7" w:rsidRDefault="00A51ABF" w:rsidP="00830AE7">
      <w:pPr>
        <w:spacing w:after="0" w:line="360" w:lineRule="auto"/>
        <w:jc w:val="both"/>
        <w:rPr>
          <w:rFonts w:ascii="Times New Roman" w:hAnsi="Times New Roman" w:cs="Times New Roman"/>
          <w:b/>
          <w:sz w:val="20"/>
          <w:szCs w:val="20"/>
          <w:shd w:val="clear" w:color="auto" w:fill="FFFFFF"/>
        </w:rPr>
      </w:pPr>
      <w:r w:rsidRPr="00830AE7">
        <w:rPr>
          <w:rFonts w:ascii="Times New Roman" w:hAnsi="Times New Roman" w:cs="Times New Roman"/>
          <w:b/>
          <w:sz w:val="20"/>
          <w:szCs w:val="20"/>
          <w:shd w:val="clear" w:color="auto" w:fill="FFFFFF"/>
        </w:rPr>
        <w:t>Material and methods.</w:t>
      </w: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Study setting: The present study is a part of a Ph.D. thesis carried out in the Department of Biochemistry, J K Hospital and L N Medical College and Research Center, Bhopal Madhya Pradesh. </w:t>
      </w:r>
      <w:r w:rsidR="00830AE7">
        <w:rPr>
          <w:rFonts w:ascii="Times New Roman" w:hAnsi="Times New Roman" w:cs="Times New Roman"/>
          <w:bCs/>
          <w:sz w:val="20"/>
          <w:szCs w:val="20"/>
          <w:lang w:val="en-US"/>
        </w:rPr>
        <w:t xml:space="preserve"> </w:t>
      </w:r>
      <w:r w:rsidRPr="00830AE7">
        <w:rPr>
          <w:rFonts w:ascii="Times New Roman" w:hAnsi="Times New Roman" w:cs="Times New Roman"/>
          <w:bCs/>
          <w:sz w:val="20"/>
          <w:szCs w:val="20"/>
          <w:lang w:val="en-US"/>
        </w:rPr>
        <w:t>Study design and duration: Descriptive cross-sectional study was conducted for a period of one year. A total 150 clinically diagnosed CVD patients belonging age group 40-60 years and admitted to medicine wards and ICUs were included in the study. Patients presenting with systemic inflammatory disease, liver disease, cardiomyopathy, malignancy, or any other disease were excluded.</w:t>
      </w: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Additionally, a total of 150, age matched healthy individuals with no clinical or family history of CVD were recruited as controls. The purpose and protocol of the study were explained to all participants in local language and informed consent to participate in the study was obtained. The protocol of the study was approved by Institutional Ethics Committee. </w:t>
      </w:r>
      <w:r w:rsidR="00830AE7">
        <w:rPr>
          <w:rFonts w:ascii="Times New Roman" w:hAnsi="Times New Roman" w:cs="Times New Roman"/>
          <w:bCs/>
          <w:sz w:val="20"/>
          <w:szCs w:val="20"/>
          <w:lang w:val="en-US"/>
        </w:rPr>
        <w:t xml:space="preserve"> </w:t>
      </w:r>
      <w:r w:rsidRPr="00830AE7">
        <w:rPr>
          <w:rFonts w:ascii="Times New Roman" w:hAnsi="Times New Roman" w:cs="Times New Roman"/>
          <w:bCs/>
          <w:sz w:val="20"/>
          <w:szCs w:val="20"/>
          <w:lang w:val="en-US"/>
        </w:rPr>
        <w:t xml:space="preserve">Sample collection and biochemical parameters: A 5 mL of blood sample was aseptically collected by venipuncture from both CVD patients and healthy individuals for performing investigations like lipid profile, renal function test (RFT), HbA1c and CK-MB. Lipid profile, RFT and HbA1c were performed by fully automated </w:t>
      </w:r>
      <w:proofErr w:type="spellStart"/>
      <w:r w:rsidRPr="00830AE7">
        <w:rPr>
          <w:rFonts w:ascii="Times New Roman" w:hAnsi="Times New Roman" w:cs="Times New Roman"/>
          <w:bCs/>
          <w:sz w:val="20"/>
          <w:szCs w:val="20"/>
          <w:lang w:val="en-US"/>
        </w:rPr>
        <w:t>analyser</w:t>
      </w:r>
      <w:proofErr w:type="spellEnd"/>
      <w:r w:rsidRPr="00830AE7">
        <w:rPr>
          <w:rFonts w:ascii="Times New Roman" w:hAnsi="Times New Roman" w:cs="Times New Roman"/>
          <w:bCs/>
          <w:sz w:val="20"/>
          <w:szCs w:val="20"/>
          <w:lang w:val="en-US"/>
        </w:rPr>
        <w:t xml:space="preserve"> Siemens Dimension. CK-MB test was done by an automated VIDAS instrument using ELFA technique (Enzyme Linked Fluorescent Assay).</w:t>
      </w:r>
    </w:p>
    <w:p w:rsidR="00A51ABF" w:rsidRPr="00830AE7" w:rsidRDefault="00A51ABF" w:rsidP="00830AE7">
      <w:pPr>
        <w:spacing w:after="0" w:line="360" w:lineRule="auto"/>
        <w:ind w:right="288"/>
        <w:jc w:val="both"/>
        <w:outlineLvl w:val="0"/>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Statistical analysis: </w:t>
      </w: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Data was processed using SPSS Statistics for Windows, Version 23 (IBM Corp., Armonk, NY, USA). The values were represented in Number (%) and Mean ± SD. Appropriate statistical test was applied. P value of &lt;0.05 was considered as significant.</w:t>
      </w:r>
    </w:p>
    <w:p w:rsidR="00A51ABF" w:rsidRPr="00830AE7" w:rsidRDefault="00A51ABF" w:rsidP="00830AE7">
      <w:pPr>
        <w:spacing w:after="0"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Results.</w:t>
      </w:r>
    </w:p>
    <w:p w:rsidR="00A51ABF"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The study involved a total of 300 participants (150 CVD patients and 150 healthy individuals) belonging to age group 40-60 years. The gender wise distribution of CVD patients and healthy individuals is shown in table 1.</w:t>
      </w:r>
    </w:p>
    <w:p w:rsidR="00830AE7" w:rsidRPr="00830AE7" w:rsidRDefault="00830AE7"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
          <w:bCs/>
          <w:sz w:val="20"/>
          <w:szCs w:val="20"/>
          <w:lang w:val="en-US"/>
        </w:rPr>
      </w:pPr>
      <w:proofErr w:type="gramStart"/>
      <w:r w:rsidRPr="00830AE7">
        <w:rPr>
          <w:rFonts w:ascii="Times New Roman" w:hAnsi="Times New Roman" w:cs="Times New Roman"/>
          <w:b/>
          <w:bCs/>
          <w:sz w:val="20"/>
          <w:szCs w:val="20"/>
          <w:lang w:val="en-US"/>
        </w:rPr>
        <w:t>Table 1:</w:t>
      </w:r>
      <w:r w:rsidRPr="00830AE7">
        <w:rPr>
          <w:rFonts w:ascii="Times New Roman" w:hAnsi="Times New Roman" w:cs="Times New Roman"/>
          <w:bCs/>
          <w:sz w:val="20"/>
          <w:szCs w:val="20"/>
          <w:lang w:val="en-US"/>
        </w:rPr>
        <w:t xml:space="preserve"> </w:t>
      </w:r>
      <w:r w:rsidRPr="00830AE7">
        <w:rPr>
          <w:rFonts w:ascii="Times New Roman" w:hAnsi="Times New Roman" w:cs="Times New Roman"/>
          <w:b/>
          <w:bCs/>
          <w:sz w:val="20"/>
          <w:szCs w:val="20"/>
          <w:lang w:val="en-US"/>
        </w:rPr>
        <w:t>Gender wise distribution of CVD patients and healthy individuals.</w:t>
      </w:r>
      <w:proofErr w:type="gramEnd"/>
    </w:p>
    <w:tbl>
      <w:tblPr>
        <w:tblStyle w:val="TableGrid"/>
        <w:tblW w:w="9180" w:type="dxa"/>
        <w:tblLook w:val="04A0" w:firstRow="1" w:lastRow="0" w:firstColumn="1" w:lastColumn="0" w:noHBand="0" w:noVBand="1"/>
      </w:tblPr>
      <w:tblGrid>
        <w:gridCol w:w="1384"/>
        <w:gridCol w:w="2410"/>
        <w:gridCol w:w="3137"/>
        <w:gridCol w:w="2249"/>
      </w:tblGrid>
      <w:tr w:rsidR="00A51ABF" w:rsidRPr="00830AE7" w:rsidTr="00830AE7">
        <w:tc>
          <w:tcPr>
            <w:tcW w:w="1384"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Gender</w:t>
            </w:r>
          </w:p>
        </w:tc>
        <w:tc>
          <w:tcPr>
            <w:tcW w:w="2410"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CVD patients</w:t>
            </w:r>
            <w:r w:rsidRPr="00830AE7">
              <w:rPr>
                <w:rFonts w:ascii="Times New Roman" w:hAnsi="Times New Roman" w:cs="Times New Roman"/>
                <w:bCs/>
                <w:sz w:val="20"/>
                <w:szCs w:val="20"/>
                <w:lang w:val="en-US"/>
              </w:rPr>
              <w:t xml:space="preserve"> </w:t>
            </w:r>
            <w:r w:rsidRPr="00830AE7">
              <w:rPr>
                <w:rFonts w:ascii="Times New Roman" w:hAnsi="Times New Roman" w:cs="Times New Roman"/>
                <w:b/>
                <w:bCs/>
                <w:sz w:val="20"/>
                <w:szCs w:val="20"/>
                <w:lang w:val="en-US"/>
              </w:rPr>
              <w:t>(%)</w:t>
            </w:r>
          </w:p>
        </w:tc>
        <w:tc>
          <w:tcPr>
            <w:tcW w:w="3137"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Healthy individuals (%)</w:t>
            </w:r>
          </w:p>
        </w:tc>
        <w:tc>
          <w:tcPr>
            <w:tcW w:w="2249"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 xml:space="preserve">Chi square test, </w:t>
            </w:r>
            <w:r w:rsidRPr="00830AE7">
              <w:rPr>
                <w:rFonts w:ascii="Times New Roman" w:hAnsi="Times New Roman" w:cs="Times New Roman"/>
                <w:b/>
                <w:bCs/>
                <w:i/>
                <w:sz w:val="20"/>
                <w:szCs w:val="20"/>
                <w:lang w:val="en-US"/>
              </w:rPr>
              <w:t>P</w:t>
            </w:r>
            <w:r w:rsidRPr="00830AE7">
              <w:rPr>
                <w:rFonts w:ascii="Times New Roman" w:hAnsi="Times New Roman" w:cs="Times New Roman"/>
                <w:b/>
                <w:bCs/>
                <w:sz w:val="20"/>
                <w:szCs w:val="20"/>
                <w:lang w:val="en-US"/>
              </w:rPr>
              <w:t xml:space="preserve"> value</w:t>
            </w:r>
          </w:p>
        </w:tc>
      </w:tr>
      <w:tr w:rsidR="00A51ABF" w:rsidRPr="00830AE7" w:rsidTr="00830AE7">
        <w:tc>
          <w:tcPr>
            <w:tcW w:w="1384"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Male</w:t>
            </w:r>
          </w:p>
        </w:tc>
        <w:tc>
          <w:tcPr>
            <w:tcW w:w="2410" w:type="dxa"/>
          </w:tcPr>
          <w:p w:rsidR="00A51ABF" w:rsidRPr="00830AE7" w:rsidRDefault="00A51ABF" w:rsidP="00830AE7">
            <w:pPr>
              <w:spacing w:line="360" w:lineRule="auto"/>
              <w:ind w:right="288"/>
              <w:jc w:val="both"/>
              <w:rPr>
                <w:rFonts w:ascii="Times New Roman" w:hAnsi="Times New Roman" w:cs="Times New Roman"/>
                <w:bCs/>
                <w:sz w:val="20"/>
                <w:szCs w:val="20"/>
              </w:rPr>
            </w:pPr>
            <w:r w:rsidRPr="00830AE7">
              <w:rPr>
                <w:rFonts w:ascii="Times New Roman" w:hAnsi="Times New Roman" w:cs="Times New Roman"/>
                <w:bCs/>
                <w:sz w:val="20"/>
                <w:szCs w:val="20"/>
                <w:lang w:val="en-US"/>
              </w:rPr>
              <w:t>118 (78.7)</w:t>
            </w:r>
          </w:p>
        </w:tc>
        <w:tc>
          <w:tcPr>
            <w:tcW w:w="3137" w:type="dxa"/>
          </w:tcPr>
          <w:p w:rsidR="00A51ABF" w:rsidRPr="00830AE7" w:rsidRDefault="00A51ABF" w:rsidP="00830AE7">
            <w:pPr>
              <w:spacing w:line="360" w:lineRule="auto"/>
              <w:ind w:right="288"/>
              <w:jc w:val="both"/>
              <w:rPr>
                <w:rFonts w:ascii="Times New Roman" w:hAnsi="Times New Roman" w:cs="Times New Roman"/>
                <w:bCs/>
                <w:sz w:val="20"/>
                <w:szCs w:val="20"/>
              </w:rPr>
            </w:pPr>
            <w:r w:rsidRPr="00830AE7">
              <w:rPr>
                <w:rFonts w:ascii="Times New Roman" w:hAnsi="Times New Roman" w:cs="Times New Roman"/>
                <w:bCs/>
                <w:sz w:val="20"/>
                <w:szCs w:val="20"/>
                <w:lang w:val="en-US"/>
              </w:rPr>
              <w:t>123 (82)</w:t>
            </w:r>
          </w:p>
        </w:tc>
        <w:tc>
          <w:tcPr>
            <w:tcW w:w="2249" w:type="dxa"/>
            <w:vMerge w:val="restart"/>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       </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       0.46</w:t>
            </w:r>
          </w:p>
        </w:tc>
      </w:tr>
      <w:tr w:rsidR="00A51ABF" w:rsidRPr="00830AE7" w:rsidTr="00830AE7">
        <w:tc>
          <w:tcPr>
            <w:tcW w:w="1384"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Female</w:t>
            </w:r>
          </w:p>
        </w:tc>
        <w:tc>
          <w:tcPr>
            <w:tcW w:w="2410" w:type="dxa"/>
          </w:tcPr>
          <w:p w:rsidR="00A51ABF" w:rsidRPr="00830AE7" w:rsidRDefault="00A51ABF" w:rsidP="00830AE7">
            <w:pPr>
              <w:spacing w:line="360" w:lineRule="auto"/>
              <w:ind w:right="288"/>
              <w:jc w:val="both"/>
              <w:rPr>
                <w:rFonts w:ascii="Times New Roman" w:hAnsi="Times New Roman" w:cs="Times New Roman"/>
                <w:bCs/>
                <w:sz w:val="20"/>
                <w:szCs w:val="20"/>
              </w:rPr>
            </w:pPr>
            <w:r w:rsidRPr="00830AE7">
              <w:rPr>
                <w:rFonts w:ascii="Times New Roman" w:hAnsi="Times New Roman" w:cs="Times New Roman"/>
                <w:bCs/>
                <w:sz w:val="20"/>
                <w:szCs w:val="20"/>
                <w:lang w:val="en-US"/>
              </w:rPr>
              <w:t>32 (21.3)</w:t>
            </w:r>
          </w:p>
        </w:tc>
        <w:tc>
          <w:tcPr>
            <w:tcW w:w="3137" w:type="dxa"/>
          </w:tcPr>
          <w:p w:rsidR="00A51ABF" w:rsidRPr="00830AE7" w:rsidRDefault="00A51ABF" w:rsidP="00830AE7">
            <w:pPr>
              <w:spacing w:line="360" w:lineRule="auto"/>
              <w:ind w:right="288"/>
              <w:jc w:val="both"/>
              <w:rPr>
                <w:rFonts w:ascii="Times New Roman" w:hAnsi="Times New Roman" w:cs="Times New Roman"/>
                <w:bCs/>
                <w:sz w:val="20"/>
                <w:szCs w:val="20"/>
              </w:rPr>
            </w:pPr>
            <w:r w:rsidRPr="00830AE7">
              <w:rPr>
                <w:rFonts w:ascii="Times New Roman" w:hAnsi="Times New Roman" w:cs="Times New Roman"/>
                <w:bCs/>
                <w:sz w:val="20"/>
                <w:szCs w:val="20"/>
                <w:lang w:val="en-US"/>
              </w:rPr>
              <w:t>27 (18)</w:t>
            </w:r>
          </w:p>
        </w:tc>
        <w:tc>
          <w:tcPr>
            <w:tcW w:w="2249" w:type="dxa"/>
            <w:vMerge/>
          </w:tcPr>
          <w:p w:rsidR="00A51ABF" w:rsidRPr="00830AE7" w:rsidRDefault="00A51ABF" w:rsidP="00830AE7">
            <w:pPr>
              <w:spacing w:line="360" w:lineRule="auto"/>
              <w:ind w:right="288"/>
              <w:jc w:val="both"/>
              <w:rPr>
                <w:rFonts w:ascii="Times New Roman" w:hAnsi="Times New Roman" w:cs="Times New Roman"/>
                <w:bCs/>
                <w:sz w:val="20"/>
                <w:szCs w:val="20"/>
                <w:lang w:val="en-US"/>
              </w:rPr>
            </w:pPr>
          </w:p>
        </w:tc>
      </w:tr>
      <w:tr w:rsidR="00A51ABF" w:rsidRPr="00830AE7" w:rsidTr="00830AE7">
        <w:tc>
          <w:tcPr>
            <w:tcW w:w="1384"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Total </w:t>
            </w:r>
          </w:p>
        </w:tc>
        <w:tc>
          <w:tcPr>
            <w:tcW w:w="2410"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150</w:t>
            </w:r>
          </w:p>
        </w:tc>
        <w:tc>
          <w:tcPr>
            <w:tcW w:w="3137" w:type="dxa"/>
          </w:tcPr>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150</w:t>
            </w:r>
          </w:p>
        </w:tc>
        <w:tc>
          <w:tcPr>
            <w:tcW w:w="2249" w:type="dxa"/>
            <w:vMerge/>
          </w:tcPr>
          <w:p w:rsidR="00A51ABF" w:rsidRPr="00830AE7" w:rsidRDefault="00A51ABF" w:rsidP="00830AE7">
            <w:pPr>
              <w:spacing w:line="360" w:lineRule="auto"/>
              <w:ind w:right="288"/>
              <w:jc w:val="both"/>
              <w:rPr>
                <w:rFonts w:ascii="Times New Roman" w:hAnsi="Times New Roman" w:cs="Times New Roman"/>
                <w:bCs/>
                <w:sz w:val="20"/>
                <w:szCs w:val="20"/>
                <w:lang w:val="en-US"/>
              </w:rPr>
            </w:pPr>
          </w:p>
        </w:tc>
      </w:tr>
    </w:tbl>
    <w:p w:rsidR="00830AE7" w:rsidRDefault="00830AE7" w:rsidP="00830AE7">
      <w:pPr>
        <w:spacing w:after="0" w:line="360" w:lineRule="auto"/>
        <w:ind w:right="288"/>
        <w:jc w:val="both"/>
        <w:rPr>
          <w:rFonts w:ascii="Times New Roman" w:hAnsi="Times New Roman" w:cs="Times New Roman"/>
          <w:bCs/>
          <w:sz w:val="20"/>
          <w:szCs w:val="20"/>
          <w:lang w:val="en-US"/>
        </w:rPr>
      </w:pPr>
    </w:p>
    <w:p w:rsidR="00830AE7" w:rsidRDefault="00830AE7"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lastRenderedPageBreak/>
        <w:t xml:space="preserve">In the present study, CVD was found to be significantly associated with male gender compared to female (Z test, </w:t>
      </w:r>
      <w:r w:rsidRPr="00830AE7">
        <w:rPr>
          <w:rFonts w:ascii="Times New Roman" w:hAnsi="Times New Roman" w:cs="Times New Roman"/>
          <w:bCs/>
          <w:i/>
          <w:sz w:val="20"/>
          <w:szCs w:val="20"/>
          <w:lang w:val="en-US"/>
        </w:rPr>
        <w:t>P</w:t>
      </w:r>
      <w:r w:rsidRPr="00830AE7">
        <w:rPr>
          <w:rFonts w:ascii="Times New Roman" w:hAnsi="Times New Roman" w:cs="Times New Roman"/>
          <w:bCs/>
          <w:sz w:val="20"/>
          <w:szCs w:val="20"/>
          <w:lang w:val="en-US"/>
        </w:rPr>
        <w:t xml:space="preserve"> value 0.0001). When the gender wise distribution of CVD patients and healthy individuals was compared there was no significant difference observed (Chi square test, P value 0.46). The mean age of CVD patients was 53.45±</w:t>
      </w:r>
      <w:r w:rsidRPr="00830AE7">
        <w:rPr>
          <w:rFonts w:ascii="Times New Roman" w:hAnsi="Times New Roman" w:cs="Times New Roman"/>
          <w:bCs/>
          <w:kern w:val="24"/>
          <w:sz w:val="20"/>
          <w:szCs w:val="20"/>
          <w:lang w:val="en-US"/>
        </w:rPr>
        <w:t xml:space="preserve">7.11 whereas for healthy individuals it was </w:t>
      </w:r>
      <w:r w:rsidRPr="00830AE7">
        <w:rPr>
          <w:rFonts w:ascii="Times New Roman" w:hAnsi="Times New Roman" w:cs="Times New Roman"/>
          <w:bCs/>
          <w:sz w:val="20"/>
          <w:szCs w:val="20"/>
          <w:lang w:val="en-US"/>
        </w:rPr>
        <w:t>54.08±</w:t>
      </w:r>
      <w:r w:rsidRPr="00830AE7">
        <w:rPr>
          <w:rFonts w:ascii="Times New Roman" w:hAnsi="Times New Roman" w:cs="Times New Roman"/>
          <w:bCs/>
          <w:kern w:val="24"/>
          <w:sz w:val="20"/>
          <w:szCs w:val="20"/>
          <w:lang w:val="en-US"/>
        </w:rPr>
        <w:t xml:space="preserve">7.11. There was no significant difference observed between the age of </w:t>
      </w:r>
      <w:r w:rsidRPr="00830AE7">
        <w:rPr>
          <w:rFonts w:ascii="Times New Roman" w:hAnsi="Times New Roman" w:cs="Times New Roman"/>
          <w:bCs/>
          <w:sz w:val="20"/>
          <w:szCs w:val="20"/>
          <w:lang w:val="en-US"/>
        </w:rPr>
        <w:t xml:space="preserve">CVD patients and healthy individuals (T test, </w:t>
      </w:r>
      <w:r w:rsidRPr="00830AE7">
        <w:rPr>
          <w:rFonts w:ascii="Times New Roman" w:hAnsi="Times New Roman" w:cs="Times New Roman"/>
          <w:bCs/>
          <w:i/>
          <w:sz w:val="20"/>
          <w:szCs w:val="20"/>
          <w:lang w:val="en-US"/>
        </w:rPr>
        <w:t>P</w:t>
      </w:r>
      <w:r w:rsidRPr="00830AE7">
        <w:rPr>
          <w:rFonts w:ascii="Times New Roman" w:hAnsi="Times New Roman" w:cs="Times New Roman"/>
          <w:bCs/>
          <w:sz w:val="20"/>
          <w:szCs w:val="20"/>
          <w:lang w:val="en-US"/>
        </w:rPr>
        <w:t xml:space="preserve"> value 0.27).</w:t>
      </w:r>
    </w:p>
    <w:p w:rsidR="00A51ABF"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The mean ±SD body mass index (BMI) of CVD patients and healthy individuals is shown in figure 1. The BMI of CVD patients (</w:t>
      </w:r>
      <w:r w:rsidRPr="00830AE7">
        <w:rPr>
          <w:rFonts w:ascii="Times New Roman" w:hAnsi="Times New Roman" w:cs="Times New Roman"/>
          <w:bCs/>
          <w:kern w:val="24"/>
          <w:sz w:val="20"/>
          <w:szCs w:val="20"/>
          <w:lang w:val="en-US"/>
        </w:rPr>
        <w:t>29.05 ± 2.01</w:t>
      </w:r>
      <w:r w:rsidRPr="00830AE7">
        <w:rPr>
          <w:rFonts w:ascii="Times New Roman" w:hAnsi="Times New Roman" w:cs="Times New Roman"/>
          <w:bCs/>
          <w:sz w:val="20"/>
          <w:szCs w:val="20"/>
          <w:lang w:val="en-US"/>
        </w:rPr>
        <w:t>) was significantly high as compared to healthy individuals (</w:t>
      </w:r>
      <w:r w:rsidRPr="00830AE7">
        <w:rPr>
          <w:rFonts w:ascii="Times New Roman" w:hAnsi="Times New Roman" w:cs="Times New Roman"/>
          <w:bCs/>
          <w:kern w:val="24"/>
          <w:sz w:val="20"/>
          <w:szCs w:val="20"/>
          <w:lang w:val="en-US"/>
        </w:rPr>
        <w:t>23.10 ± 2.38</w:t>
      </w:r>
      <w:r w:rsidRPr="00830AE7">
        <w:rPr>
          <w:rFonts w:ascii="Times New Roman" w:hAnsi="Times New Roman" w:cs="Times New Roman"/>
          <w:bCs/>
          <w:sz w:val="20"/>
          <w:szCs w:val="20"/>
          <w:lang w:val="en-US"/>
        </w:rPr>
        <w:t xml:space="preserve">) (T test, </w:t>
      </w:r>
      <w:r w:rsidRPr="00830AE7">
        <w:rPr>
          <w:rFonts w:ascii="Times New Roman" w:hAnsi="Times New Roman" w:cs="Times New Roman"/>
          <w:bCs/>
          <w:i/>
          <w:sz w:val="20"/>
          <w:szCs w:val="20"/>
          <w:lang w:val="en-US"/>
        </w:rPr>
        <w:t>P</w:t>
      </w:r>
      <w:r w:rsidRPr="00830AE7">
        <w:rPr>
          <w:rFonts w:ascii="Times New Roman" w:hAnsi="Times New Roman" w:cs="Times New Roman"/>
          <w:bCs/>
          <w:sz w:val="20"/>
          <w:szCs w:val="20"/>
          <w:lang w:val="en-US"/>
        </w:rPr>
        <w:t xml:space="preserve"> value 0.001*). </w:t>
      </w:r>
    </w:p>
    <w:p w:rsidR="00830AE7" w:rsidRPr="00830AE7" w:rsidRDefault="00830AE7"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noProof/>
          <w:sz w:val="20"/>
          <w:szCs w:val="20"/>
          <w:lang w:eastAsia="en-IN"/>
        </w:rPr>
        <w:drawing>
          <wp:inline distT="0" distB="0" distL="0" distR="0" wp14:anchorId="2D88ADD0" wp14:editId="6F80DE79">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0AE7" w:rsidRDefault="00830AE7" w:rsidP="00830AE7">
      <w:pPr>
        <w:spacing w:after="0" w:line="360" w:lineRule="auto"/>
        <w:ind w:right="288"/>
        <w:jc w:val="both"/>
        <w:rPr>
          <w:rFonts w:ascii="Times New Roman" w:hAnsi="Times New Roman" w:cs="Times New Roman"/>
          <w:bCs/>
          <w:sz w:val="20"/>
          <w:szCs w:val="20"/>
          <w:lang w:val="en-US"/>
        </w:rPr>
      </w:pPr>
    </w:p>
    <w:p w:rsidR="00A51ABF"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The mean</w:t>
      </w:r>
      <w:r w:rsidRPr="00830AE7">
        <w:rPr>
          <w:rFonts w:ascii="Times New Roman" w:hAnsi="Times New Roman" w:cs="Times New Roman"/>
          <w:bCs/>
          <w:kern w:val="24"/>
          <w:sz w:val="20"/>
          <w:szCs w:val="20"/>
          <w:lang w:val="en-US"/>
        </w:rPr>
        <w:t xml:space="preserve">± SD of renal function test of </w:t>
      </w:r>
      <w:r w:rsidRPr="00830AE7">
        <w:rPr>
          <w:rFonts w:ascii="Times New Roman" w:hAnsi="Times New Roman" w:cs="Times New Roman"/>
          <w:bCs/>
          <w:sz w:val="20"/>
          <w:szCs w:val="20"/>
          <w:lang w:val="en-US"/>
        </w:rPr>
        <w:t xml:space="preserve">CVD patients and healthy individuals is shown in table 2. The mean blood urea level in CVD patients was </w:t>
      </w:r>
      <w:r w:rsidRPr="00830AE7">
        <w:rPr>
          <w:rFonts w:ascii="Times New Roman" w:hAnsi="Times New Roman" w:cs="Times New Roman"/>
          <w:bCs/>
          <w:kern w:val="24"/>
          <w:sz w:val="20"/>
          <w:szCs w:val="20"/>
          <w:lang w:val="en-US"/>
        </w:rPr>
        <w:t xml:space="preserve">22.24 ± 6.32 mg/dl whereas mean </w:t>
      </w:r>
      <w:proofErr w:type="spellStart"/>
      <w:r w:rsidRPr="00830AE7">
        <w:rPr>
          <w:rFonts w:ascii="Times New Roman" w:hAnsi="Times New Roman" w:cs="Times New Roman"/>
          <w:bCs/>
          <w:kern w:val="24"/>
          <w:sz w:val="20"/>
          <w:szCs w:val="20"/>
          <w:lang w:val="en-US"/>
        </w:rPr>
        <w:t>creatinine</w:t>
      </w:r>
      <w:proofErr w:type="spellEnd"/>
      <w:r w:rsidRPr="00830AE7">
        <w:rPr>
          <w:rFonts w:ascii="Times New Roman" w:hAnsi="Times New Roman" w:cs="Times New Roman"/>
          <w:bCs/>
          <w:kern w:val="24"/>
          <w:sz w:val="20"/>
          <w:szCs w:val="20"/>
          <w:lang w:val="en-US"/>
        </w:rPr>
        <w:t xml:space="preserve"> level was 0.95 ± 0.15. There was no significant difference observed between RFT </w:t>
      </w:r>
      <w:r w:rsidRPr="00830AE7">
        <w:rPr>
          <w:rFonts w:ascii="Times New Roman" w:hAnsi="Times New Roman" w:cs="Times New Roman"/>
          <w:bCs/>
          <w:sz w:val="20"/>
          <w:szCs w:val="20"/>
          <w:lang w:val="en-US"/>
        </w:rPr>
        <w:t>in CVD patients and healthy individuals.</w:t>
      </w:r>
    </w:p>
    <w:p w:rsidR="00830AE7" w:rsidRPr="00830AE7" w:rsidRDefault="00830AE7"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Table 2: Renal function test (RFT) in CVD patients and healthy individuals.</w:t>
      </w:r>
    </w:p>
    <w:tbl>
      <w:tblPr>
        <w:tblStyle w:val="TableGrid"/>
        <w:tblW w:w="0" w:type="auto"/>
        <w:tblInd w:w="-176" w:type="dxa"/>
        <w:tblLook w:val="04A0" w:firstRow="1" w:lastRow="0" w:firstColumn="1" w:lastColumn="0" w:noHBand="0" w:noVBand="1"/>
      </w:tblPr>
      <w:tblGrid>
        <w:gridCol w:w="2069"/>
        <w:gridCol w:w="1946"/>
        <w:gridCol w:w="2723"/>
        <w:gridCol w:w="2680"/>
      </w:tblGrid>
      <w:tr w:rsidR="00A51ABF" w:rsidRPr="00830AE7" w:rsidTr="0008669E">
        <w:tc>
          <w:tcPr>
            <w:tcW w:w="2130"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Variable</w:t>
            </w:r>
          </w:p>
        </w:tc>
        <w:tc>
          <w:tcPr>
            <w:tcW w:w="1982"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Healthy individuals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tc>
        <w:tc>
          <w:tcPr>
            <w:tcW w:w="283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CVD patients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p w:rsidR="00A51ABF" w:rsidRPr="00830AE7" w:rsidRDefault="00A51ABF" w:rsidP="00830AE7">
            <w:pPr>
              <w:spacing w:line="360" w:lineRule="auto"/>
              <w:ind w:right="288"/>
              <w:jc w:val="both"/>
              <w:rPr>
                <w:rFonts w:ascii="Times New Roman" w:hAnsi="Times New Roman" w:cs="Times New Roman"/>
                <w:bCs/>
                <w:sz w:val="20"/>
                <w:szCs w:val="20"/>
                <w:lang w:val="en-US"/>
              </w:rPr>
            </w:pPr>
          </w:p>
        </w:tc>
        <w:tc>
          <w:tcPr>
            <w:tcW w:w="280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 xml:space="preserve">T test, </w:t>
            </w:r>
            <w:r w:rsidRPr="00830AE7">
              <w:rPr>
                <w:rFonts w:ascii="Times New Roman" w:hAnsi="Times New Roman" w:cs="Times New Roman"/>
                <w:b/>
                <w:bCs/>
                <w:i/>
                <w:sz w:val="20"/>
                <w:szCs w:val="20"/>
                <w:lang w:val="en-US"/>
              </w:rPr>
              <w:t>P</w:t>
            </w:r>
            <w:r w:rsidRPr="00830AE7">
              <w:rPr>
                <w:rFonts w:ascii="Times New Roman" w:hAnsi="Times New Roman" w:cs="Times New Roman"/>
                <w:b/>
                <w:bCs/>
                <w:sz w:val="20"/>
                <w:szCs w:val="20"/>
                <w:lang w:val="en-US"/>
              </w:rPr>
              <w:t xml:space="preserve"> value</w:t>
            </w:r>
          </w:p>
        </w:tc>
      </w:tr>
      <w:tr w:rsidR="00A51ABF" w:rsidRPr="00830AE7" w:rsidTr="0008669E">
        <w:tc>
          <w:tcPr>
            <w:tcW w:w="2130" w:type="dxa"/>
          </w:tcPr>
          <w:p w:rsidR="00A51ABF" w:rsidRPr="00830AE7" w:rsidRDefault="00A51ABF" w:rsidP="00830AE7">
            <w:pPr>
              <w:tabs>
                <w:tab w:val="left" w:pos="787"/>
                <w:tab w:val="center" w:pos="1020"/>
                <w:tab w:val="right" w:pos="2040"/>
              </w:tabs>
              <w:spacing w:line="360" w:lineRule="auto"/>
              <w:rPr>
                <w:rFonts w:ascii="Times New Roman" w:eastAsia="Calibri" w:hAnsi="Times New Roman" w:cs="Times New Roman"/>
                <w:sz w:val="20"/>
                <w:szCs w:val="20"/>
                <w:lang w:val="en-US"/>
              </w:rPr>
            </w:pPr>
            <w:r w:rsidRPr="00830AE7">
              <w:rPr>
                <w:rFonts w:ascii="Times New Roman" w:hAnsi="Times New Roman" w:cs="Times New Roman"/>
                <w:sz w:val="20"/>
                <w:szCs w:val="20"/>
                <w:lang w:val="en-US"/>
              </w:rPr>
              <w:t xml:space="preserve">  Urea (mg/dl)</w:t>
            </w:r>
            <w:r w:rsidRPr="00830AE7">
              <w:rPr>
                <w:rFonts w:ascii="Times New Roman" w:eastAsia="Calibri" w:hAnsi="Times New Roman" w:cs="Times New Roman"/>
                <w:bCs/>
                <w:kern w:val="24"/>
                <w:sz w:val="20"/>
                <w:szCs w:val="20"/>
                <w:lang w:val="en-US"/>
              </w:rPr>
              <w:tab/>
            </w:r>
          </w:p>
        </w:tc>
        <w:tc>
          <w:tcPr>
            <w:tcW w:w="1982" w:type="dxa"/>
          </w:tcPr>
          <w:p w:rsidR="00A51ABF" w:rsidRPr="00830AE7" w:rsidRDefault="00A51ABF" w:rsidP="00830AE7">
            <w:pPr>
              <w:spacing w:line="360" w:lineRule="auto"/>
              <w:ind w:left="12"/>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18.92 ± 6.49</w:t>
            </w:r>
          </w:p>
        </w:tc>
        <w:tc>
          <w:tcPr>
            <w:tcW w:w="2835" w:type="dxa"/>
          </w:tcPr>
          <w:p w:rsidR="00A51ABF" w:rsidRPr="00830AE7" w:rsidRDefault="00A51ABF" w:rsidP="00830AE7">
            <w:pPr>
              <w:spacing w:line="360" w:lineRule="auto"/>
              <w:ind w:left="12"/>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22.24 ± 6.32</w:t>
            </w:r>
          </w:p>
        </w:tc>
        <w:tc>
          <w:tcPr>
            <w:tcW w:w="2805" w:type="dxa"/>
          </w:tcPr>
          <w:p w:rsidR="00A51ABF" w:rsidRPr="00830AE7" w:rsidRDefault="00A51ABF" w:rsidP="00830AE7">
            <w:pPr>
              <w:pStyle w:val="NormalWeb"/>
              <w:spacing w:before="0" w:beforeAutospacing="0" w:after="0" w:afterAutospacing="0" w:line="360" w:lineRule="auto"/>
              <w:ind w:left="12"/>
              <w:jc w:val="center"/>
              <w:rPr>
                <w:sz w:val="20"/>
                <w:szCs w:val="20"/>
                <w:lang w:val="en-US"/>
              </w:rPr>
            </w:pPr>
            <w:r w:rsidRPr="00830AE7">
              <w:rPr>
                <w:sz w:val="20"/>
                <w:szCs w:val="20"/>
                <w:lang w:val="en-US"/>
              </w:rPr>
              <w:t>0.48</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proofErr w:type="spellStart"/>
            <w:r w:rsidRPr="00830AE7">
              <w:rPr>
                <w:rFonts w:ascii="Times New Roman" w:hAnsi="Times New Roman" w:cs="Times New Roman"/>
                <w:sz w:val="20"/>
                <w:szCs w:val="20"/>
                <w:lang w:val="en-US"/>
              </w:rPr>
              <w:t>Creatinine</w:t>
            </w:r>
            <w:proofErr w:type="spellEnd"/>
            <w:r w:rsidRPr="00830AE7">
              <w:rPr>
                <w:rFonts w:ascii="Times New Roman" w:hAnsi="Times New Roman" w:cs="Times New Roman"/>
                <w:sz w:val="20"/>
                <w:szCs w:val="20"/>
                <w:lang w:val="en-US"/>
              </w:rPr>
              <w:t xml:space="preserve"> (mg/dl)</w:t>
            </w:r>
          </w:p>
        </w:tc>
        <w:tc>
          <w:tcPr>
            <w:tcW w:w="1982" w:type="dxa"/>
          </w:tcPr>
          <w:p w:rsidR="00A51ABF" w:rsidRPr="00830AE7" w:rsidRDefault="00A51ABF" w:rsidP="00830AE7">
            <w:pPr>
              <w:spacing w:line="360" w:lineRule="auto"/>
              <w:ind w:left="12"/>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0.88 ± 0.21</w:t>
            </w:r>
          </w:p>
        </w:tc>
        <w:tc>
          <w:tcPr>
            <w:tcW w:w="2835" w:type="dxa"/>
          </w:tcPr>
          <w:p w:rsidR="00A51ABF" w:rsidRPr="00830AE7" w:rsidRDefault="00A51ABF" w:rsidP="00830AE7">
            <w:pPr>
              <w:spacing w:line="360" w:lineRule="auto"/>
              <w:ind w:left="12"/>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0.95 ± 0.15</w:t>
            </w:r>
          </w:p>
        </w:tc>
        <w:tc>
          <w:tcPr>
            <w:tcW w:w="2805" w:type="dxa"/>
          </w:tcPr>
          <w:p w:rsidR="00A51ABF" w:rsidRPr="00830AE7" w:rsidRDefault="00A51ABF" w:rsidP="00830AE7">
            <w:pPr>
              <w:pStyle w:val="NormalWeb"/>
              <w:spacing w:before="0" w:beforeAutospacing="0" w:after="0" w:afterAutospacing="0" w:line="360" w:lineRule="auto"/>
              <w:ind w:left="12"/>
              <w:jc w:val="center"/>
              <w:rPr>
                <w:sz w:val="20"/>
                <w:szCs w:val="20"/>
                <w:lang w:val="en-US"/>
              </w:rPr>
            </w:pPr>
            <w:r w:rsidRPr="00830AE7">
              <w:rPr>
                <w:sz w:val="20"/>
                <w:szCs w:val="20"/>
                <w:lang w:val="en-US"/>
              </w:rPr>
              <w:t>0.51</w:t>
            </w:r>
          </w:p>
        </w:tc>
      </w:tr>
    </w:tbl>
    <w:p w:rsidR="00A51ABF" w:rsidRPr="00830AE7" w:rsidRDefault="00A51ABF" w:rsidP="00830AE7">
      <w:pPr>
        <w:spacing w:after="0" w:line="360" w:lineRule="auto"/>
        <w:ind w:right="288"/>
        <w:jc w:val="both"/>
        <w:rPr>
          <w:rFonts w:ascii="Times New Roman" w:hAnsi="Times New Roman" w:cs="Times New Roman"/>
          <w:b/>
          <w:bCs/>
          <w:sz w:val="20"/>
          <w:szCs w:val="20"/>
          <w:lang w:val="en-US"/>
        </w:rPr>
      </w:pP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proofErr w:type="gramStart"/>
      <w:r w:rsidRPr="00830AE7">
        <w:rPr>
          <w:rFonts w:ascii="Times New Roman" w:hAnsi="Times New Roman" w:cs="Times New Roman"/>
          <w:b/>
          <w:bCs/>
          <w:sz w:val="20"/>
          <w:szCs w:val="20"/>
          <w:lang w:val="en-US"/>
        </w:rPr>
        <w:t>Table 3: Lipid profile test</w:t>
      </w:r>
      <w:r w:rsidRPr="00830AE7">
        <w:rPr>
          <w:rFonts w:ascii="Times New Roman" w:hAnsi="Times New Roman" w:cs="Times New Roman"/>
          <w:bCs/>
          <w:sz w:val="20"/>
          <w:szCs w:val="20"/>
          <w:lang w:val="en-US"/>
        </w:rPr>
        <w:t xml:space="preserve"> </w:t>
      </w:r>
      <w:r w:rsidRPr="00830AE7">
        <w:rPr>
          <w:rFonts w:ascii="Times New Roman" w:hAnsi="Times New Roman" w:cs="Times New Roman"/>
          <w:b/>
          <w:bCs/>
          <w:sz w:val="20"/>
          <w:szCs w:val="20"/>
          <w:lang w:val="en-US"/>
        </w:rPr>
        <w:t>in CVD patients and healthy individuals.</w:t>
      </w:r>
      <w:proofErr w:type="gramEnd"/>
    </w:p>
    <w:tbl>
      <w:tblPr>
        <w:tblStyle w:val="TableGrid"/>
        <w:tblW w:w="0" w:type="auto"/>
        <w:tblInd w:w="-176" w:type="dxa"/>
        <w:tblLook w:val="04A0" w:firstRow="1" w:lastRow="0" w:firstColumn="1" w:lastColumn="0" w:noHBand="0" w:noVBand="1"/>
      </w:tblPr>
      <w:tblGrid>
        <w:gridCol w:w="2071"/>
        <w:gridCol w:w="1946"/>
        <w:gridCol w:w="2722"/>
        <w:gridCol w:w="2679"/>
      </w:tblGrid>
      <w:tr w:rsidR="00A51ABF" w:rsidRPr="00830AE7" w:rsidTr="0008669E">
        <w:tc>
          <w:tcPr>
            <w:tcW w:w="2130"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Variable</w:t>
            </w:r>
          </w:p>
        </w:tc>
        <w:tc>
          <w:tcPr>
            <w:tcW w:w="1982"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Healthy individuals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tc>
        <w:tc>
          <w:tcPr>
            <w:tcW w:w="283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CVD patients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p w:rsidR="00A51ABF" w:rsidRPr="00830AE7" w:rsidRDefault="00A51ABF" w:rsidP="00830AE7">
            <w:pPr>
              <w:spacing w:line="360" w:lineRule="auto"/>
              <w:ind w:right="288"/>
              <w:jc w:val="both"/>
              <w:rPr>
                <w:rFonts w:ascii="Times New Roman" w:hAnsi="Times New Roman" w:cs="Times New Roman"/>
                <w:bCs/>
                <w:sz w:val="20"/>
                <w:szCs w:val="20"/>
                <w:lang w:val="en-US"/>
              </w:rPr>
            </w:pPr>
          </w:p>
        </w:tc>
        <w:tc>
          <w:tcPr>
            <w:tcW w:w="280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 xml:space="preserve">T test, </w:t>
            </w:r>
            <w:r w:rsidRPr="00830AE7">
              <w:rPr>
                <w:rFonts w:ascii="Times New Roman" w:hAnsi="Times New Roman" w:cs="Times New Roman"/>
                <w:b/>
                <w:bCs/>
                <w:i/>
                <w:sz w:val="20"/>
                <w:szCs w:val="20"/>
                <w:lang w:val="en-US"/>
              </w:rPr>
              <w:t>P</w:t>
            </w:r>
            <w:r w:rsidRPr="00830AE7">
              <w:rPr>
                <w:rFonts w:ascii="Times New Roman" w:hAnsi="Times New Roman" w:cs="Times New Roman"/>
                <w:b/>
                <w:bCs/>
                <w:sz w:val="20"/>
                <w:szCs w:val="20"/>
                <w:lang w:val="en-US"/>
              </w:rPr>
              <w:t xml:space="preserve"> value</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Cholesterol (mg/dl)</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164.52 ± 28.98</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227.66 ± 27.74</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sz w:val="20"/>
                <w:szCs w:val="20"/>
                <w:lang w:val="en-US"/>
              </w:rPr>
              <w:t>&lt; 0.001</w:t>
            </w:r>
            <w:r w:rsidRPr="00830AE7">
              <w:rPr>
                <w:sz w:val="20"/>
                <w:szCs w:val="20"/>
                <w:vertAlign w:val="superscript"/>
                <w:lang w:val="en-US"/>
              </w:rPr>
              <w:t>***</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Triglycerides (TG) (mg/dl)</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124.86 ± 33.33</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217.88 ± 30.91</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sz w:val="20"/>
                <w:szCs w:val="20"/>
                <w:lang w:val="en-US"/>
              </w:rPr>
              <w:t>&lt; 0.001</w:t>
            </w:r>
            <w:r w:rsidRPr="00830AE7">
              <w:rPr>
                <w:sz w:val="20"/>
                <w:szCs w:val="20"/>
                <w:vertAlign w:val="superscript"/>
                <w:lang w:val="en-US"/>
              </w:rPr>
              <w:t>***</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High density lipoprotein</w:t>
            </w:r>
          </w:p>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(HDL) (mg/dl)</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46.23 ± 10.20</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35.50 ± 6.72</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sz w:val="20"/>
                <w:szCs w:val="20"/>
                <w:lang w:val="en-US"/>
              </w:rPr>
              <w:t>&lt; 0.001</w:t>
            </w:r>
            <w:r w:rsidRPr="00830AE7">
              <w:rPr>
                <w:sz w:val="20"/>
                <w:szCs w:val="20"/>
                <w:vertAlign w:val="superscript"/>
                <w:lang w:val="en-US"/>
              </w:rPr>
              <w:t>***</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Low density lipoprotein (LDL) (mg/dl)</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97.22 ± 28.53</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158.03 ± 21.26</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sz w:val="20"/>
                <w:szCs w:val="20"/>
                <w:lang w:val="en-US"/>
              </w:rPr>
              <w:t>&lt; 0.001</w:t>
            </w:r>
            <w:r w:rsidRPr="00830AE7">
              <w:rPr>
                <w:sz w:val="20"/>
                <w:szCs w:val="20"/>
                <w:vertAlign w:val="superscript"/>
                <w:lang w:val="en-US"/>
              </w:rPr>
              <w:t>***</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sz w:val="20"/>
                <w:szCs w:val="20"/>
                <w:lang w:val="en-US"/>
              </w:rPr>
              <w:t>Very low density lipoprotein VLDL (mg/dl)</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24.97 ± 6.64</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43.79 ± 6.38</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b/>
                <w:sz w:val="20"/>
                <w:szCs w:val="20"/>
                <w:lang w:val="en-US"/>
              </w:rPr>
              <w:t xml:space="preserve">&lt; </w:t>
            </w:r>
            <w:r w:rsidRPr="00830AE7">
              <w:rPr>
                <w:sz w:val="20"/>
                <w:szCs w:val="20"/>
                <w:lang w:val="en-US"/>
              </w:rPr>
              <w:t>0.001</w:t>
            </w:r>
            <w:r w:rsidRPr="00830AE7">
              <w:rPr>
                <w:sz w:val="20"/>
                <w:szCs w:val="20"/>
                <w:vertAlign w:val="superscript"/>
                <w:lang w:val="en-US"/>
              </w:rPr>
              <w:t>***</w:t>
            </w:r>
          </w:p>
        </w:tc>
      </w:tr>
    </w:tbl>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Lipid profile of CVD patients and healthy individuals is shown in table 3. The concentration of total cholesterol, triglycerides and LDL was found significantly higher in CVD patients compared to healthy individuals. The HDL values were significantly lower in diseased group (CVD patients) as compared to healthy individuals.</w:t>
      </w: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proofErr w:type="gramStart"/>
      <w:r w:rsidRPr="00830AE7">
        <w:rPr>
          <w:rFonts w:ascii="Times New Roman" w:hAnsi="Times New Roman" w:cs="Times New Roman"/>
          <w:b/>
          <w:bCs/>
          <w:sz w:val="20"/>
          <w:szCs w:val="20"/>
          <w:lang w:val="en-US"/>
        </w:rPr>
        <w:t>Table 4: HbA1c</w:t>
      </w:r>
      <w:r w:rsidRPr="00830AE7">
        <w:rPr>
          <w:rFonts w:ascii="Times New Roman" w:hAnsi="Times New Roman" w:cs="Times New Roman"/>
          <w:bCs/>
          <w:sz w:val="20"/>
          <w:szCs w:val="20"/>
          <w:lang w:val="en-US"/>
        </w:rPr>
        <w:t xml:space="preserve"> </w:t>
      </w:r>
      <w:r w:rsidRPr="00830AE7">
        <w:rPr>
          <w:rFonts w:ascii="Times New Roman" w:hAnsi="Times New Roman" w:cs="Times New Roman"/>
          <w:b/>
          <w:bCs/>
          <w:sz w:val="20"/>
          <w:szCs w:val="20"/>
          <w:lang w:val="en-US"/>
        </w:rPr>
        <w:t>in CVD patients and healthy individuals.</w:t>
      </w:r>
      <w:proofErr w:type="gramEnd"/>
    </w:p>
    <w:tbl>
      <w:tblPr>
        <w:tblStyle w:val="TableGrid"/>
        <w:tblW w:w="0" w:type="auto"/>
        <w:tblInd w:w="-176" w:type="dxa"/>
        <w:tblLook w:val="04A0" w:firstRow="1" w:lastRow="0" w:firstColumn="1" w:lastColumn="0" w:noHBand="0" w:noVBand="1"/>
      </w:tblPr>
      <w:tblGrid>
        <w:gridCol w:w="2069"/>
        <w:gridCol w:w="1946"/>
        <w:gridCol w:w="2723"/>
        <w:gridCol w:w="2680"/>
      </w:tblGrid>
      <w:tr w:rsidR="00A51ABF" w:rsidRPr="00830AE7" w:rsidTr="0008669E">
        <w:tc>
          <w:tcPr>
            <w:tcW w:w="2130"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Variable</w:t>
            </w:r>
          </w:p>
        </w:tc>
        <w:tc>
          <w:tcPr>
            <w:tcW w:w="1982"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Healthy individuals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p w:rsidR="00A51ABF" w:rsidRPr="00830AE7" w:rsidRDefault="00A51ABF" w:rsidP="00830AE7">
            <w:pPr>
              <w:spacing w:line="360" w:lineRule="auto"/>
              <w:ind w:right="288"/>
              <w:jc w:val="both"/>
              <w:rPr>
                <w:rFonts w:ascii="Times New Roman" w:hAnsi="Times New Roman" w:cs="Times New Roman"/>
                <w:bCs/>
                <w:sz w:val="20"/>
                <w:szCs w:val="20"/>
                <w:lang w:val="en-US"/>
              </w:rPr>
            </w:pPr>
          </w:p>
        </w:tc>
        <w:tc>
          <w:tcPr>
            <w:tcW w:w="283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CVD patients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tc>
        <w:tc>
          <w:tcPr>
            <w:tcW w:w="280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 xml:space="preserve">T test, </w:t>
            </w:r>
            <w:r w:rsidRPr="00830AE7">
              <w:rPr>
                <w:rFonts w:ascii="Times New Roman" w:hAnsi="Times New Roman" w:cs="Times New Roman"/>
                <w:b/>
                <w:bCs/>
                <w:i/>
                <w:sz w:val="20"/>
                <w:szCs w:val="20"/>
                <w:lang w:val="en-US"/>
              </w:rPr>
              <w:t>P</w:t>
            </w:r>
            <w:r w:rsidRPr="00830AE7">
              <w:rPr>
                <w:rFonts w:ascii="Times New Roman" w:hAnsi="Times New Roman" w:cs="Times New Roman"/>
                <w:b/>
                <w:bCs/>
                <w:sz w:val="20"/>
                <w:szCs w:val="20"/>
                <w:lang w:val="en-US"/>
              </w:rPr>
              <w:t xml:space="preserve"> value</w:t>
            </w:r>
          </w:p>
        </w:tc>
      </w:tr>
      <w:tr w:rsidR="00A51ABF" w:rsidRPr="00830AE7" w:rsidTr="0008669E">
        <w:tc>
          <w:tcPr>
            <w:tcW w:w="2130" w:type="dxa"/>
          </w:tcPr>
          <w:p w:rsidR="00A51ABF" w:rsidRPr="00830AE7" w:rsidRDefault="00A51ABF" w:rsidP="00830AE7">
            <w:pPr>
              <w:tabs>
                <w:tab w:val="left" w:pos="787"/>
              </w:tabs>
              <w:spacing w:line="360" w:lineRule="auto"/>
              <w:jc w:val="center"/>
              <w:rPr>
                <w:rFonts w:ascii="Times New Roman" w:eastAsia="Calibri" w:hAnsi="Times New Roman" w:cs="Times New Roman"/>
                <w:sz w:val="20"/>
                <w:szCs w:val="20"/>
                <w:lang w:val="en-US"/>
              </w:rPr>
            </w:pPr>
            <w:r w:rsidRPr="00830AE7">
              <w:rPr>
                <w:rFonts w:ascii="Times New Roman" w:eastAsia="Calibri" w:hAnsi="Times New Roman" w:cs="Times New Roman"/>
                <w:bCs/>
                <w:kern w:val="24"/>
                <w:sz w:val="20"/>
                <w:szCs w:val="20"/>
                <w:lang w:val="en-US"/>
              </w:rPr>
              <w:t>HbA1c (%)</w:t>
            </w:r>
          </w:p>
        </w:tc>
        <w:tc>
          <w:tcPr>
            <w:tcW w:w="1982"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5.1 ± 0.37</w:t>
            </w:r>
          </w:p>
        </w:tc>
        <w:tc>
          <w:tcPr>
            <w:tcW w:w="2835" w:type="dxa"/>
          </w:tcPr>
          <w:p w:rsidR="00A51ABF" w:rsidRPr="00830AE7" w:rsidRDefault="00A51ABF" w:rsidP="00830AE7">
            <w:pPr>
              <w:tabs>
                <w:tab w:val="left" w:pos="787"/>
              </w:tabs>
              <w:spacing w:line="360" w:lineRule="auto"/>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5.3 ± 0.56</w:t>
            </w:r>
          </w:p>
        </w:tc>
        <w:tc>
          <w:tcPr>
            <w:tcW w:w="2805" w:type="dxa"/>
          </w:tcPr>
          <w:p w:rsidR="00A51ABF" w:rsidRPr="00830AE7" w:rsidRDefault="00A51ABF" w:rsidP="00830AE7">
            <w:pPr>
              <w:pStyle w:val="NormalWeb"/>
              <w:tabs>
                <w:tab w:val="left" w:pos="787"/>
              </w:tabs>
              <w:spacing w:before="0" w:beforeAutospacing="0" w:after="0" w:afterAutospacing="0" w:line="360" w:lineRule="auto"/>
              <w:jc w:val="center"/>
              <w:rPr>
                <w:sz w:val="20"/>
                <w:szCs w:val="20"/>
                <w:lang w:val="en-US"/>
              </w:rPr>
            </w:pPr>
            <w:r w:rsidRPr="00830AE7">
              <w:rPr>
                <w:sz w:val="20"/>
                <w:szCs w:val="20"/>
                <w:lang w:val="en-US"/>
              </w:rPr>
              <w:t>0.7</w:t>
            </w:r>
          </w:p>
        </w:tc>
      </w:tr>
    </w:tbl>
    <w:p w:rsidR="00A51ABF" w:rsidRPr="00830AE7" w:rsidRDefault="00A51ABF"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t xml:space="preserve">The mean HbA1c level of diseased group is shown in table 4. The HbA1c level was </w:t>
      </w:r>
      <w:r w:rsidRPr="00830AE7">
        <w:rPr>
          <w:rFonts w:ascii="Times New Roman" w:hAnsi="Times New Roman" w:cs="Times New Roman"/>
          <w:bCs/>
          <w:kern w:val="24"/>
          <w:sz w:val="20"/>
          <w:szCs w:val="20"/>
          <w:lang w:val="en-US"/>
        </w:rPr>
        <w:t xml:space="preserve">5.3 ± 0.56 in CVD patients whereas it was 5.1 ± 0.37 in healthy individuals. </w:t>
      </w:r>
      <w:r w:rsidRPr="00830AE7">
        <w:rPr>
          <w:rFonts w:ascii="Times New Roman" w:hAnsi="Times New Roman" w:cs="Times New Roman"/>
          <w:bCs/>
          <w:sz w:val="20"/>
          <w:szCs w:val="20"/>
          <w:lang w:val="en-US"/>
        </w:rPr>
        <w:t xml:space="preserve">There was no statistically significant difference observed between HbA1c level of patients with CVD and healthy individuals (T test, </w:t>
      </w:r>
      <w:r w:rsidRPr="00830AE7">
        <w:rPr>
          <w:rFonts w:ascii="Times New Roman" w:hAnsi="Times New Roman" w:cs="Times New Roman"/>
          <w:bCs/>
          <w:i/>
          <w:sz w:val="20"/>
          <w:szCs w:val="20"/>
          <w:lang w:val="en-US"/>
        </w:rPr>
        <w:t>P</w:t>
      </w:r>
      <w:r w:rsidRPr="00830AE7">
        <w:rPr>
          <w:rFonts w:ascii="Times New Roman" w:hAnsi="Times New Roman" w:cs="Times New Roman"/>
          <w:bCs/>
          <w:sz w:val="20"/>
          <w:szCs w:val="20"/>
          <w:lang w:val="en-US"/>
        </w:rPr>
        <w:t xml:space="preserve"> value, 0.7).</w:t>
      </w:r>
    </w:p>
    <w:p w:rsidR="00830AE7" w:rsidRDefault="00830AE7" w:rsidP="00830AE7">
      <w:pPr>
        <w:spacing w:after="0" w:line="360" w:lineRule="auto"/>
        <w:ind w:right="288"/>
        <w:jc w:val="both"/>
        <w:rPr>
          <w:rFonts w:ascii="Times New Roman" w:hAnsi="Times New Roman" w:cs="Times New Roman"/>
          <w:b/>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
          <w:bCs/>
          <w:sz w:val="20"/>
          <w:szCs w:val="20"/>
          <w:lang w:val="en-US"/>
        </w:rPr>
      </w:pPr>
      <w:proofErr w:type="gramStart"/>
      <w:r w:rsidRPr="00830AE7">
        <w:rPr>
          <w:rFonts w:ascii="Times New Roman" w:hAnsi="Times New Roman" w:cs="Times New Roman"/>
          <w:b/>
          <w:bCs/>
          <w:sz w:val="20"/>
          <w:szCs w:val="20"/>
          <w:lang w:val="en-US"/>
        </w:rPr>
        <w:t>Table 5: CK-MB level in CVD patients and healthy individuals.</w:t>
      </w:r>
      <w:proofErr w:type="gramEnd"/>
    </w:p>
    <w:tbl>
      <w:tblPr>
        <w:tblStyle w:val="TableGrid"/>
        <w:tblW w:w="0" w:type="auto"/>
        <w:tblInd w:w="-176" w:type="dxa"/>
        <w:tblLook w:val="04A0" w:firstRow="1" w:lastRow="0" w:firstColumn="1" w:lastColumn="0" w:noHBand="0" w:noVBand="1"/>
      </w:tblPr>
      <w:tblGrid>
        <w:gridCol w:w="2080"/>
        <w:gridCol w:w="1944"/>
        <w:gridCol w:w="2718"/>
        <w:gridCol w:w="2676"/>
      </w:tblGrid>
      <w:tr w:rsidR="00A51ABF" w:rsidRPr="00830AE7" w:rsidTr="0008669E">
        <w:tc>
          <w:tcPr>
            <w:tcW w:w="2130"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Parameter</w:t>
            </w:r>
          </w:p>
        </w:tc>
        <w:tc>
          <w:tcPr>
            <w:tcW w:w="1982"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Healthy individuals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tc>
        <w:tc>
          <w:tcPr>
            <w:tcW w:w="283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CVD patients</w:t>
            </w:r>
          </w:p>
          <w:p w:rsidR="00A51ABF" w:rsidRPr="00830AE7" w:rsidRDefault="00A51ABF" w:rsidP="00830AE7">
            <w:pPr>
              <w:spacing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bCs/>
                <w:sz w:val="20"/>
                <w:szCs w:val="20"/>
                <w:lang w:val="en-US"/>
              </w:rPr>
              <w:t>(Mean ±SD)</w:t>
            </w:r>
          </w:p>
          <w:p w:rsidR="00A51ABF" w:rsidRPr="00830AE7" w:rsidRDefault="00A51ABF" w:rsidP="00830AE7">
            <w:pPr>
              <w:spacing w:line="360" w:lineRule="auto"/>
              <w:ind w:right="288"/>
              <w:jc w:val="both"/>
              <w:rPr>
                <w:rFonts w:ascii="Times New Roman" w:hAnsi="Times New Roman" w:cs="Times New Roman"/>
                <w:bCs/>
                <w:sz w:val="20"/>
                <w:szCs w:val="20"/>
                <w:lang w:val="en-US"/>
              </w:rPr>
            </w:pPr>
          </w:p>
        </w:tc>
        <w:tc>
          <w:tcPr>
            <w:tcW w:w="2805" w:type="dxa"/>
          </w:tcPr>
          <w:p w:rsidR="00A51ABF" w:rsidRPr="00830AE7" w:rsidRDefault="00A51ABF" w:rsidP="00830AE7">
            <w:pPr>
              <w:spacing w:line="360" w:lineRule="auto"/>
              <w:ind w:right="288"/>
              <w:jc w:val="both"/>
              <w:rPr>
                <w:rFonts w:ascii="Times New Roman" w:hAnsi="Times New Roman" w:cs="Times New Roman"/>
                <w:b/>
                <w:bCs/>
                <w:sz w:val="20"/>
                <w:szCs w:val="20"/>
                <w:lang w:val="en-US"/>
              </w:rPr>
            </w:pPr>
            <w:r w:rsidRPr="00830AE7">
              <w:rPr>
                <w:rFonts w:ascii="Times New Roman" w:hAnsi="Times New Roman" w:cs="Times New Roman"/>
                <w:b/>
                <w:bCs/>
                <w:sz w:val="20"/>
                <w:szCs w:val="20"/>
                <w:lang w:val="en-US"/>
              </w:rPr>
              <w:t xml:space="preserve">T test, </w:t>
            </w:r>
            <w:r w:rsidRPr="00830AE7">
              <w:rPr>
                <w:rFonts w:ascii="Times New Roman" w:hAnsi="Times New Roman" w:cs="Times New Roman"/>
                <w:b/>
                <w:bCs/>
                <w:i/>
                <w:sz w:val="20"/>
                <w:szCs w:val="20"/>
                <w:lang w:val="en-US"/>
              </w:rPr>
              <w:t>P</w:t>
            </w:r>
            <w:r w:rsidRPr="00830AE7">
              <w:rPr>
                <w:rFonts w:ascii="Times New Roman" w:hAnsi="Times New Roman" w:cs="Times New Roman"/>
                <w:b/>
                <w:bCs/>
                <w:sz w:val="20"/>
                <w:szCs w:val="20"/>
                <w:lang w:val="en-US"/>
              </w:rPr>
              <w:t xml:space="preserve"> value</w:t>
            </w:r>
          </w:p>
        </w:tc>
      </w:tr>
      <w:tr w:rsidR="00A51ABF" w:rsidRPr="00830AE7" w:rsidTr="0008669E">
        <w:tc>
          <w:tcPr>
            <w:tcW w:w="2130" w:type="dxa"/>
          </w:tcPr>
          <w:p w:rsidR="00A51ABF" w:rsidRPr="00830AE7" w:rsidRDefault="00A51ABF" w:rsidP="00830AE7">
            <w:pPr>
              <w:spacing w:line="360" w:lineRule="auto"/>
              <w:ind w:left="12" w:right="18"/>
              <w:jc w:val="center"/>
              <w:rPr>
                <w:rFonts w:ascii="Times New Roman" w:hAnsi="Times New Roman" w:cs="Times New Roman"/>
                <w:sz w:val="20"/>
                <w:szCs w:val="20"/>
                <w:lang w:val="en-US"/>
              </w:rPr>
            </w:pPr>
            <w:r w:rsidRPr="00830AE7">
              <w:rPr>
                <w:rFonts w:ascii="Times New Roman" w:hAnsi="Times New Roman" w:cs="Times New Roman"/>
                <w:sz w:val="20"/>
                <w:szCs w:val="20"/>
                <w:lang w:val="en-US"/>
              </w:rPr>
              <w:t>CK-MB (</w:t>
            </w:r>
            <w:proofErr w:type="spellStart"/>
            <w:r w:rsidRPr="00830AE7">
              <w:rPr>
                <w:rFonts w:ascii="Times New Roman" w:hAnsi="Times New Roman" w:cs="Times New Roman"/>
                <w:sz w:val="20"/>
                <w:szCs w:val="20"/>
                <w:lang w:val="en-US"/>
              </w:rPr>
              <w:t>ng</w:t>
            </w:r>
            <w:proofErr w:type="spellEnd"/>
            <w:r w:rsidRPr="00830AE7">
              <w:rPr>
                <w:rFonts w:ascii="Times New Roman" w:hAnsi="Times New Roman" w:cs="Times New Roman"/>
                <w:sz w:val="20"/>
                <w:szCs w:val="20"/>
                <w:lang w:val="en-US"/>
              </w:rPr>
              <w:t>/ml)</w:t>
            </w:r>
          </w:p>
        </w:tc>
        <w:tc>
          <w:tcPr>
            <w:tcW w:w="1982" w:type="dxa"/>
          </w:tcPr>
          <w:p w:rsidR="00A51ABF" w:rsidRPr="00830AE7" w:rsidRDefault="00A51ABF" w:rsidP="00830AE7">
            <w:pPr>
              <w:spacing w:line="360" w:lineRule="auto"/>
              <w:ind w:left="12" w:right="18"/>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6.05 ± 2.52</w:t>
            </w:r>
          </w:p>
        </w:tc>
        <w:tc>
          <w:tcPr>
            <w:tcW w:w="2835" w:type="dxa"/>
          </w:tcPr>
          <w:p w:rsidR="00A51ABF" w:rsidRPr="00830AE7" w:rsidRDefault="00A51ABF" w:rsidP="00830AE7">
            <w:pPr>
              <w:spacing w:line="360" w:lineRule="auto"/>
              <w:ind w:left="12" w:right="18"/>
              <w:jc w:val="center"/>
              <w:rPr>
                <w:rFonts w:ascii="Times New Roman" w:hAnsi="Times New Roman" w:cs="Times New Roman"/>
                <w:sz w:val="20"/>
                <w:szCs w:val="20"/>
                <w:lang w:val="en-US"/>
              </w:rPr>
            </w:pPr>
            <w:r w:rsidRPr="00830AE7">
              <w:rPr>
                <w:rFonts w:ascii="Times New Roman" w:hAnsi="Times New Roman" w:cs="Times New Roman"/>
                <w:bCs/>
                <w:kern w:val="24"/>
                <w:sz w:val="20"/>
                <w:szCs w:val="20"/>
                <w:lang w:val="en-US"/>
              </w:rPr>
              <w:t>75.88 ± 9.48</w:t>
            </w:r>
          </w:p>
        </w:tc>
        <w:tc>
          <w:tcPr>
            <w:tcW w:w="2805" w:type="dxa"/>
          </w:tcPr>
          <w:p w:rsidR="00A51ABF" w:rsidRPr="00830AE7" w:rsidRDefault="00A51ABF" w:rsidP="00830AE7">
            <w:pPr>
              <w:pStyle w:val="NormalWeb"/>
              <w:spacing w:before="0" w:beforeAutospacing="0" w:after="0" w:afterAutospacing="0" w:line="360" w:lineRule="auto"/>
              <w:ind w:left="12" w:right="18"/>
              <w:jc w:val="center"/>
              <w:rPr>
                <w:sz w:val="20"/>
                <w:szCs w:val="20"/>
                <w:lang w:val="en-US"/>
              </w:rPr>
            </w:pPr>
            <w:r w:rsidRPr="00830AE7">
              <w:rPr>
                <w:sz w:val="20"/>
                <w:szCs w:val="20"/>
                <w:lang w:val="en-US"/>
              </w:rPr>
              <w:t>&lt; 0.0001</w:t>
            </w:r>
            <w:r w:rsidRPr="00830AE7">
              <w:rPr>
                <w:sz w:val="20"/>
                <w:szCs w:val="20"/>
                <w:vertAlign w:val="superscript"/>
                <w:lang w:val="en-US"/>
              </w:rPr>
              <w:t>***</w:t>
            </w:r>
          </w:p>
        </w:tc>
      </w:tr>
    </w:tbl>
    <w:p w:rsidR="00A51ABF" w:rsidRPr="00830AE7" w:rsidRDefault="00A51ABF" w:rsidP="00830AE7">
      <w:pPr>
        <w:spacing w:after="0" w:line="360" w:lineRule="auto"/>
        <w:ind w:right="288"/>
        <w:jc w:val="both"/>
        <w:rPr>
          <w:rFonts w:ascii="Times New Roman" w:hAnsi="Times New Roman" w:cs="Times New Roman"/>
          <w:bCs/>
          <w:sz w:val="20"/>
          <w:szCs w:val="20"/>
          <w:lang w:val="en-US"/>
        </w:rPr>
      </w:pP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Cs/>
          <w:sz w:val="20"/>
          <w:szCs w:val="20"/>
          <w:lang w:val="en-US"/>
        </w:rPr>
        <w:lastRenderedPageBreak/>
        <w:t xml:space="preserve">The mean CK-MB level in CVD patients and healthy individuals is shown table 5. CK-MB level was significantly increased in CVD patients compared to healthy individuals (T test, </w:t>
      </w:r>
      <w:r w:rsidRPr="00830AE7">
        <w:rPr>
          <w:rFonts w:ascii="Times New Roman" w:hAnsi="Times New Roman" w:cs="Times New Roman"/>
          <w:bCs/>
          <w:i/>
          <w:sz w:val="20"/>
          <w:szCs w:val="20"/>
          <w:lang w:val="en-US"/>
        </w:rPr>
        <w:t>P</w:t>
      </w:r>
      <w:r w:rsidRPr="00830AE7">
        <w:rPr>
          <w:rFonts w:ascii="Times New Roman" w:hAnsi="Times New Roman" w:cs="Times New Roman"/>
          <w:bCs/>
          <w:sz w:val="20"/>
          <w:szCs w:val="20"/>
          <w:lang w:val="en-US"/>
        </w:rPr>
        <w:t xml:space="preserve"> value </w:t>
      </w:r>
      <w:r w:rsidRPr="00830AE7">
        <w:rPr>
          <w:rFonts w:ascii="Times New Roman" w:hAnsi="Times New Roman" w:cs="Times New Roman"/>
          <w:sz w:val="20"/>
          <w:szCs w:val="20"/>
          <w:lang w:val="en-US"/>
        </w:rPr>
        <w:t>&lt; 0.0001</w:t>
      </w:r>
      <w:r w:rsidRPr="00830AE7">
        <w:rPr>
          <w:rFonts w:ascii="Times New Roman" w:hAnsi="Times New Roman" w:cs="Times New Roman"/>
          <w:sz w:val="20"/>
          <w:szCs w:val="20"/>
          <w:vertAlign w:val="superscript"/>
          <w:lang w:val="en-US"/>
        </w:rPr>
        <w:t>***</w:t>
      </w:r>
      <w:r w:rsidRPr="00830AE7">
        <w:rPr>
          <w:rFonts w:ascii="Times New Roman" w:hAnsi="Times New Roman" w:cs="Times New Roman"/>
          <w:bCs/>
          <w:sz w:val="20"/>
          <w:szCs w:val="20"/>
          <w:lang w:val="en-US"/>
        </w:rPr>
        <w:t>).</w:t>
      </w:r>
    </w:p>
    <w:p w:rsidR="00A51ABF" w:rsidRPr="00830AE7" w:rsidRDefault="00A51ABF" w:rsidP="00830AE7">
      <w:pPr>
        <w:spacing w:after="0" w:line="360" w:lineRule="auto"/>
        <w:ind w:right="288"/>
        <w:jc w:val="both"/>
        <w:rPr>
          <w:rFonts w:ascii="Times New Roman" w:hAnsi="Times New Roman" w:cs="Times New Roman"/>
          <w:bCs/>
          <w:sz w:val="20"/>
          <w:szCs w:val="20"/>
          <w:lang w:val="en-US"/>
        </w:rPr>
      </w:pPr>
      <w:r w:rsidRPr="00830AE7">
        <w:rPr>
          <w:rFonts w:ascii="Times New Roman" w:hAnsi="Times New Roman" w:cs="Times New Roman"/>
          <w:b/>
          <w:sz w:val="20"/>
          <w:szCs w:val="20"/>
          <w:shd w:val="clear" w:color="auto" w:fill="FFFFFF"/>
        </w:rPr>
        <w:t>Discussion.</w:t>
      </w:r>
    </w:p>
    <w:p w:rsidR="00A51ABF" w:rsidRPr="00830AE7" w:rsidRDefault="00A51ABF" w:rsidP="00830AE7">
      <w:pPr>
        <w:spacing w:after="0" w:line="360" w:lineRule="auto"/>
        <w:jc w:val="both"/>
        <w:rPr>
          <w:rFonts w:ascii="Times New Roman" w:hAnsi="Times New Roman" w:cs="Times New Roman"/>
          <w:color w:val="000000" w:themeColor="text1"/>
          <w:sz w:val="20"/>
          <w:szCs w:val="20"/>
        </w:rPr>
      </w:pPr>
      <w:r w:rsidRPr="00830AE7">
        <w:rPr>
          <w:rFonts w:ascii="Times New Roman" w:hAnsi="Times New Roman" w:cs="Times New Roman"/>
          <w:color w:val="000000" w:themeColor="text1"/>
          <w:sz w:val="20"/>
          <w:szCs w:val="20"/>
          <w:shd w:val="clear" w:color="auto" w:fill="FFFFFF"/>
        </w:rPr>
        <w:t>CVD, principally ischemic heart disease (IHD) and stroke are the leading cause of mortality and morbidity worldwide.</w:t>
      </w:r>
      <w:r w:rsidRPr="00830AE7">
        <w:rPr>
          <w:rFonts w:ascii="Times New Roman" w:hAnsi="Times New Roman" w:cs="Times New Roman"/>
          <w:sz w:val="20"/>
          <w:szCs w:val="20"/>
          <w:vertAlign w:val="superscript"/>
        </w:rPr>
        <w:t xml:space="preserve"> 8</w:t>
      </w:r>
      <w:r w:rsidRPr="00830AE7">
        <w:rPr>
          <w:rFonts w:ascii="Times New Roman" w:hAnsi="Times New Roman" w:cs="Times New Roman"/>
          <w:color w:val="000000" w:themeColor="text1"/>
          <w:sz w:val="20"/>
          <w:szCs w:val="20"/>
        </w:rPr>
        <w:t xml:space="preserve"> Prevalence of CVD has nearly doubled from 271 million in 1990 to 523 million in 2019.</w:t>
      </w:r>
      <w:r w:rsidRPr="00830AE7">
        <w:rPr>
          <w:rFonts w:ascii="Times New Roman" w:hAnsi="Times New Roman" w:cs="Times New Roman"/>
          <w:sz w:val="20"/>
          <w:szCs w:val="20"/>
          <w:vertAlign w:val="superscript"/>
        </w:rPr>
        <w:t xml:space="preserve"> 9</w:t>
      </w:r>
      <w:r w:rsidRPr="00830AE7">
        <w:rPr>
          <w:rFonts w:ascii="Times New Roman" w:hAnsi="Times New Roman" w:cs="Times New Roman"/>
          <w:color w:val="000000" w:themeColor="text1"/>
          <w:sz w:val="20"/>
          <w:szCs w:val="20"/>
        </w:rPr>
        <w:t xml:space="preserve"> Similarly the number of deaths due to CVD has steadily increased from 12.1 million in 1990 to 18.6 million in 2019.</w:t>
      </w:r>
      <w:r w:rsidRPr="00830AE7">
        <w:rPr>
          <w:rFonts w:ascii="Times New Roman" w:hAnsi="Times New Roman" w:cs="Times New Roman"/>
          <w:sz w:val="20"/>
          <w:szCs w:val="20"/>
          <w:vertAlign w:val="superscript"/>
        </w:rPr>
        <w:t xml:space="preserve"> 9</w:t>
      </w:r>
      <w:r w:rsidRPr="00830AE7">
        <w:rPr>
          <w:rFonts w:ascii="Times New Roman" w:hAnsi="Times New Roman" w:cs="Times New Roman"/>
          <w:color w:val="000000" w:themeColor="text1"/>
          <w:sz w:val="20"/>
          <w:szCs w:val="20"/>
        </w:rPr>
        <w:t xml:space="preserve"> Rapid </w:t>
      </w:r>
      <w:proofErr w:type="gramStart"/>
      <w:r w:rsidRPr="00830AE7">
        <w:rPr>
          <w:rFonts w:ascii="Times New Roman" w:hAnsi="Times New Roman" w:cs="Times New Roman"/>
          <w:color w:val="000000" w:themeColor="text1"/>
          <w:sz w:val="20"/>
          <w:szCs w:val="20"/>
        </w:rPr>
        <w:t>diagnosis</w:t>
      </w:r>
      <w:proofErr w:type="gramEnd"/>
      <w:r w:rsidRPr="00830AE7">
        <w:rPr>
          <w:rFonts w:ascii="Times New Roman" w:hAnsi="Times New Roman" w:cs="Times New Roman"/>
          <w:color w:val="000000" w:themeColor="text1"/>
          <w:sz w:val="20"/>
          <w:szCs w:val="20"/>
        </w:rPr>
        <w:t xml:space="preserve"> along with effective treatment is a key determinant of outcomes for CVD events.</w:t>
      </w:r>
      <w:r w:rsidRPr="00830AE7">
        <w:rPr>
          <w:rFonts w:ascii="Times New Roman" w:hAnsi="Times New Roman" w:cs="Times New Roman"/>
          <w:sz w:val="20"/>
          <w:szCs w:val="20"/>
          <w:vertAlign w:val="superscript"/>
        </w:rPr>
        <w:t xml:space="preserve"> 10</w:t>
      </w:r>
    </w:p>
    <w:p w:rsidR="00A51ABF" w:rsidRPr="00830AE7" w:rsidRDefault="00A51ABF" w:rsidP="00830AE7">
      <w:pPr>
        <w:spacing w:after="0" w:line="360" w:lineRule="auto"/>
        <w:jc w:val="both"/>
        <w:rPr>
          <w:rFonts w:ascii="Times New Roman" w:hAnsi="Times New Roman" w:cs="Times New Roman"/>
          <w:color w:val="212121"/>
          <w:sz w:val="20"/>
          <w:szCs w:val="20"/>
          <w:shd w:val="clear" w:color="auto" w:fill="FFFFFF"/>
        </w:rPr>
      </w:pPr>
      <w:r w:rsidRPr="00830AE7">
        <w:rPr>
          <w:rFonts w:ascii="Times New Roman" w:hAnsi="Times New Roman" w:cs="Times New Roman"/>
          <w:color w:val="000000" w:themeColor="text1"/>
          <w:sz w:val="20"/>
          <w:szCs w:val="20"/>
        </w:rPr>
        <w:t xml:space="preserve">In the present study, diagnostic role of CK-MB was evaluated for CVD patients belonging to age group 40-60 years. In Indians, </w:t>
      </w:r>
      <w:r w:rsidRPr="00830AE7">
        <w:rPr>
          <w:rFonts w:ascii="Times New Roman" w:hAnsi="Times New Roman" w:cs="Times New Roman"/>
          <w:color w:val="212121"/>
          <w:sz w:val="20"/>
          <w:szCs w:val="20"/>
          <w:shd w:val="clear" w:color="auto" w:fill="FFFFFF"/>
        </w:rPr>
        <w:t>CVDs strike at least a decade earlier than the western population.</w:t>
      </w:r>
      <w:r w:rsidRPr="00830AE7">
        <w:rPr>
          <w:rFonts w:ascii="Times New Roman" w:hAnsi="Times New Roman" w:cs="Times New Roman"/>
          <w:sz w:val="20"/>
          <w:szCs w:val="20"/>
          <w:vertAlign w:val="superscript"/>
        </w:rPr>
        <w:t>11</w:t>
      </w:r>
      <w:proofErr w:type="gramStart"/>
      <w:r w:rsidRPr="00830AE7">
        <w:rPr>
          <w:rFonts w:ascii="Times New Roman" w:hAnsi="Times New Roman" w:cs="Times New Roman"/>
          <w:color w:val="212121"/>
          <w:sz w:val="20"/>
          <w:szCs w:val="20"/>
          <w:shd w:val="clear" w:color="auto" w:fill="FFFFFF"/>
        </w:rPr>
        <w:t>  Onset</w:t>
      </w:r>
      <w:proofErr w:type="gramEnd"/>
      <w:r w:rsidRPr="00830AE7">
        <w:rPr>
          <w:rFonts w:ascii="Times New Roman" w:hAnsi="Times New Roman" w:cs="Times New Roman"/>
          <w:color w:val="212121"/>
          <w:sz w:val="20"/>
          <w:szCs w:val="20"/>
          <w:shd w:val="clear" w:color="auto" w:fill="FFFFFF"/>
        </w:rPr>
        <w:t xml:space="preserve"> at early age, rapid progression and high mortality rate are particular causes of concern of CVD in Indian population.</w:t>
      </w:r>
      <w:r w:rsidRPr="00830AE7">
        <w:rPr>
          <w:rFonts w:ascii="Times New Roman" w:hAnsi="Times New Roman" w:cs="Times New Roman"/>
          <w:color w:val="212121"/>
          <w:sz w:val="20"/>
          <w:szCs w:val="20"/>
          <w:shd w:val="clear" w:color="auto" w:fill="FFFFFF"/>
          <w:vertAlign w:val="superscript"/>
        </w:rPr>
        <w:t>11</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color w:val="212121"/>
          <w:sz w:val="20"/>
          <w:szCs w:val="20"/>
          <w:shd w:val="clear" w:color="auto" w:fill="FFFFFF"/>
        </w:rPr>
      </w:pPr>
      <w:r w:rsidRPr="00830AE7">
        <w:rPr>
          <w:rFonts w:ascii="Times New Roman" w:hAnsi="Times New Roman" w:cs="Times New Roman"/>
          <w:color w:val="212121"/>
          <w:sz w:val="20"/>
          <w:szCs w:val="20"/>
          <w:shd w:val="clear" w:color="auto" w:fill="FFFFFF"/>
        </w:rPr>
        <w:t>Morbidity and mortality due to CVD is higher in individuals with high BMI.</w:t>
      </w:r>
      <w:r w:rsidRPr="00830AE7">
        <w:rPr>
          <w:rFonts w:ascii="Times New Roman" w:hAnsi="Times New Roman" w:cs="Times New Roman"/>
          <w:color w:val="212121"/>
          <w:sz w:val="20"/>
          <w:szCs w:val="20"/>
          <w:shd w:val="clear" w:color="auto" w:fill="FFFFFF"/>
          <w:vertAlign w:val="superscript"/>
        </w:rPr>
        <w:t>12</w:t>
      </w:r>
      <w:r w:rsidRPr="00830AE7">
        <w:rPr>
          <w:rFonts w:ascii="Times New Roman" w:hAnsi="Times New Roman" w:cs="Times New Roman"/>
          <w:color w:val="212121"/>
          <w:sz w:val="20"/>
          <w:szCs w:val="20"/>
          <w:shd w:val="clear" w:color="auto" w:fill="FFFFFF"/>
        </w:rPr>
        <w:t xml:space="preserve"> </w:t>
      </w:r>
      <w:r w:rsidRPr="00830AE7">
        <w:rPr>
          <w:rFonts w:ascii="Times New Roman" w:hAnsi="Times New Roman" w:cs="Times New Roman"/>
          <w:color w:val="000000"/>
          <w:sz w:val="20"/>
          <w:szCs w:val="20"/>
        </w:rPr>
        <w:t xml:space="preserve">Obesity is generally associated with factors like hypertension, </w:t>
      </w:r>
      <w:proofErr w:type="spellStart"/>
      <w:r w:rsidRPr="00830AE7">
        <w:rPr>
          <w:rFonts w:ascii="Times New Roman" w:hAnsi="Times New Roman" w:cs="Times New Roman"/>
          <w:color w:val="000000"/>
          <w:sz w:val="20"/>
          <w:szCs w:val="20"/>
        </w:rPr>
        <w:t>hyperlipidemia</w:t>
      </w:r>
      <w:proofErr w:type="spellEnd"/>
      <w:r w:rsidRPr="00830AE7">
        <w:rPr>
          <w:rFonts w:ascii="Times New Roman" w:hAnsi="Times New Roman" w:cs="Times New Roman"/>
          <w:color w:val="000000"/>
          <w:sz w:val="20"/>
          <w:szCs w:val="20"/>
        </w:rPr>
        <w:t>, diabetes mellitus and elevated levels of fibrinogen and C-reactive protein (CRP), which increase the risk of CVD.</w:t>
      </w:r>
      <w:r w:rsidRPr="00830AE7">
        <w:rPr>
          <w:rFonts w:ascii="Times New Roman" w:hAnsi="Times New Roman" w:cs="Times New Roman"/>
          <w:color w:val="212121"/>
          <w:sz w:val="20"/>
          <w:szCs w:val="20"/>
          <w:shd w:val="clear" w:color="auto" w:fill="FFFFFF"/>
          <w:vertAlign w:val="superscript"/>
        </w:rPr>
        <w:t xml:space="preserve"> 12</w:t>
      </w:r>
      <w:r w:rsidRPr="00830AE7">
        <w:rPr>
          <w:rFonts w:ascii="Times New Roman" w:hAnsi="Times New Roman" w:cs="Times New Roman"/>
          <w:color w:val="000000"/>
          <w:sz w:val="20"/>
          <w:szCs w:val="20"/>
          <w:vertAlign w:val="superscript"/>
        </w:rPr>
        <w:t xml:space="preserve"> </w:t>
      </w:r>
      <w:r w:rsidRPr="00830AE7">
        <w:rPr>
          <w:rFonts w:ascii="Times New Roman" w:hAnsi="Times New Roman" w:cs="Times New Roman"/>
          <w:color w:val="000000" w:themeColor="text1"/>
          <w:sz w:val="20"/>
          <w:szCs w:val="20"/>
        </w:rPr>
        <w:t xml:space="preserve">In this study, </w:t>
      </w:r>
      <w:r w:rsidRPr="00830AE7">
        <w:rPr>
          <w:rFonts w:ascii="Times New Roman" w:hAnsi="Times New Roman" w:cs="Times New Roman"/>
          <w:bCs/>
          <w:sz w:val="20"/>
          <w:szCs w:val="20"/>
          <w:lang w:val="en-US"/>
        </w:rPr>
        <w:t>BMI of CVD patients (</w:t>
      </w:r>
      <w:r w:rsidRPr="00830AE7">
        <w:rPr>
          <w:rFonts w:ascii="Times New Roman" w:hAnsi="Times New Roman" w:cs="Times New Roman"/>
          <w:bCs/>
          <w:kern w:val="24"/>
          <w:sz w:val="20"/>
          <w:szCs w:val="20"/>
          <w:lang w:val="en-US"/>
        </w:rPr>
        <w:t>29.05 ± 2.01</w:t>
      </w:r>
      <w:r w:rsidRPr="00830AE7">
        <w:rPr>
          <w:rFonts w:ascii="Times New Roman" w:hAnsi="Times New Roman" w:cs="Times New Roman"/>
          <w:bCs/>
          <w:sz w:val="20"/>
          <w:szCs w:val="20"/>
          <w:lang w:val="en-US"/>
        </w:rPr>
        <w:t>) was significantly high as compared to healthy individuals (</w:t>
      </w:r>
      <w:r w:rsidRPr="00830AE7">
        <w:rPr>
          <w:rFonts w:ascii="Times New Roman" w:hAnsi="Times New Roman" w:cs="Times New Roman"/>
          <w:bCs/>
          <w:kern w:val="24"/>
          <w:sz w:val="20"/>
          <w:szCs w:val="20"/>
          <w:lang w:val="en-US"/>
        </w:rPr>
        <w:t>23.10 ± 2.38</w:t>
      </w:r>
      <w:r w:rsidRPr="00830AE7">
        <w:rPr>
          <w:rFonts w:ascii="Times New Roman" w:hAnsi="Times New Roman" w:cs="Times New Roman"/>
          <w:bCs/>
          <w:sz w:val="20"/>
          <w:szCs w:val="20"/>
          <w:lang w:val="en-US"/>
        </w:rPr>
        <w:t xml:space="preserve">). Similar to our observation, </w:t>
      </w:r>
      <w:proofErr w:type="spellStart"/>
      <w:r w:rsidRPr="00830AE7">
        <w:rPr>
          <w:rFonts w:ascii="Times New Roman" w:hAnsi="Times New Roman" w:cs="Times New Roman"/>
          <w:bCs/>
          <w:sz w:val="20"/>
          <w:szCs w:val="20"/>
          <w:lang w:val="en-US"/>
        </w:rPr>
        <w:t>Akil</w:t>
      </w:r>
      <w:proofErr w:type="spellEnd"/>
      <w:r w:rsidRPr="00830AE7">
        <w:rPr>
          <w:rFonts w:ascii="Times New Roman" w:hAnsi="Times New Roman" w:cs="Times New Roman"/>
          <w:bCs/>
          <w:sz w:val="20"/>
          <w:szCs w:val="20"/>
          <w:lang w:val="en-US"/>
        </w:rPr>
        <w:t xml:space="preserve"> </w:t>
      </w:r>
      <w:r w:rsidRPr="00830AE7">
        <w:rPr>
          <w:rFonts w:ascii="Times New Roman" w:hAnsi="Times New Roman" w:cs="Times New Roman"/>
          <w:bCs/>
          <w:i/>
          <w:sz w:val="20"/>
          <w:szCs w:val="20"/>
          <w:lang w:val="en-US"/>
        </w:rPr>
        <w:t>et al</w:t>
      </w:r>
      <w:r w:rsidRPr="00830AE7">
        <w:rPr>
          <w:rFonts w:ascii="Times New Roman" w:hAnsi="Times New Roman" w:cs="Times New Roman"/>
          <w:bCs/>
          <w:sz w:val="20"/>
          <w:szCs w:val="20"/>
          <w:lang w:val="en-US"/>
        </w:rPr>
        <w:t xml:space="preserve"> (2011) also reported </w:t>
      </w:r>
      <w:r w:rsidRPr="00830AE7">
        <w:rPr>
          <w:rFonts w:ascii="Times New Roman" w:hAnsi="Times New Roman" w:cs="Times New Roman"/>
          <w:color w:val="000000"/>
          <w:sz w:val="20"/>
          <w:szCs w:val="20"/>
        </w:rPr>
        <w:t>the associations between the high BMI and the increase rates of CVD.</w:t>
      </w:r>
      <w:r w:rsidRPr="00830AE7">
        <w:rPr>
          <w:rFonts w:ascii="Times New Roman" w:hAnsi="Times New Roman" w:cs="Times New Roman"/>
          <w:color w:val="212121"/>
          <w:sz w:val="20"/>
          <w:szCs w:val="20"/>
          <w:shd w:val="clear" w:color="auto" w:fill="FFFFFF"/>
          <w:vertAlign w:val="superscript"/>
        </w:rPr>
        <w:t xml:space="preserve"> 12</w:t>
      </w:r>
      <w:r w:rsidRPr="00830AE7">
        <w:rPr>
          <w:rFonts w:ascii="Times New Roman" w:hAnsi="Times New Roman" w:cs="Times New Roman"/>
          <w:color w:val="000000"/>
          <w:sz w:val="20"/>
          <w:szCs w:val="20"/>
        </w:rPr>
        <w:t xml:space="preserve"> Khan </w:t>
      </w:r>
      <w:r w:rsidRPr="00830AE7">
        <w:rPr>
          <w:rFonts w:ascii="Times New Roman" w:hAnsi="Times New Roman" w:cs="Times New Roman"/>
          <w:i/>
          <w:color w:val="000000"/>
          <w:sz w:val="20"/>
          <w:szCs w:val="20"/>
        </w:rPr>
        <w:t>et al</w:t>
      </w:r>
      <w:r w:rsidRPr="00830AE7">
        <w:rPr>
          <w:rFonts w:ascii="Times New Roman" w:hAnsi="Times New Roman" w:cs="Times New Roman"/>
          <w:color w:val="000000"/>
          <w:sz w:val="20"/>
          <w:szCs w:val="20"/>
        </w:rPr>
        <w:t xml:space="preserve">. (2018) </w:t>
      </w:r>
      <w:r w:rsidRPr="00830AE7">
        <w:rPr>
          <w:rFonts w:ascii="Times New Roman" w:hAnsi="Times New Roman" w:cs="Times New Roman"/>
          <w:bCs/>
          <w:sz w:val="20"/>
          <w:szCs w:val="20"/>
          <w:lang w:val="en-US"/>
        </w:rPr>
        <w:t xml:space="preserve">concluded that </w:t>
      </w:r>
      <w:r w:rsidRPr="00830AE7">
        <w:rPr>
          <w:rFonts w:ascii="Times New Roman" w:hAnsi="Times New Roman" w:cs="Times New Roman"/>
          <w:color w:val="212121"/>
          <w:sz w:val="20"/>
          <w:szCs w:val="20"/>
          <w:shd w:val="clear" w:color="auto" w:fill="FFFFFF"/>
        </w:rPr>
        <w:t>overweight status and obesity to be significantly associated with high long-term risk for CVD morbidity compared with normal BMI.</w:t>
      </w:r>
      <w:r w:rsidRPr="00830AE7">
        <w:rPr>
          <w:rFonts w:ascii="Times New Roman" w:hAnsi="Times New Roman" w:cs="Times New Roman"/>
          <w:color w:val="212121"/>
          <w:sz w:val="20"/>
          <w:szCs w:val="20"/>
          <w:shd w:val="clear" w:color="auto" w:fill="FFFFFF"/>
          <w:vertAlign w:val="superscript"/>
        </w:rPr>
        <w:t>13</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sz w:val="20"/>
          <w:szCs w:val="20"/>
          <w:shd w:val="clear" w:color="auto" w:fill="FFFFFF"/>
        </w:rPr>
      </w:pPr>
      <w:proofErr w:type="spellStart"/>
      <w:r w:rsidRPr="00830AE7">
        <w:rPr>
          <w:rFonts w:ascii="Times New Roman" w:hAnsi="Times New Roman" w:cs="Times New Roman"/>
          <w:color w:val="212121"/>
          <w:sz w:val="20"/>
          <w:szCs w:val="20"/>
          <w:shd w:val="clear" w:color="auto" w:fill="FFFFFF"/>
        </w:rPr>
        <w:t>Dyslipidemia</w:t>
      </w:r>
      <w:proofErr w:type="spellEnd"/>
      <w:r w:rsidRPr="00830AE7">
        <w:rPr>
          <w:rFonts w:ascii="Times New Roman" w:hAnsi="Times New Roman" w:cs="Times New Roman"/>
          <w:color w:val="212121"/>
          <w:sz w:val="20"/>
          <w:szCs w:val="20"/>
          <w:shd w:val="clear" w:color="auto" w:fill="FFFFFF"/>
        </w:rPr>
        <w:t xml:space="preserve"> is defined as increased levels of serum total cholesterol, LDL and TG, or a decreased serum HDL concentration.</w:t>
      </w:r>
      <w:r w:rsidRPr="00830AE7">
        <w:rPr>
          <w:rFonts w:ascii="Times New Roman" w:hAnsi="Times New Roman" w:cs="Times New Roman"/>
          <w:color w:val="212121"/>
          <w:sz w:val="20"/>
          <w:szCs w:val="20"/>
          <w:shd w:val="clear" w:color="auto" w:fill="FFFFFF"/>
          <w:vertAlign w:val="superscript"/>
        </w:rPr>
        <w:t xml:space="preserve">14 </w:t>
      </w:r>
      <w:proofErr w:type="gramStart"/>
      <w:r w:rsidRPr="00830AE7">
        <w:rPr>
          <w:rFonts w:ascii="Times New Roman" w:hAnsi="Times New Roman" w:cs="Times New Roman"/>
          <w:color w:val="212121"/>
          <w:sz w:val="20"/>
          <w:szCs w:val="20"/>
          <w:shd w:val="clear" w:color="auto" w:fill="FFFFFF"/>
        </w:rPr>
        <w:t>It</w:t>
      </w:r>
      <w:proofErr w:type="gramEnd"/>
      <w:r w:rsidRPr="00830AE7">
        <w:rPr>
          <w:rFonts w:ascii="Times New Roman" w:hAnsi="Times New Roman" w:cs="Times New Roman"/>
          <w:color w:val="212121"/>
          <w:sz w:val="20"/>
          <w:szCs w:val="20"/>
          <w:shd w:val="clear" w:color="auto" w:fill="FFFFFF"/>
        </w:rPr>
        <w:t xml:space="preserve"> is an established risk factor for CVD.  In the current study, </w:t>
      </w:r>
      <w:r w:rsidRPr="00830AE7">
        <w:rPr>
          <w:rFonts w:ascii="Times New Roman" w:hAnsi="Times New Roman" w:cs="Times New Roman"/>
          <w:bCs/>
          <w:sz w:val="20"/>
          <w:szCs w:val="20"/>
          <w:lang w:val="en-US"/>
        </w:rPr>
        <w:t>the BMI of CVD patients (</w:t>
      </w:r>
      <w:r w:rsidRPr="00830AE7">
        <w:rPr>
          <w:rFonts w:ascii="Times New Roman" w:hAnsi="Times New Roman" w:cs="Times New Roman"/>
          <w:bCs/>
          <w:kern w:val="24"/>
          <w:sz w:val="20"/>
          <w:szCs w:val="20"/>
          <w:lang w:val="en-US"/>
        </w:rPr>
        <w:t>29.05 ± 2.01</w:t>
      </w:r>
      <w:r w:rsidRPr="00830AE7">
        <w:rPr>
          <w:rFonts w:ascii="Times New Roman" w:hAnsi="Times New Roman" w:cs="Times New Roman"/>
          <w:bCs/>
          <w:sz w:val="20"/>
          <w:szCs w:val="20"/>
          <w:lang w:val="en-US"/>
        </w:rPr>
        <w:t>) was significantly high as compared to healthy individuals (</w:t>
      </w:r>
      <w:r w:rsidRPr="00830AE7">
        <w:rPr>
          <w:rFonts w:ascii="Times New Roman" w:hAnsi="Times New Roman" w:cs="Times New Roman"/>
          <w:bCs/>
          <w:kern w:val="24"/>
          <w:sz w:val="20"/>
          <w:szCs w:val="20"/>
          <w:lang w:val="en-US"/>
        </w:rPr>
        <w:t>23.10 ± 2.38</w:t>
      </w:r>
      <w:r w:rsidRPr="00830AE7">
        <w:rPr>
          <w:rFonts w:ascii="Times New Roman" w:hAnsi="Times New Roman" w:cs="Times New Roman"/>
          <w:bCs/>
          <w:sz w:val="20"/>
          <w:szCs w:val="20"/>
          <w:lang w:val="en-US"/>
        </w:rPr>
        <w:t xml:space="preserve">). This finding was is in accordance to that of </w:t>
      </w:r>
      <w:hyperlink r:id="rId9" w:history="1">
        <w:proofErr w:type="spellStart"/>
        <w:r w:rsidRPr="00830AE7">
          <w:rPr>
            <w:rStyle w:val="Hyperlink"/>
            <w:rFonts w:ascii="Times New Roman" w:hAnsi="Times New Roman" w:cs="Times New Roman"/>
            <w:sz w:val="20"/>
            <w:szCs w:val="20"/>
            <w:shd w:val="clear" w:color="auto" w:fill="FFFFFF"/>
          </w:rPr>
          <w:t>Hedayatnia</w:t>
        </w:r>
        <w:proofErr w:type="spellEnd"/>
      </w:hyperlink>
      <w:r w:rsidRPr="00830AE7">
        <w:rPr>
          <w:rFonts w:ascii="Times New Roman" w:hAnsi="Times New Roman" w:cs="Times New Roman"/>
          <w:sz w:val="20"/>
          <w:szCs w:val="20"/>
        </w:rPr>
        <w:t xml:space="preserve"> </w:t>
      </w:r>
      <w:r w:rsidRPr="00830AE7">
        <w:rPr>
          <w:rFonts w:ascii="Times New Roman" w:hAnsi="Times New Roman" w:cs="Times New Roman"/>
          <w:i/>
          <w:sz w:val="20"/>
          <w:szCs w:val="20"/>
        </w:rPr>
        <w:t>et al</w:t>
      </w:r>
      <w:r w:rsidRPr="00830AE7">
        <w:rPr>
          <w:rFonts w:ascii="Times New Roman" w:hAnsi="Times New Roman" w:cs="Times New Roman"/>
          <w:sz w:val="20"/>
          <w:szCs w:val="20"/>
        </w:rPr>
        <w:t xml:space="preserve">. (2020) who reported </w:t>
      </w:r>
      <w:proofErr w:type="spellStart"/>
      <w:r w:rsidRPr="00830AE7">
        <w:rPr>
          <w:rFonts w:ascii="Times New Roman" w:hAnsi="Times New Roman" w:cs="Times New Roman"/>
          <w:sz w:val="20"/>
          <w:szCs w:val="20"/>
        </w:rPr>
        <w:t>dyslipidemia</w:t>
      </w:r>
      <w:proofErr w:type="spellEnd"/>
      <w:r w:rsidRPr="00830AE7">
        <w:rPr>
          <w:rFonts w:ascii="Times New Roman" w:hAnsi="Times New Roman" w:cs="Times New Roman"/>
          <w:sz w:val="20"/>
          <w:szCs w:val="20"/>
        </w:rPr>
        <w:t xml:space="preserve"> to be significantly associated with risk of myocardial infarction in men.</w:t>
      </w:r>
      <w:r w:rsidRPr="00830AE7">
        <w:rPr>
          <w:rFonts w:ascii="Times New Roman" w:hAnsi="Times New Roman" w:cs="Times New Roman"/>
          <w:color w:val="212121"/>
          <w:sz w:val="20"/>
          <w:szCs w:val="20"/>
          <w:shd w:val="clear" w:color="auto" w:fill="FFFFFF"/>
          <w:vertAlign w:val="superscript"/>
        </w:rPr>
        <w:t xml:space="preserve"> 14 </w:t>
      </w:r>
      <w:r w:rsidRPr="00830AE7">
        <w:rPr>
          <w:rFonts w:ascii="Times New Roman" w:hAnsi="Times New Roman" w:cs="Times New Roman"/>
          <w:sz w:val="20"/>
          <w:szCs w:val="20"/>
        </w:rPr>
        <w:t xml:space="preserve">  </w:t>
      </w:r>
      <w:proofErr w:type="spellStart"/>
      <w:r w:rsidRPr="00830AE7">
        <w:rPr>
          <w:rFonts w:ascii="Times New Roman" w:hAnsi="Times New Roman" w:cs="Times New Roman"/>
          <w:sz w:val="20"/>
          <w:szCs w:val="20"/>
          <w:shd w:val="clear" w:color="auto" w:fill="FFFFFF"/>
        </w:rPr>
        <w:t>Dyslipidemia</w:t>
      </w:r>
      <w:proofErr w:type="spellEnd"/>
      <w:r w:rsidRPr="00830AE7">
        <w:rPr>
          <w:rFonts w:ascii="Times New Roman" w:hAnsi="Times New Roman" w:cs="Times New Roman"/>
          <w:sz w:val="20"/>
          <w:szCs w:val="20"/>
          <w:shd w:val="clear" w:color="auto" w:fill="FFFFFF"/>
        </w:rPr>
        <w:t xml:space="preserve"> plays a significant role in endothelial dysfunction which predisposes to atherosclerosis, thrombosis, insulin resistance and hypertension. </w:t>
      </w:r>
      <w:r w:rsidRPr="00830AE7">
        <w:rPr>
          <w:rFonts w:ascii="Times New Roman" w:hAnsi="Times New Roman" w:cs="Times New Roman"/>
          <w:color w:val="212121"/>
          <w:sz w:val="20"/>
          <w:szCs w:val="20"/>
          <w:shd w:val="clear" w:color="auto" w:fill="FFFFFF"/>
          <w:vertAlign w:val="superscript"/>
        </w:rPr>
        <w:t xml:space="preserve">15 </w:t>
      </w:r>
      <w:r w:rsidRPr="00830AE7">
        <w:rPr>
          <w:rFonts w:ascii="Times New Roman" w:hAnsi="Times New Roman" w:cs="Times New Roman"/>
          <w:sz w:val="20"/>
          <w:szCs w:val="20"/>
          <w:shd w:val="clear" w:color="auto" w:fill="FFFFFF"/>
        </w:rPr>
        <w:t>Triglyceride rich lipoproteins and LDL are known to be toxic to endothelial cells. However HDL is protective.</w:t>
      </w:r>
      <w:r w:rsidRPr="00830AE7">
        <w:rPr>
          <w:rFonts w:ascii="Times New Roman" w:hAnsi="Times New Roman" w:cs="Times New Roman"/>
          <w:color w:val="212121"/>
          <w:sz w:val="20"/>
          <w:szCs w:val="20"/>
          <w:shd w:val="clear" w:color="auto" w:fill="FFFFFF"/>
          <w:vertAlign w:val="superscript"/>
        </w:rPr>
        <w:t xml:space="preserve"> 15</w:t>
      </w:r>
      <w:proofErr w:type="gramStart"/>
      <w:r w:rsidRPr="00830AE7">
        <w:rPr>
          <w:rFonts w:ascii="Times New Roman" w:hAnsi="Times New Roman" w:cs="Times New Roman"/>
          <w:color w:val="212121"/>
          <w:sz w:val="20"/>
          <w:szCs w:val="20"/>
          <w:shd w:val="clear" w:color="auto" w:fill="FFFFFF"/>
          <w:vertAlign w:val="superscript"/>
        </w:rPr>
        <w:t>,16</w:t>
      </w:r>
      <w:proofErr w:type="gramEnd"/>
    </w:p>
    <w:p w:rsidR="00A51ABF" w:rsidRPr="00830AE7" w:rsidRDefault="00A51ABF" w:rsidP="00830AE7">
      <w:pPr>
        <w:tabs>
          <w:tab w:val="left" w:pos="5175"/>
        </w:tabs>
        <w:spacing w:after="0" w:line="360" w:lineRule="auto"/>
        <w:ind w:right="288"/>
        <w:jc w:val="both"/>
        <w:outlineLvl w:val="0"/>
        <w:rPr>
          <w:rFonts w:ascii="Times New Roman" w:hAnsi="Times New Roman" w:cs="Times New Roman"/>
          <w:color w:val="212121"/>
          <w:sz w:val="20"/>
          <w:szCs w:val="20"/>
          <w:shd w:val="clear" w:color="auto" w:fill="FFFFFF"/>
        </w:rPr>
      </w:pPr>
      <w:r w:rsidRPr="00830AE7">
        <w:rPr>
          <w:rFonts w:ascii="Times New Roman" w:hAnsi="Times New Roman" w:cs="Times New Roman"/>
          <w:sz w:val="20"/>
          <w:szCs w:val="20"/>
          <w:shd w:val="clear" w:color="auto" w:fill="FFFFFF"/>
        </w:rPr>
        <w:t xml:space="preserve">Diabetes mellitus increases the risk for CVD. Risk factors like </w:t>
      </w:r>
      <w:r w:rsidRPr="00830AE7">
        <w:rPr>
          <w:rFonts w:ascii="Times New Roman" w:hAnsi="Times New Roman" w:cs="Times New Roman"/>
          <w:color w:val="212121"/>
          <w:sz w:val="20"/>
          <w:szCs w:val="20"/>
          <w:shd w:val="clear" w:color="auto" w:fill="FFFFFF"/>
        </w:rPr>
        <w:t xml:space="preserve">obesity, hypertension, </w:t>
      </w:r>
      <w:proofErr w:type="spellStart"/>
      <w:r w:rsidRPr="00830AE7">
        <w:rPr>
          <w:rFonts w:ascii="Times New Roman" w:hAnsi="Times New Roman" w:cs="Times New Roman"/>
          <w:color w:val="212121"/>
          <w:sz w:val="20"/>
          <w:szCs w:val="20"/>
          <w:shd w:val="clear" w:color="auto" w:fill="FFFFFF"/>
        </w:rPr>
        <w:t>dyslipidemia</w:t>
      </w:r>
      <w:proofErr w:type="spellEnd"/>
      <w:r w:rsidRPr="00830AE7">
        <w:rPr>
          <w:rFonts w:ascii="Times New Roman" w:hAnsi="Times New Roman" w:cs="Times New Roman"/>
          <w:color w:val="212121"/>
          <w:sz w:val="20"/>
          <w:szCs w:val="20"/>
          <w:shd w:val="clear" w:color="auto" w:fill="FFFFFF"/>
        </w:rPr>
        <w:t xml:space="preserve">, increased oxidative stress, increased </w:t>
      </w:r>
      <w:proofErr w:type="spellStart"/>
      <w:r w:rsidRPr="00830AE7">
        <w:rPr>
          <w:rFonts w:ascii="Times New Roman" w:hAnsi="Times New Roman" w:cs="Times New Roman"/>
          <w:color w:val="212121"/>
          <w:sz w:val="20"/>
          <w:szCs w:val="20"/>
          <w:shd w:val="clear" w:color="auto" w:fill="FFFFFF"/>
        </w:rPr>
        <w:t>coagulability</w:t>
      </w:r>
      <w:proofErr w:type="spellEnd"/>
      <w:r w:rsidRPr="00830AE7">
        <w:rPr>
          <w:rFonts w:ascii="Times New Roman" w:hAnsi="Times New Roman" w:cs="Times New Roman"/>
          <w:color w:val="212121"/>
          <w:sz w:val="20"/>
          <w:szCs w:val="20"/>
          <w:shd w:val="clear" w:color="auto" w:fill="FFFFFF"/>
        </w:rPr>
        <w:t>, endothelial dysfunction and autonomic neuropathy are often common in diabetic patients.</w:t>
      </w:r>
      <w:r w:rsidRPr="00830AE7">
        <w:rPr>
          <w:rFonts w:ascii="Times New Roman" w:hAnsi="Times New Roman" w:cs="Times New Roman"/>
          <w:color w:val="212121"/>
          <w:sz w:val="20"/>
          <w:szCs w:val="20"/>
          <w:shd w:val="clear" w:color="auto" w:fill="FFFFFF"/>
          <w:vertAlign w:val="superscript"/>
        </w:rPr>
        <w:t xml:space="preserve">17 </w:t>
      </w:r>
      <w:proofErr w:type="gramStart"/>
      <w:r w:rsidRPr="00830AE7">
        <w:rPr>
          <w:rFonts w:ascii="Times New Roman" w:hAnsi="Times New Roman" w:cs="Times New Roman"/>
          <w:color w:val="212121"/>
          <w:sz w:val="20"/>
          <w:szCs w:val="20"/>
          <w:shd w:val="clear" w:color="auto" w:fill="FFFFFF"/>
        </w:rPr>
        <w:t>These</w:t>
      </w:r>
      <w:proofErr w:type="gramEnd"/>
      <w:r w:rsidRPr="00830AE7">
        <w:rPr>
          <w:rFonts w:ascii="Times New Roman" w:hAnsi="Times New Roman" w:cs="Times New Roman"/>
          <w:color w:val="212121"/>
          <w:sz w:val="20"/>
          <w:szCs w:val="20"/>
          <w:shd w:val="clear" w:color="auto" w:fill="FFFFFF"/>
        </w:rPr>
        <w:t xml:space="preserve"> risk factors directly contribute to the development of CVD. In the present study, although, 46 (30.7%) out of 150 CVD patients were diabetic, there was no significant difference observed between HbA1c level of CVD patients and healthy individuals.</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sz w:val="20"/>
          <w:szCs w:val="20"/>
          <w:shd w:val="clear" w:color="auto" w:fill="FFFFFF"/>
        </w:rPr>
      </w:pPr>
      <w:r w:rsidRPr="00830AE7">
        <w:rPr>
          <w:rFonts w:ascii="Times New Roman" w:hAnsi="Times New Roman" w:cs="Times New Roman"/>
          <w:color w:val="212121"/>
          <w:sz w:val="20"/>
          <w:szCs w:val="20"/>
          <w:shd w:val="clear" w:color="auto" w:fill="FFFFFF"/>
        </w:rPr>
        <w:t>Biomarkers are commonly used for detection, diagnosis, and management of various diseases including CVD.</w:t>
      </w:r>
      <w:r w:rsidRPr="00830AE7">
        <w:rPr>
          <w:rFonts w:ascii="Times New Roman" w:hAnsi="Times New Roman" w:cs="Times New Roman"/>
          <w:color w:val="212121"/>
          <w:sz w:val="20"/>
          <w:szCs w:val="20"/>
          <w:shd w:val="clear" w:color="auto" w:fill="FFFFFF"/>
          <w:vertAlign w:val="superscript"/>
        </w:rPr>
        <w:t>19</w:t>
      </w:r>
      <w:r w:rsidRPr="00830AE7">
        <w:rPr>
          <w:rFonts w:ascii="Times New Roman" w:hAnsi="Times New Roman" w:cs="Times New Roman"/>
          <w:color w:val="212121"/>
          <w:sz w:val="20"/>
          <w:szCs w:val="20"/>
          <w:shd w:val="clear" w:color="auto" w:fill="FFFFFF"/>
        </w:rPr>
        <w:t> </w:t>
      </w:r>
      <w:proofErr w:type="spellStart"/>
      <w:r w:rsidRPr="00830AE7">
        <w:rPr>
          <w:rFonts w:ascii="Times New Roman" w:hAnsi="Times New Roman" w:cs="Times New Roman"/>
          <w:color w:val="212121"/>
          <w:sz w:val="20"/>
          <w:szCs w:val="20"/>
          <w:shd w:val="clear" w:color="auto" w:fill="FFFFFF"/>
        </w:rPr>
        <w:t>Creatine</w:t>
      </w:r>
      <w:proofErr w:type="spellEnd"/>
      <w:r w:rsidRPr="00830AE7">
        <w:rPr>
          <w:rFonts w:ascii="Times New Roman" w:hAnsi="Times New Roman" w:cs="Times New Roman"/>
          <w:color w:val="212121"/>
          <w:sz w:val="20"/>
          <w:szCs w:val="20"/>
          <w:shd w:val="clear" w:color="auto" w:fill="FFFFFF"/>
        </w:rPr>
        <w:t xml:space="preserve"> kinase and its CK-MB </w:t>
      </w:r>
      <w:proofErr w:type="spellStart"/>
      <w:r w:rsidRPr="00830AE7">
        <w:rPr>
          <w:rFonts w:ascii="Times New Roman" w:hAnsi="Times New Roman" w:cs="Times New Roman"/>
          <w:color w:val="212121"/>
          <w:sz w:val="20"/>
          <w:szCs w:val="20"/>
          <w:shd w:val="clear" w:color="auto" w:fill="FFFFFF"/>
        </w:rPr>
        <w:t>isoenzyme</w:t>
      </w:r>
      <w:proofErr w:type="spellEnd"/>
      <w:r w:rsidRPr="00830AE7">
        <w:rPr>
          <w:rFonts w:ascii="Times New Roman" w:hAnsi="Times New Roman" w:cs="Times New Roman"/>
          <w:color w:val="212121"/>
          <w:sz w:val="20"/>
          <w:szCs w:val="20"/>
          <w:shd w:val="clear" w:color="auto" w:fill="FFFFFF"/>
        </w:rPr>
        <w:t xml:space="preserve"> are used as a conventional biomarker for detection of CVD.</w:t>
      </w:r>
      <w:r w:rsidRPr="00830AE7">
        <w:rPr>
          <w:rFonts w:ascii="Times New Roman" w:hAnsi="Times New Roman" w:cs="Times New Roman"/>
          <w:color w:val="212121"/>
          <w:sz w:val="20"/>
          <w:szCs w:val="20"/>
          <w:shd w:val="clear" w:color="auto" w:fill="FFFFFF"/>
          <w:vertAlign w:val="superscript"/>
        </w:rPr>
        <w:t>20</w:t>
      </w:r>
      <w:r w:rsidRPr="00830AE7">
        <w:rPr>
          <w:rFonts w:ascii="Times New Roman" w:hAnsi="Times New Roman" w:cs="Times New Roman"/>
          <w:color w:val="212121"/>
          <w:sz w:val="20"/>
          <w:szCs w:val="20"/>
          <w:shd w:val="clear" w:color="auto" w:fill="FFFFFF"/>
        </w:rPr>
        <w:t xml:space="preserve"> </w:t>
      </w:r>
      <w:r w:rsidRPr="00830AE7">
        <w:rPr>
          <w:rFonts w:ascii="Times New Roman" w:hAnsi="Times New Roman" w:cs="Times New Roman"/>
          <w:sz w:val="20"/>
          <w:szCs w:val="20"/>
          <w:shd w:val="clear" w:color="auto" w:fill="FFFFFF"/>
        </w:rPr>
        <w:t xml:space="preserve">It catalyses the reversible transformation of </w:t>
      </w:r>
      <w:proofErr w:type="spellStart"/>
      <w:r w:rsidRPr="00830AE7">
        <w:rPr>
          <w:rFonts w:ascii="Times New Roman" w:hAnsi="Times New Roman" w:cs="Times New Roman"/>
          <w:sz w:val="20"/>
          <w:szCs w:val="20"/>
          <w:shd w:val="clear" w:color="auto" w:fill="FFFFFF"/>
        </w:rPr>
        <w:t>creatine</w:t>
      </w:r>
      <w:proofErr w:type="spellEnd"/>
      <w:r w:rsidRPr="00830AE7">
        <w:rPr>
          <w:rFonts w:ascii="Times New Roman" w:hAnsi="Times New Roman" w:cs="Times New Roman"/>
          <w:sz w:val="20"/>
          <w:szCs w:val="20"/>
          <w:shd w:val="clear" w:color="auto" w:fill="FFFFFF"/>
        </w:rPr>
        <w:t xml:space="preserve"> and adenosine triphosphate (ATP) to </w:t>
      </w:r>
      <w:proofErr w:type="spellStart"/>
      <w:r w:rsidRPr="00830AE7">
        <w:rPr>
          <w:rFonts w:ascii="Times New Roman" w:hAnsi="Times New Roman" w:cs="Times New Roman"/>
          <w:sz w:val="20"/>
          <w:szCs w:val="20"/>
          <w:shd w:val="clear" w:color="auto" w:fill="FFFFFF"/>
        </w:rPr>
        <w:t>creatine</w:t>
      </w:r>
      <w:proofErr w:type="spellEnd"/>
      <w:r w:rsidRPr="00830AE7">
        <w:rPr>
          <w:rFonts w:ascii="Times New Roman" w:hAnsi="Times New Roman" w:cs="Times New Roman"/>
          <w:sz w:val="20"/>
          <w:szCs w:val="20"/>
          <w:shd w:val="clear" w:color="auto" w:fill="FFFFFF"/>
        </w:rPr>
        <w:t xml:space="preserve"> phosphate and adenosine </w:t>
      </w:r>
      <w:proofErr w:type="spellStart"/>
      <w:r w:rsidRPr="00830AE7">
        <w:rPr>
          <w:rFonts w:ascii="Times New Roman" w:hAnsi="Times New Roman" w:cs="Times New Roman"/>
          <w:sz w:val="20"/>
          <w:szCs w:val="20"/>
          <w:shd w:val="clear" w:color="auto" w:fill="FFFFFF"/>
        </w:rPr>
        <w:t>diphosphate</w:t>
      </w:r>
      <w:proofErr w:type="spellEnd"/>
      <w:r w:rsidRPr="00830AE7">
        <w:rPr>
          <w:rFonts w:ascii="Times New Roman" w:hAnsi="Times New Roman" w:cs="Times New Roman"/>
          <w:sz w:val="20"/>
          <w:szCs w:val="20"/>
          <w:shd w:val="clear" w:color="auto" w:fill="FFFFFF"/>
        </w:rPr>
        <w:t xml:space="preserve"> (ADP). It is involved in mitochondria and cytosol in muscle cells. CK-MB is found in various organs like heart, skeletal muscle, small intestine, diaphragm, uterus, tongue, and prostate.</w:t>
      </w:r>
      <w:r w:rsidRPr="00830AE7">
        <w:rPr>
          <w:rFonts w:ascii="Times New Roman" w:hAnsi="Times New Roman" w:cs="Times New Roman"/>
          <w:sz w:val="20"/>
          <w:szCs w:val="20"/>
          <w:shd w:val="clear" w:color="auto" w:fill="FFFFFF"/>
          <w:vertAlign w:val="superscript"/>
        </w:rPr>
        <w:t>20</w:t>
      </w:r>
      <w:r w:rsidRPr="00830AE7">
        <w:rPr>
          <w:rFonts w:ascii="Times New Roman" w:hAnsi="Times New Roman" w:cs="Times New Roman"/>
          <w:sz w:val="20"/>
          <w:szCs w:val="20"/>
          <w:shd w:val="clear" w:color="auto" w:fill="FFFFFF"/>
        </w:rPr>
        <w:t xml:space="preserve"> </w:t>
      </w:r>
      <w:proofErr w:type="gramStart"/>
      <w:r w:rsidRPr="00830AE7">
        <w:rPr>
          <w:rFonts w:ascii="Times New Roman" w:hAnsi="Times New Roman" w:cs="Times New Roman"/>
          <w:sz w:val="20"/>
          <w:szCs w:val="20"/>
          <w:shd w:val="clear" w:color="auto" w:fill="FFFFFF"/>
        </w:rPr>
        <w:t>In</w:t>
      </w:r>
      <w:proofErr w:type="gramEnd"/>
      <w:r w:rsidRPr="00830AE7">
        <w:rPr>
          <w:rFonts w:ascii="Times New Roman" w:hAnsi="Times New Roman" w:cs="Times New Roman"/>
          <w:sz w:val="20"/>
          <w:szCs w:val="20"/>
          <w:shd w:val="clear" w:color="auto" w:fill="FFFFFF"/>
        </w:rPr>
        <w:t xml:space="preserve"> this study, </w:t>
      </w:r>
      <w:r w:rsidRPr="00830AE7">
        <w:rPr>
          <w:rFonts w:ascii="Times New Roman" w:hAnsi="Times New Roman" w:cs="Times New Roman"/>
          <w:bCs/>
          <w:sz w:val="20"/>
          <w:szCs w:val="20"/>
          <w:lang w:val="en-US"/>
        </w:rPr>
        <w:t xml:space="preserve">CK-MB level was significantly increased in CVD patients compared to healthy individuals. Similar finding was reported by Wu </w:t>
      </w:r>
      <w:r w:rsidRPr="00830AE7">
        <w:rPr>
          <w:rFonts w:ascii="Times New Roman" w:hAnsi="Times New Roman" w:cs="Times New Roman"/>
          <w:bCs/>
          <w:i/>
          <w:sz w:val="20"/>
          <w:szCs w:val="20"/>
          <w:lang w:val="en-US"/>
        </w:rPr>
        <w:t>et al</w:t>
      </w:r>
      <w:r w:rsidRPr="00830AE7">
        <w:rPr>
          <w:rFonts w:ascii="Times New Roman" w:hAnsi="Times New Roman" w:cs="Times New Roman"/>
          <w:bCs/>
          <w:sz w:val="20"/>
          <w:szCs w:val="20"/>
          <w:lang w:val="en-US"/>
        </w:rPr>
        <w:t xml:space="preserve"> (2020).</w:t>
      </w:r>
      <w:proofErr w:type="gramStart"/>
      <w:r w:rsidRPr="00830AE7">
        <w:rPr>
          <w:rFonts w:ascii="Times New Roman" w:hAnsi="Times New Roman" w:cs="Times New Roman"/>
          <w:bCs/>
          <w:sz w:val="20"/>
          <w:szCs w:val="20"/>
          <w:vertAlign w:val="superscript"/>
          <w:lang w:val="en-US"/>
        </w:rPr>
        <w:t>21</w:t>
      </w:r>
      <w:r w:rsidRPr="00830AE7">
        <w:rPr>
          <w:rFonts w:ascii="Times New Roman" w:hAnsi="Times New Roman" w:cs="Times New Roman"/>
          <w:bCs/>
          <w:sz w:val="20"/>
          <w:szCs w:val="20"/>
          <w:lang w:val="en-US"/>
        </w:rPr>
        <w:t xml:space="preserve"> </w:t>
      </w:r>
      <w:r w:rsidRPr="00830AE7">
        <w:rPr>
          <w:rFonts w:ascii="Times New Roman" w:hAnsi="Times New Roman" w:cs="Times New Roman"/>
          <w:color w:val="555555"/>
          <w:sz w:val="20"/>
          <w:szCs w:val="20"/>
          <w:shd w:val="clear" w:color="auto" w:fill="FFFFFF"/>
        </w:rPr>
        <w:t> </w:t>
      </w:r>
      <w:r w:rsidRPr="00830AE7">
        <w:rPr>
          <w:rFonts w:ascii="Times New Roman" w:hAnsi="Times New Roman" w:cs="Times New Roman"/>
          <w:sz w:val="20"/>
          <w:szCs w:val="20"/>
          <w:shd w:val="clear" w:color="auto" w:fill="FFFFFF"/>
        </w:rPr>
        <w:t>CK</w:t>
      </w:r>
      <w:proofErr w:type="gramEnd"/>
      <w:r w:rsidRPr="00830AE7">
        <w:rPr>
          <w:rFonts w:ascii="Times New Roman" w:hAnsi="Times New Roman" w:cs="Times New Roman"/>
          <w:sz w:val="20"/>
          <w:szCs w:val="20"/>
          <w:shd w:val="clear" w:color="auto" w:fill="FFFFFF"/>
        </w:rPr>
        <w:t xml:space="preserve">-MB has specificity of 97% just 10–12 hrs. </w:t>
      </w:r>
      <w:proofErr w:type="gramStart"/>
      <w:r w:rsidRPr="00830AE7">
        <w:rPr>
          <w:rFonts w:ascii="Times New Roman" w:hAnsi="Times New Roman" w:cs="Times New Roman"/>
          <w:sz w:val="20"/>
          <w:szCs w:val="20"/>
          <w:shd w:val="clear" w:color="auto" w:fill="FFFFFF"/>
        </w:rPr>
        <w:t>after</w:t>
      </w:r>
      <w:proofErr w:type="gramEnd"/>
      <w:r w:rsidRPr="00830AE7">
        <w:rPr>
          <w:rFonts w:ascii="Times New Roman" w:hAnsi="Times New Roman" w:cs="Times New Roman"/>
          <w:sz w:val="20"/>
          <w:szCs w:val="20"/>
          <w:shd w:val="clear" w:color="auto" w:fill="FFFFFF"/>
        </w:rPr>
        <w:t xml:space="preserve"> appearance of symptoms.</w:t>
      </w:r>
      <w:r w:rsidRPr="00830AE7">
        <w:rPr>
          <w:rFonts w:ascii="Times New Roman" w:hAnsi="Times New Roman" w:cs="Times New Roman"/>
          <w:sz w:val="20"/>
          <w:szCs w:val="20"/>
          <w:shd w:val="clear" w:color="auto" w:fill="FFFFFF"/>
          <w:vertAlign w:val="superscript"/>
        </w:rPr>
        <w:t>20</w:t>
      </w:r>
    </w:p>
    <w:p w:rsidR="00830AE7" w:rsidRDefault="00830AE7"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p>
    <w:p w:rsidR="00830AE7" w:rsidRDefault="00830AE7"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p>
    <w:p w:rsidR="00830AE7" w:rsidRDefault="00830AE7"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p>
    <w:p w:rsidR="00830AE7" w:rsidRDefault="00830AE7"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p>
    <w:p w:rsidR="00830AE7" w:rsidRDefault="00830AE7"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b/>
          <w:sz w:val="20"/>
          <w:szCs w:val="20"/>
          <w:shd w:val="clear" w:color="auto" w:fill="FFFFFF"/>
        </w:rPr>
      </w:pPr>
      <w:r w:rsidRPr="00830AE7">
        <w:rPr>
          <w:rFonts w:ascii="Times New Roman" w:hAnsi="Times New Roman" w:cs="Times New Roman"/>
          <w:b/>
          <w:sz w:val="20"/>
          <w:szCs w:val="20"/>
          <w:shd w:val="clear" w:color="auto" w:fill="FFFFFF"/>
        </w:rPr>
        <w:t>Conclusion.</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sz w:val="20"/>
          <w:szCs w:val="20"/>
          <w:shd w:val="clear" w:color="auto" w:fill="FFFFFF"/>
        </w:rPr>
      </w:pPr>
      <w:r w:rsidRPr="00830AE7">
        <w:rPr>
          <w:rFonts w:ascii="Times New Roman" w:hAnsi="Times New Roman" w:cs="Times New Roman"/>
          <w:sz w:val="20"/>
          <w:szCs w:val="20"/>
          <w:shd w:val="clear" w:color="auto" w:fill="FFFFFF"/>
        </w:rPr>
        <w:t>Cardiovascular disease is the leading cause of morbidity and mortality worldwide. Early diagnosis of CVD is of paramount importance. Biomarkers are utilized in every step of patient care. CK-MB can be utilized as a point of care diagnostic biomarker for diagnosis of CVD.</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sz w:val="20"/>
          <w:szCs w:val="20"/>
          <w:shd w:val="clear" w:color="auto" w:fill="FFFFFF"/>
        </w:rPr>
      </w:pPr>
      <w:r w:rsidRPr="00830AE7">
        <w:rPr>
          <w:rFonts w:ascii="Times New Roman" w:hAnsi="Times New Roman" w:cs="Times New Roman"/>
          <w:sz w:val="20"/>
          <w:szCs w:val="20"/>
          <w:shd w:val="clear" w:color="auto" w:fill="FFFFFF"/>
        </w:rPr>
        <w:t xml:space="preserve"> </w:t>
      </w:r>
    </w:p>
    <w:p w:rsidR="00A51ABF" w:rsidRPr="00830AE7" w:rsidRDefault="00A51ABF" w:rsidP="00830AE7">
      <w:pPr>
        <w:tabs>
          <w:tab w:val="left" w:pos="5175"/>
        </w:tabs>
        <w:spacing w:after="0" w:line="360" w:lineRule="auto"/>
        <w:ind w:right="288"/>
        <w:jc w:val="both"/>
        <w:outlineLvl w:val="0"/>
        <w:rPr>
          <w:rFonts w:ascii="Times New Roman" w:hAnsi="Times New Roman" w:cs="Times New Roman"/>
          <w:color w:val="000000" w:themeColor="text1"/>
          <w:sz w:val="20"/>
          <w:szCs w:val="20"/>
          <w:shd w:val="clear" w:color="auto" w:fill="FFFFFF"/>
        </w:rPr>
      </w:pPr>
      <w:r w:rsidRPr="00830AE7">
        <w:rPr>
          <w:rFonts w:ascii="Times New Roman" w:hAnsi="Times New Roman" w:cs="Times New Roman"/>
          <w:sz w:val="20"/>
          <w:szCs w:val="20"/>
          <w:shd w:val="clear" w:color="auto" w:fill="FFFFFF"/>
        </w:rPr>
        <w:t xml:space="preserve">  </w:t>
      </w:r>
      <w:r w:rsidR="00830AE7" w:rsidRPr="00830AE7">
        <w:rPr>
          <w:rFonts w:ascii="Times New Roman" w:hAnsi="Times New Roman" w:cs="Times New Roman"/>
          <w:b/>
          <w:sz w:val="20"/>
          <w:szCs w:val="20"/>
          <w:shd w:val="clear" w:color="auto" w:fill="FFFFFF"/>
        </w:rPr>
        <w:t>References</w:t>
      </w:r>
      <w:r w:rsidR="00830AE7">
        <w:rPr>
          <w:rFonts w:ascii="Times New Roman" w:hAnsi="Times New Roman" w:cs="Times New Roman"/>
          <w:b/>
          <w:sz w:val="20"/>
          <w:szCs w:val="20"/>
          <w:shd w:val="clear" w:color="auto" w:fill="FFFFFF"/>
        </w:rPr>
        <w:t xml:space="preserve">: </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lang w:val="en-US"/>
        </w:rPr>
      </w:pPr>
      <w:proofErr w:type="spellStart"/>
      <w:r w:rsidRPr="00830AE7">
        <w:rPr>
          <w:rFonts w:ascii="Times New Roman" w:hAnsi="Times New Roman" w:cs="Times New Roman"/>
          <w:sz w:val="18"/>
          <w:szCs w:val="18"/>
          <w:shd w:val="clear" w:color="auto" w:fill="FFFFFF"/>
        </w:rPr>
        <w:t>Aje</w:t>
      </w:r>
      <w:proofErr w:type="spellEnd"/>
      <w:r w:rsidRPr="00830AE7">
        <w:rPr>
          <w:rFonts w:ascii="Times New Roman" w:hAnsi="Times New Roman" w:cs="Times New Roman"/>
          <w:sz w:val="18"/>
          <w:szCs w:val="18"/>
          <w:shd w:val="clear" w:color="auto" w:fill="FFFFFF"/>
        </w:rPr>
        <w:t xml:space="preserve"> TO, Miller M. Cardiovascular disease: A global problem extending into the developing world. World J </w:t>
      </w:r>
      <w:proofErr w:type="spellStart"/>
      <w:r w:rsidRPr="00830AE7">
        <w:rPr>
          <w:rFonts w:ascii="Times New Roman" w:hAnsi="Times New Roman" w:cs="Times New Roman"/>
          <w:sz w:val="18"/>
          <w:szCs w:val="18"/>
          <w:shd w:val="clear" w:color="auto" w:fill="FFFFFF"/>
        </w:rPr>
        <w:t>Cardiol</w:t>
      </w:r>
      <w:proofErr w:type="spellEnd"/>
      <w:r w:rsidRPr="00830AE7">
        <w:rPr>
          <w:rFonts w:ascii="Times New Roman" w:hAnsi="Times New Roman" w:cs="Times New Roman"/>
          <w:sz w:val="18"/>
          <w:szCs w:val="18"/>
          <w:shd w:val="clear" w:color="auto" w:fill="FFFFFF"/>
        </w:rPr>
        <w:t>. 2009; 1(1):3-10.</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lang w:val="en-US"/>
        </w:rPr>
      </w:pPr>
      <w:proofErr w:type="spellStart"/>
      <w:r w:rsidRPr="00830AE7">
        <w:rPr>
          <w:rFonts w:ascii="Times New Roman" w:hAnsi="Times New Roman" w:cs="Times New Roman"/>
          <w:sz w:val="18"/>
          <w:szCs w:val="18"/>
          <w:shd w:val="clear" w:color="auto" w:fill="FFFFFF"/>
        </w:rPr>
        <w:t>Gaziano</w:t>
      </w:r>
      <w:proofErr w:type="spellEnd"/>
      <w:r w:rsidRPr="00830AE7">
        <w:rPr>
          <w:rFonts w:ascii="Times New Roman" w:hAnsi="Times New Roman" w:cs="Times New Roman"/>
          <w:sz w:val="18"/>
          <w:szCs w:val="18"/>
          <w:shd w:val="clear" w:color="auto" w:fill="FFFFFF"/>
        </w:rPr>
        <w:t xml:space="preserve"> TA. Cardiovascular disease in the developing world and its cost-effective management. </w:t>
      </w:r>
      <w:r w:rsidRPr="00830AE7">
        <w:rPr>
          <w:rStyle w:val="ref-journal"/>
          <w:rFonts w:ascii="Times New Roman" w:hAnsi="Times New Roman" w:cs="Times New Roman"/>
          <w:sz w:val="18"/>
          <w:szCs w:val="18"/>
          <w:shd w:val="clear" w:color="auto" w:fill="FFFFFF"/>
        </w:rPr>
        <w:t>Circulation. </w:t>
      </w:r>
      <w:r w:rsidRPr="00830AE7">
        <w:rPr>
          <w:rFonts w:ascii="Times New Roman" w:hAnsi="Times New Roman" w:cs="Times New Roman"/>
          <w:sz w:val="18"/>
          <w:szCs w:val="18"/>
          <w:shd w:val="clear" w:color="auto" w:fill="FFFFFF"/>
        </w:rPr>
        <w:t xml:space="preserve">2005; </w:t>
      </w:r>
      <w:r w:rsidRPr="00830AE7">
        <w:rPr>
          <w:rStyle w:val="ref-vol"/>
          <w:rFonts w:ascii="Times New Roman" w:hAnsi="Times New Roman" w:cs="Times New Roman"/>
          <w:bCs/>
          <w:sz w:val="18"/>
          <w:szCs w:val="18"/>
          <w:shd w:val="clear" w:color="auto" w:fill="FFFFFF"/>
        </w:rPr>
        <w:t>112</w:t>
      </w:r>
      <w:r w:rsidRPr="00830AE7">
        <w:rPr>
          <w:rFonts w:ascii="Times New Roman" w:hAnsi="Times New Roman" w:cs="Times New Roman"/>
          <w:sz w:val="18"/>
          <w:szCs w:val="18"/>
          <w:shd w:val="clear" w:color="auto" w:fill="FFFFFF"/>
        </w:rPr>
        <w:t>:3547-3553.</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lang w:val="en-US"/>
        </w:rPr>
      </w:pPr>
      <w:proofErr w:type="spellStart"/>
      <w:r w:rsidRPr="00830AE7">
        <w:rPr>
          <w:rFonts w:ascii="Times New Roman" w:hAnsi="Times New Roman" w:cs="Times New Roman"/>
          <w:sz w:val="18"/>
          <w:szCs w:val="18"/>
        </w:rPr>
        <w:t>Ramaraj</w:t>
      </w:r>
      <w:proofErr w:type="spellEnd"/>
      <w:r w:rsidRPr="00830AE7">
        <w:rPr>
          <w:rFonts w:ascii="Times New Roman" w:hAnsi="Times New Roman" w:cs="Times New Roman"/>
          <w:sz w:val="18"/>
          <w:szCs w:val="18"/>
        </w:rPr>
        <w:t xml:space="preserve"> R, Alpert JS. Indian poverty and cardiovascular disease. Am J </w:t>
      </w:r>
      <w:proofErr w:type="spellStart"/>
      <w:r w:rsidRPr="00830AE7">
        <w:rPr>
          <w:rFonts w:ascii="Times New Roman" w:hAnsi="Times New Roman" w:cs="Times New Roman"/>
          <w:sz w:val="18"/>
          <w:szCs w:val="18"/>
        </w:rPr>
        <w:t>Cardiol</w:t>
      </w:r>
      <w:proofErr w:type="spellEnd"/>
      <w:r w:rsidRPr="00830AE7">
        <w:rPr>
          <w:rFonts w:ascii="Times New Roman" w:hAnsi="Times New Roman" w:cs="Times New Roman"/>
          <w:sz w:val="18"/>
          <w:szCs w:val="18"/>
        </w:rPr>
        <w:t xml:space="preserve"> 2008; 10:102-</w:t>
      </w:r>
      <w:proofErr w:type="gramStart"/>
      <w:r w:rsidRPr="00830AE7">
        <w:rPr>
          <w:rFonts w:ascii="Times New Roman" w:hAnsi="Times New Roman" w:cs="Times New Roman"/>
          <w:sz w:val="18"/>
          <w:szCs w:val="18"/>
        </w:rPr>
        <w:t>106.</w:t>
      </w:r>
      <w:proofErr w:type="gramEnd"/>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lang w:val="en-US"/>
        </w:rPr>
      </w:pPr>
      <w:proofErr w:type="spellStart"/>
      <w:r w:rsidRPr="00830AE7">
        <w:rPr>
          <w:rFonts w:ascii="Times New Roman" w:hAnsi="Times New Roman" w:cs="Times New Roman"/>
          <w:sz w:val="18"/>
          <w:szCs w:val="18"/>
        </w:rPr>
        <w:t>Rehan</w:t>
      </w:r>
      <w:proofErr w:type="spellEnd"/>
      <w:r w:rsidRPr="00830AE7">
        <w:rPr>
          <w:rFonts w:ascii="Times New Roman" w:hAnsi="Times New Roman" w:cs="Times New Roman"/>
          <w:sz w:val="18"/>
          <w:szCs w:val="18"/>
        </w:rPr>
        <w:t xml:space="preserve"> F, </w:t>
      </w:r>
      <w:proofErr w:type="spellStart"/>
      <w:r w:rsidRPr="00830AE7">
        <w:rPr>
          <w:rFonts w:ascii="Times New Roman" w:hAnsi="Times New Roman" w:cs="Times New Roman"/>
          <w:sz w:val="18"/>
          <w:szCs w:val="18"/>
        </w:rPr>
        <w:t>Qadeer</w:t>
      </w:r>
      <w:proofErr w:type="spellEnd"/>
      <w:r w:rsidRPr="00830AE7">
        <w:rPr>
          <w:rFonts w:ascii="Times New Roman" w:hAnsi="Times New Roman" w:cs="Times New Roman"/>
          <w:sz w:val="18"/>
          <w:szCs w:val="18"/>
        </w:rPr>
        <w:t xml:space="preserve"> A, Bashir I, </w:t>
      </w:r>
      <w:proofErr w:type="spellStart"/>
      <w:r w:rsidRPr="00830AE7">
        <w:rPr>
          <w:rFonts w:ascii="Times New Roman" w:hAnsi="Times New Roman" w:cs="Times New Roman"/>
          <w:sz w:val="18"/>
          <w:szCs w:val="18"/>
        </w:rPr>
        <w:t>Jamshaid</w:t>
      </w:r>
      <w:proofErr w:type="spellEnd"/>
      <w:r w:rsidRPr="00830AE7">
        <w:rPr>
          <w:rFonts w:ascii="Times New Roman" w:hAnsi="Times New Roman" w:cs="Times New Roman"/>
          <w:sz w:val="18"/>
          <w:szCs w:val="18"/>
        </w:rPr>
        <w:t xml:space="preserve"> M. Risk factors of cardiovascular disease in developing countries. International Current Pharmaceutical Journal 2016; 5(8): 69-72.</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color w:val="000000" w:themeColor="text1"/>
          <w:sz w:val="18"/>
          <w:szCs w:val="18"/>
          <w:lang w:val="en-US"/>
        </w:rPr>
      </w:pPr>
      <w:proofErr w:type="spellStart"/>
      <w:r w:rsidRPr="00830AE7">
        <w:rPr>
          <w:rFonts w:ascii="Times New Roman" w:hAnsi="Times New Roman" w:cs="Times New Roman"/>
          <w:color w:val="000000" w:themeColor="text1"/>
          <w:sz w:val="18"/>
          <w:szCs w:val="18"/>
          <w:shd w:val="clear" w:color="auto" w:fill="FFFFFF"/>
        </w:rPr>
        <w:t>Dhingra</w:t>
      </w:r>
      <w:proofErr w:type="spellEnd"/>
      <w:r w:rsidRPr="00830AE7">
        <w:rPr>
          <w:rFonts w:ascii="Times New Roman" w:hAnsi="Times New Roman" w:cs="Times New Roman"/>
          <w:color w:val="000000" w:themeColor="text1"/>
          <w:sz w:val="18"/>
          <w:szCs w:val="18"/>
          <w:shd w:val="clear" w:color="auto" w:fill="FFFFFF"/>
        </w:rPr>
        <w:t xml:space="preserve"> R, </w:t>
      </w:r>
      <w:proofErr w:type="spellStart"/>
      <w:r w:rsidRPr="00830AE7">
        <w:rPr>
          <w:rFonts w:ascii="Times New Roman" w:hAnsi="Times New Roman" w:cs="Times New Roman"/>
          <w:color w:val="000000" w:themeColor="text1"/>
          <w:sz w:val="18"/>
          <w:szCs w:val="18"/>
          <w:shd w:val="clear" w:color="auto" w:fill="FFFFFF"/>
        </w:rPr>
        <w:t>Vasan</w:t>
      </w:r>
      <w:proofErr w:type="spellEnd"/>
      <w:r w:rsidRPr="00830AE7">
        <w:rPr>
          <w:rFonts w:ascii="Times New Roman" w:hAnsi="Times New Roman" w:cs="Times New Roman"/>
          <w:color w:val="000000" w:themeColor="text1"/>
          <w:sz w:val="18"/>
          <w:szCs w:val="18"/>
          <w:shd w:val="clear" w:color="auto" w:fill="FFFFFF"/>
        </w:rPr>
        <w:t xml:space="preserve"> R. Biomarkers in cardiovascular disease: Statistical assessment and section on key novel heart failure biomarkers. Trends </w:t>
      </w:r>
      <w:proofErr w:type="spellStart"/>
      <w:r w:rsidRPr="00830AE7">
        <w:rPr>
          <w:rFonts w:ascii="Times New Roman" w:hAnsi="Times New Roman" w:cs="Times New Roman"/>
          <w:color w:val="000000" w:themeColor="text1"/>
          <w:sz w:val="18"/>
          <w:szCs w:val="18"/>
          <w:shd w:val="clear" w:color="auto" w:fill="FFFFFF"/>
        </w:rPr>
        <w:t>Cardiovasc</w:t>
      </w:r>
      <w:proofErr w:type="spellEnd"/>
      <w:r w:rsidRPr="00830AE7">
        <w:rPr>
          <w:rFonts w:ascii="Times New Roman" w:hAnsi="Times New Roman" w:cs="Times New Roman"/>
          <w:color w:val="000000" w:themeColor="text1"/>
          <w:sz w:val="18"/>
          <w:szCs w:val="18"/>
          <w:shd w:val="clear" w:color="auto" w:fill="FFFFFF"/>
        </w:rPr>
        <w:t xml:space="preserve"> Med 2017; 27:123-133.</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sz w:val="18"/>
          <w:szCs w:val="18"/>
          <w:shd w:val="clear" w:color="auto" w:fill="FFFFFF"/>
        </w:rPr>
        <w:t xml:space="preserve">Leila F, </w:t>
      </w:r>
      <w:proofErr w:type="spellStart"/>
      <w:r w:rsidRPr="00830AE7">
        <w:rPr>
          <w:rFonts w:ascii="Times New Roman" w:hAnsi="Times New Roman" w:cs="Times New Roman"/>
          <w:sz w:val="18"/>
          <w:szCs w:val="18"/>
          <w:shd w:val="clear" w:color="auto" w:fill="FFFFFF"/>
        </w:rPr>
        <w:t>Mojtaba</w:t>
      </w:r>
      <w:proofErr w:type="spellEnd"/>
      <w:r w:rsidRPr="00830AE7">
        <w:rPr>
          <w:rFonts w:ascii="Times New Roman" w:hAnsi="Times New Roman" w:cs="Times New Roman"/>
          <w:sz w:val="18"/>
          <w:szCs w:val="18"/>
          <w:shd w:val="clear" w:color="auto" w:fill="FFFFFF"/>
        </w:rPr>
        <w:t xml:space="preserve"> S, Leila S, </w:t>
      </w:r>
      <w:proofErr w:type="spellStart"/>
      <w:r w:rsidRPr="00830AE7">
        <w:rPr>
          <w:rFonts w:ascii="Times New Roman" w:hAnsi="Times New Roman" w:cs="Times New Roman"/>
          <w:sz w:val="18"/>
          <w:szCs w:val="18"/>
          <w:shd w:val="clear" w:color="auto" w:fill="FFFFFF"/>
        </w:rPr>
        <w:t>Shahab</w:t>
      </w:r>
      <w:proofErr w:type="spellEnd"/>
      <w:r w:rsidRPr="00830AE7">
        <w:rPr>
          <w:rFonts w:ascii="Times New Roman" w:hAnsi="Times New Roman" w:cs="Times New Roman"/>
          <w:sz w:val="18"/>
          <w:szCs w:val="18"/>
          <w:shd w:val="clear" w:color="auto" w:fill="FFFFFF"/>
        </w:rPr>
        <w:t xml:space="preserve"> S. Recent advances in designing nanomaterial based </w:t>
      </w:r>
      <w:proofErr w:type="spellStart"/>
      <w:r w:rsidRPr="00830AE7">
        <w:rPr>
          <w:rFonts w:ascii="Times New Roman" w:hAnsi="Times New Roman" w:cs="Times New Roman"/>
          <w:sz w:val="18"/>
          <w:szCs w:val="18"/>
          <w:shd w:val="clear" w:color="auto" w:fill="FFFFFF"/>
        </w:rPr>
        <w:t>biointerfaces</w:t>
      </w:r>
      <w:proofErr w:type="spellEnd"/>
      <w:r w:rsidRPr="00830AE7">
        <w:rPr>
          <w:rFonts w:ascii="Times New Roman" w:hAnsi="Times New Roman" w:cs="Times New Roman"/>
          <w:sz w:val="18"/>
          <w:szCs w:val="18"/>
          <w:shd w:val="clear" w:color="auto" w:fill="FFFFFF"/>
        </w:rPr>
        <w:t xml:space="preserve"> for electrochemical </w:t>
      </w:r>
      <w:proofErr w:type="spellStart"/>
      <w:r w:rsidRPr="00830AE7">
        <w:rPr>
          <w:rFonts w:ascii="Times New Roman" w:hAnsi="Times New Roman" w:cs="Times New Roman"/>
          <w:sz w:val="18"/>
          <w:szCs w:val="18"/>
          <w:shd w:val="clear" w:color="auto" w:fill="FFFFFF"/>
        </w:rPr>
        <w:t>biosensing</w:t>
      </w:r>
      <w:proofErr w:type="spellEnd"/>
      <w:r w:rsidRPr="00830AE7">
        <w:rPr>
          <w:rFonts w:ascii="Times New Roman" w:hAnsi="Times New Roman" w:cs="Times New Roman"/>
          <w:sz w:val="18"/>
          <w:szCs w:val="18"/>
          <w:shd w:val="clear" w:color="auto" w:fill="FFFFFF"/>
        </w:rPr>
        <w:t xml:space="preserve"> cardiovascular biomarkers. Journal of Pharmaceutical and Biomedical Analysis 2018; 161: 344-376.</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sz w:val="18"/>
          <w:szCs w:val="18"/>
        </w:rPr>
        <w:t xml:space="preserve">Biomarkers Definitions Working Group. Biomarkers and surrogate endpoints: preferred definitions and conceptual framework. </w:t>
      </w:r>
      <w:proofErr w:type="spellStart"/>
      <w:r w:rsidRPr="00830AE7">
        <w:rPr>
          <w:rFonts w:ascii="Times New Roman" w:hAnsi="Times New Roman" w:cs="Times New Roman"/>
          <w:sz w:val="18"/>
          <w:szCs w:val="18"/>
        </w:rPr>
        <w:t>Clin</w:t>
      </w:r>
      <w:proofErr w:type="spellEnd"/>
      <w:r w:rsidRPr="00830AE7">
        <w:rPr>
          <w:rFonts w:ascii="Times New Roman" w:hAnsi="Times New Roman" w:cs="Times New Roman"/>
          <w:sz w:val="18"/>
          <w:szCs w:val="18"/>
        </w:rPr>
        <w:t xml:space="preserve"> </w:t>
      </w:r>
      <w:proofErr w:type="spellStart"/>
      <w:r w:rsidRPr="00830AE7">
        <w:rPr>
          <w:rFonts w:ascii="Times New Roman" w:hAnsi="Times New Roman" w:cs="Times New Roman"/>
          <w:sz w:val="18"/>
          <w:szCs w:val="18"/>
        </w:rPr>
        <w:t>Pharmacol</w:t>
      </w:r>
      <w:proofErr w:type="spellEnd"/>
      <w:r w:rsidRPr="00830AE7">
        <w:rPr>
          <w:rFonts w:ascii="Times New Roman" w:hAnsi="Times New Roman" w:cs="Times New Roman"/>
          <w:sz w:val="18"/>
          <w:szCs w:val="18"/>
        </w:rPr>
        <w:t xml:space="preserve"> </w:t>
      </w:r>
      <w:proofErr w:type="spellStart"/>
      <w:r w:rsidRPr="00830AE7">
        <w:rPr>
          <w:rFonts w:ascii="Times New Roman" w:hAnsi="Times New Roman" w:cs="Times New Roman"/>
          <w:sz w:val="18"/>
          <w:szCs w:val="18"/>
        </w:rPr>
        <w:t>Ther</w:t>
      </w:r>
      <w:proofErr w:type="spellEnd"/>
      <w:r w:rsidRPr="00830AE7">
        <w:rPr>
          <w:rFonts w:ascii="Times New Roman" w:hAnsi="Times New Roman" w:cs="Times New Roman"/>
          <w:sz w:val="18"/>
          <w:szCs w:val="18"/>
        </w:rPr>
        <w:t>. 2001; 69:89-95.</w:t>
      </w:r>
      <w:r w:rsidRPr="00830AE7">
        <w:rPr>
          <w:rFonts w:ascii="Times New Roman" w:hAnsi="Times New Roman" w:cs="Times New Roman"/>
          <w:sz w:val="18"/>
          <w:szCs w:val="18"/>
          <w:shd w:val="clear" w:color="auto" w:fill="FFFFFF"/>
        </w:rPr>
        <w:t xml:space="preserve"> </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sz w:val="18"/>
          <w:szCs w:val="18"/>
          <w:shd w:val="clear" w:color="auto" w:fill="FFFFFF"/>
        </w:rPr>
        <w:t xml:space="preserve">Roth G, </w:t>
      </w:r>
      <w:proofErr w:type="spellStart"/>
      <w:r w:rsidRPr="00830AE7">
        <w:rPr>
          <w:rFonts w:ascii="Times New Roman" w:hAnsi="Times New Roman" w:cs="Times New Roman"/>
          <w:sz w:val="18"/>
          <w:szCs w:val="18"/>
          <w:shd w:val="clear" w:color="auto" w:fill="FFFFFF"/>
        </w:rPr>
        <w:t>Mensah</w:t>
      </w:r>
      <w:proofErr w:type="spellEnd"/>
      <w:r w:rsidRPr="00830AE7">
        <w:rPr>
          <w:rFonts w:ascii="Times New Roman" w:hAnsi="Times New Roman" w:cs="Times New Roman"/>
          <w:sz w:val="18"/>
          <w:szCs w:val="18"/>
          <w:shd w:val="clear" w:color="auto" w:fill="FFFFFF"/>
        </w:rPr>
        <w:t xml:space="preserve"> G, Johnson C, </w:t>
      </w:r>
      <w:proofErr w:type="spellStart"/>
      <w:r w:rsidRPr="00830AE7">
        <w:rPr>
          <w:rFonts w:ascii="Times New Roman" w:hAnsi="Times New Roman" w:cs="Times New Roman"/>
          <w:sz w:val="18"/>
          <w:szCs w:val="18"/>
          <w:shd w:val="clear" w:color="auto" w:fill="FFFFFF"/>
        </w:rPr>
        <w:t>Addolorato</w:t>
      </w:r>
      <w:proofErr w:type="spellEnd"/>
      <w:r w:rsidRPr="00830AE7">
        <w:rPr>
          <w:rFonts w:ascii="Times New Roman" w:hAnsi="Times New Roman" w:cs="Times New Roman"/>
          <w:sz w:val="18"/>
          <w:szCs w:val="18"/>
          <w:shd w:val="clear" w:color="auto" w:fill="FFFFFF"/>
        </w:rPr>
        <w:t xml:space="preserve"> G, </w:t>
      </w:r>
      <w:proofErr w:type="spellStart"/>
      <w:r w:rsidRPr="00830AE7">
        <w:rPr>
          <w:rFonts w:ascii="Times New Roman" w:hAnsi="Times New Roman" w:cs="Times New Roman"/>
          <w:sz w:val="18"/>
          <w:szCs w:val="18"/>
          <w:shd w:val="clear" w:color="auto" w:fill="FFFFFF"/>
        </w:rPr>
        <w:t>Ammirati</w:t>
      </w:r>
      <w:proofErr w:type="spellEnd"/>
      <w:r w:rsidRPr="00830AE7">
        <w:rPr>
          <w:rFonts w:ascii="Times New Roman" w:hAnsi="Times New Roman" w:cs="Times New Roman"/>
          <w:sz w:val="18"/>
          <w:szCs w:val="18"/>
          <w:shd w:val="clear" w:color="auto" w:fill="FFFFFF"/>
        </w:rPr>
        <w:t xml:space="preserve"> E, </w:t>
      </w:r>
      <w:proofErr w:type="spellStart"/>
      <w:r w:rsidRPr="00830AE7">
        <w:rPr>
          <w:rFonts w:ascii="Times New Roman" w:hAnsi="Times New Roman" w:cs="Times New Roman"/>
          <w:sz w:val="18"/>
          <w:szCs w:val="18"/>
          <w:shd w:val="clear" w:color="auto" w:fill="FFFFFF"/>
        </w:rPr>
        <w:t>Baddour</w:t>
      </w:r>
      <w:proofErr w:type="spellEnd"/>
      <w:r w:rsidRPr="00830AE7">
        <w:rPr>
          <w:rFonts w:ascii="Times New Roman" w:hAnsi="Times New Roman" w:cs="Times New Roman"/>
          <w:sz w:val="18"/>
          <w:szCs w:val="18"/>
          <w:shd w:val="clear" w:color="auto" w:fill="FFFFFF"/>
        </w:rPr>
        <w:t xml:space="preserve"> L </w:t>
      </w:r>
      <w:r w:rsidRPr="00830AE7">
        <w:rPr>
          <w:rFonts w:ascii="Times New Roman" w:hAnsi="Times New Roman" w:cs="Times New Roman"/>
          <w:i/>
          <w:sz w:val="18"/>
          <w:szCs w:val="18"/>
          <w:shd w:val="clear" w:color="auto" w:fill="FFFFFF"/>
        </w:rPr>
        <w:t>et al</w:t>
      </w:r>
      <w:r w:rsidRPr="00830AE7">
        <w:rPr>
          <w:rFonts w:ascii="Times New Roman" w:hAnsi="Times New Roman" w:cs="Times New Roman"/>
          <w:sz w:val="18"/>
          <w:szCs w:val="18"/>
          <w:shd w:val="clear" w:color="auto" w:fill="FFFFFF"/>
        </w:rPr>
        <w:t>. Global Burden of Cardiovascular Diseases and Risk Factors, 1990–2019: Update From the GBD 2019 Study. J American College Cardiology 2020; 76: 2982-3021.</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color w:val="000000" w:themeColor="text1"/>
          <w:sz w:val="18"/>
          <w:szCs w:val="18"/>
          <w:shd w:val="clear" w:color="auto" w:fill="FFFFFF"/>
        </w:rPr>
        <w:t xml:space="preserve">Meyer KA, Decker K, </w:t>
      </w:r>
      <w:proofErr w:type="spellStart"/>
      <w:r w:rsidRPr="00830AE7">
        <w:rPr>
          <w:rFonts w:ascii="Times New Roman" w:hAnsi="Times New Roman" w:cs="Times New Roman"/>
          <w:color w:val="000000" w:themeColor="text1"/>
          <w:sz w:val="18"/>
          <w:szCs w:val="18"/>
          <w:shd w:val="clear" w:color="auto" w:fill="FFFFFF"/>
        </w:rPr>
        <w:t>Mervis</w:t>
      </w:r>
      <w:proofErr w:type="spellEnd"/>
      <w:r w:rsidRPr="00830AE7">
        <w:rPr>
          <w:rFonts w:ascii="Times New Roman" w:hAnsi="Times New Roman" w:cs="Times New Roman"/>
          <w:color w:val="000000" w:themeColor="text1"/>
          <w:sz w:val="18"/>
          <w:szCs w:val="18"/>
          <w:shd w:val="clear" w:color="auto" w:fill="FFFFFF"/>
        </w:rPr>
        <w:t xml:space="preserve"> CA, Louder D, Bradshaw J, </w:t>
      </w:r>
      <w:proofErr w:type="spellStart"/>
      <w:r w:rsidRPr="00830AE7">
        <w:rPr>
          <w:rFonts w:ascii="Times New Roman" w:hAnsi="Times New Roman" w:cs="Times New Roman"/>
          <w:color w:val="000000" w:themeColor="text1"/>
          <w:sz w:val="18"/>
          <w:szCs w:val="18"/>
          <w:shd w:val="clear" w:color="auto" w:fill="FFFFFF"/>
        </w:rPr>
        <w:t>DeVader</w:t>
      </w:r>
      <w:proofErr w:type="spellEnd"/>
      <w:r w:rsidRPr="00830AE7">
        <w:rPr>
          <w:rFonts w:ascii="Times New Roman" w:hAnsi="Times New Roman" w:cs="Times New Roman"/>
          <w:color w:val="000000" w:themeColor="text1"/>
          <w:sz w:val="18"/>
          <w:szCs w:val="18"/>
          <w:shd w:val="clear" w:color="auto" w:fill="FFFFFF"/>
        </w:rPr>
        <w:t xml:space="preserve"> S, Wigand D. Emergency medical services data for cardiovascular disease surveillance, program planning, and evaluation in Maine. </w:t>
      </w:r>
      <w:proofErr w:type="spellStart"/>
      <w:r w:rsidRPr="00830AE7">
        <w:rPr>
          <w:rFonts w:ascii="Times New Roman" w:hAnsi="Times New Roman" w:cs="Times New Roman"/>
          <w:color w:val="000000" w:themeColor="text1"/>
          <w:sz w:val="18"/>
          <w:szCs w:val="18"/>
          <w:shd w:val="clear" w:color="auto" w:fill="FFFFFF"/>
        </w:rPr>
        <w:t>Prev</w:t>
      </w:r>
      <w:proofErr w:type="spellEnd"/>
      <w:r w:rsidRPr="00830AE7">
        <w:rPr>
          <w:rFonts w:ascii="Times New Roman" w:hAnsi="Times New Roman" w:cs="Times New Roman"/>
          <w:color w:val="000000" w:themeColor="text1"/>
          <w:sz w:val="18"/>
          <w:szCs w:val="18"/>
          <w:shd w:val="clear" w:color="auto" w:fill="FFFFFF"/>
        </w:rPr>
        <w:t xml:space="preserve"> Chronic Dis. 2008 Apr; 5(2):A54. </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color w:val="000000"/>
          <w:sz w:val="18"/>
          <w:szCs w:val="18"/>
          <w:shd w:val="clear" w:color="auto" w:fill="FFFFFF"/>
        </w:rPr>
        <w:t xml:space="preserve">Gaze D. Rapid Cardiovascular Diagnostics. In: </w:t>
      </w:r>
      <w:proofErr w:type="spellStart"/>
      <w:r w:rsidRPr="00830AE7">
        <w:rPr>
          <w:rFonts w:ascii="Times New Roman" w:hAnsi="Times New Roman" w:cs="Times New Roman"/>
          <w:color w:val="000000"/>
          <w:sz w:val="18"/>
          <w:szCs w:val="18"/>
          <w:shd w:val="clear" w:color="auto" w:fill="FFFFFF"/>
        </w:rPr>
        <w:t>Saxena</w:t>
      </w:r>
      <w:proofErr w:type="spellEnd"/>
      <w:r w:rsidRPr="00830AE7">
        <w:rPr>
          <w:rFonts w:ascii="Times New Roman" w:hAnsi="Times New Roman" w:cs="Times New Roman"/>
          <w:color w:val="000000"/>
          <w:sz w:val="18"/>
          <w:szCs w:val="18"/>
          <w:shd w:val="clear" w:color="auto" w:fill="FFFFFF"/>
        </w:rPr>
        <w:t xml:space="preserve">, S. K., editor. Proof and Concepts in Rapid Diagnostic Tests and Technologies [Internet]. London: </w:t>
      </w:r>
      <w:proofErr w:type="spellStart"/>
      <w:r w:rsidRPr="00830AE7">
        <w:rPr>
          <w:rFonts w:ascii="Times New Roman" w:hAnsi="Times New Roman" w:cs="Times New Roman"/>
          <w:color w:val="000000"/>
          <w:sz w:val="18"/>
          <w:szCs w:val="18"/>
          <w:shd w:val="clear" w:color="auto" w:fill="FFFFFF"/>
        </w:rPr>
        <w:t>IntechOpen</w:t>
      </w:r>
      <w:proofErr w:type="spellEnd"/>
      <w:r w:rsidRPr="00830AE7">
        <w:rPr>
          <w:rFonts w:ascii="Times New Roman" w:hAnsi="Times New Roman" w:cs="Times New Roman"/>
          <w:color w:val="000000"/>
          <w:sz w:val="18"/>
          <w:szCs w:val="18"/>
          <w:shd w:val="clear" w:color="auto" w:fill="FFFFFF"/>
        </w:rPr>
        <w:t xml:space="preserve">; 2016 [cited 2022 Apr 15]. Available from: https://www.intechopen.com/chapters/51063 </w:t>
      </w:r>
      <w:proofErr w:type="spellStart"/>
      <w:r w:rsidRPr="00830AE7">
        <w:rPr>
          <w:rFonts w:ascii="Times New Roman" w:hAnsi="Times New Roman" w:cs="Times New Roman"/>
          <w:color w:val="000000"/>
          <w:sz w:val="18"/>
          <w:szCs w:val="18"/>
          <w:shd w:val="clear" w:color="auto" w:fill="FFFFFF"/>
        </w:rPr>
        <w:t>doi</w:t>
      </w:r>
      <w:proofErr w:type="spellEnd"/>
      <w:r w:rsidRPr="00830AE7">
        <w:rPr>
          <w:rFonts w:ascii="Times New Roman" w:hAnsi="Times New Roman" w:cs="Times New Roman"/>
          <w:color w:val="000000"/>
          <w:sz w:val="18"/>
          <w:szCs w:val="18"/>
          <w:shd w:val="clear" w:color="auto" w:fill="FFFFFF"/>
        </w:rPr>
        <w:t>: 10.5772/63910.</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color w:val="000000" w:themeColor="text1"/>
          <w:sz w:val="18"/>
          <w:szCs w:val="18"/>
          <w:shd w:val="clear" w:color="auto" w:fill="FFFFFF"/>
        </w:rPr>
      </w:pPr>
      <w:proofErr w:type="spellStart"/>
      <w:r w:rsidRPr="00830AE7">
        <w:rPr>
          <w:rFonts w:ascii="Times New Roman" w:hAnsi="Times New Roman" w:cs="Times New Roman"/>
          <w:color w:val="000000" w:themeColor="text1"/>
          <w:sz w:val="18"/>
          <w:szCs w:val="18"/>
          <w:shd w:val="clear" w:color="auto" w:fill="FFFFFF"/>
        </w:rPr>
        <w:t>Sreeniwas</w:t>
      </w:r>
      <w:proofErr w:type="spellEnd"/>
      <w:r w:rsidRPr="00830AE7">
        <w:rPr>
          <w:rFonts w:ascii="Times New Roman" w:hAnsi="Times New Roman" w:cs="Times New Roman"/>
          <w:color w:val="000000" w:themeColor="text1"/>
          <w:sz w:val="18"/>
          <w:szCs w:val="18"/>
          <w:shd w:val="clear" w:color="auto" w:fill="FFFFFF"/>
        </w:rPr>
        <w:t xml:space="preserve"> Kumar A, </w:t>
      </w:r>
      <w:proofErr w:type="spellStart"/>
      <w:r w:rsidRPr="00830AE7">
        <w:rPr>
          <w:rFonts w:ascii="Times New Roman" w:hAnsi="Times New Roman" w:cs="Times New Roman"/>
          <w:color w:val="000000" w:themeColor="text1"/>
          <w:sz w:val="18"/>
          <w:szCs w:val="18"/>
          <w:shd w:val="clear" w:color="auto" w:fill="FFFFFF"/>
        </w:rPr>
        <w:t>Sinha</w:t>
      </w:r>
      <w:proofErr w:type="spellEnd"/>
      <w:r w:rsidRPr="00830AE7">
        <w:rPr>
          <w:rFonts w:ascii="Times New Roman" w:hAnsi="Times New Roman" w:cs="Times New Roman"/>
          <w:color w:val="000000" w:themeColor="text1"/>
          <w:sz w:val="18"/>
          <w:szCs w:val="18"/>
          <w:shd w:val="clear" w:color="auto" w:fill="FFFFFF"/>
        </w:rPr>
        <w:t xml:space="preserve"> N. Cardiovascular disease in India: A 360 degree overview. Med J Armed Forces India. 2020; 76:1-3.</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color w:val="000000" w:themeColor="text1"/>
          <w:sz w:val="18"/>
          <w:szCs w:val="18"/>
          <w:shd w:val="clear" w:color="auto" w:fill="FFFFFF"/>
        </w:rPr>
      </w:pPr>
      <w:r w:rsidRPr="00830AE7">
        <w:rPr>
          <w:rFonts w:ascii="Times New Roman" w:hAnsi="Times New Roman" w:cs="Times New Roman"/>
          <w:color w:val="303030"/>
          <w:sz w:val="18"/>
          <w:szCs w:val="18"/>
          <w:shd w:val="clear" w:color="auto" w:fill="FFFFFF"/>
        </w:rPr>
        <w:t xml:space="preserve"> </w:t>
      </w:r>
      <w:proofErr w:type="spellStart"/>
      <w:r w:rsidRPr="00830AE7">
        <w:rPr>
          <w:rFonts w:ascii="Times New Roman" w:hAnsi="Times New Roman" w:cs="Times New Roman"/>
          <w:color w:val="000000" w:themeColor="text1"/>
          <w:sz w:val="18"/>
          <w:szCs w:val="18"/>
          <w:shd w:val="clear" w:color="auto" w:fill="FFFFFF"/>
        </w:rPr>
        <w:t>Akil</w:t>
      </w:r>
      <w:proofErr w:type="spellEnd"/>
      <w:r w:rsidRPr="00830AE7">
        <w:rPr>
          <w:rFonts w:ascii="Times New Roman" w:hAnsi="Times New Roman" w:cs="Times New Roman"/>
          <w:color w:val="000000" w:themeColor="text1"/>
          <w:sz w:val="18"/>
          <w:szCs w:val="18"/>
          <w:shd w:val="clear" w:color="auto" w:fill="FFFFFF"/>
        </w:rPr>
        <w:t xml:space="preserve"> L, Ahmad HA. Relationships between obesity and cardiovascular diseases in four southern states and Colorado. J Health Care Poor Underserved. 2011; 22(4 </w:t>
      </w:r>
      <w:proofErr w:type="spellStart"/>
      <w:r w:rsidRPr="00830AE7">
        <w:rPr>
          <w:rFonts w:ascii="Times New Roman" w:hAnsi="Times New Roman" w:cs="Times New Roman"/>
          <w:color w:val="000000" w:themeColor="text1"/>
          <w:sz w:val="18"/>
          <w:szCs w:val="18"/>
          <w:shd w:val="clear" w:color="auto" w:fill="FFFFFF"/>
        </w:rPr>
        <w:t>Suppl</w:t>
      </w:r>
      <w:proofErr w:type="spellEnd"/>
      <w:r w:rsidRPr="00830AE7">
        <w:rPr>
          <w:rFonts w:ascii="Times New Roman" w:hAnsi="Times New Roman" w:cs="Times New Roman"/>
          <w:color w:val="000000" w:themeColor="text1"/>
          <w:sz w:val="18"/>
          <w:szCs w:val="18"/>
          <w:shd w:val="clear" w:color="auto" w:fill="FFFFFF"/>
        </w:rPr>
        <w:t>):61-72.</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color w:val="000000" w:themeColor="text1"/>
          <w:sz w:val="18"/>
          <w:szCs w:val="18"/>
          <w:shd w:val="clear" w:color="auto" w:fill="FFFFFF"/>
        </w:rPr>
      </w:pPr>
      <w:r w:rsidRPr="00830AE7">
        <w:rPr>
          <w:rFonts w:ascii="Times New Roman" w:hAnsi="Times New Roman" w:cs="Times New Roman"/>
          <w:color w:val="333333"/>
          <w:sz w:val="18"/>
          <w:szCs w:val="18"/>
          <w:shd w:val="clear" w:color="auto" w:fill="FFFFFF"/>
        </w:rPr>
        <w:t xml:space="preserve">Khan SS, </w:t>
      </w:r>
      <w:proofErr w:type="spellStart"/>
      <w:r w:rsidRPr="00830AE7">
        <w:rPr>
          <w:rFonts w:ascii="Times New Roman" w:hAnsi="Times New Roman" w:cs="Times New Roman"/>
          <w:color w:val="333333"/>
          <w:sz w:val="18"/>
          <w:szCs w:val="18"/>
          <w:shd w:val="clear" w:color="auto" w:fill="FFFFFF"/>
        </w:rPr>
        <w:t>Ning</w:t>
      </w:r>
      <w:proofErr w:type="spellEnd"/>
      <w:r w:rsidRPr="00830AE7">
        <w:rPr>
          <w:rFonts w:ascii="Times New Roman" w:hAnsi="Times New Roman" w:cs="Times New Roman"/>
          <w:color w:val="333333"/>
          <w:sz w:val="18"/>
          <w:szCs w:val="18"/>
          <w:shd w:val="clear" w:color="auto" w:fill="FFFFFF"/>
        </w:rPr>
        <w:t xml:space="preserve"> H, Wilkins J. Association of Body Mass Index </w:t>
      </w:r>
      <w:proofErr w:type="gramStart"/>
      <w:r w:rsidRPr="00830AE7">
        <w:rPr>
          <w:rFonts w:ascii="Times New Roman" w:hAnsi="Times New Roman" w:cs="Times New Roman"/>
          <w:color w:val="333333"/>
          <w:sz w:val="18"/>
          <w:szCs w:val="18"/>
          <w:shd w:val="clear" w:color="auto" w:fill="FFFFFF"/>
        </w:rPr>
        <w:t>With</w:t>
      </w:r>
      <w:proofErr w:type="gramEnd"/>
      <w:r w:rsidRPr="00830AE7">
        <w:rPr>
          <w:rFonts w:ascii="Times New Roman" w:hAnsi="Times New Roman" w:cs="Times New Roman"/>
          <w:color w:val="333333"/>
          <w:sz w:val="18"/>
          <w:szCs w:val="18"/>
          <w:shd w:val="clear" w:color="auto" w:fill="FFFFFF"/>
        </w:rPr>
        <w:t xml:space="preserve"> Lifetime Risk of Cardiovascular Disease and Compression of Morbidity. </w:t>
      </w:r>
      <w:r w:rsidRPr="00830AE7">
        <w:rPr>
          <w:rStyle w:val="Emphasis"/>
          <w:rFonts w:ascii="Times New Roman" w:hAnsi="Times New Roman" w:cs="Times New Roman"/>
          <w:i w:val="0"/>
          <w:color w:val="333333"/>
          <w:sz w:val="18"/>
          <w:szCs w:val="18"/>
          <w:shd w:val="clear" w:color="auto" w:fill="FFFFFF"/>
        </w:rPr>
        <w:t xml:space="preserve">JAMA </w:t>
      </w:r>
      <w:proofErr w:type="spellStart"/>
      <w:r w:rsidRPr="00830AE7">
        <w:rPr>
          <w:rStyle w:val="Emphasis"/>
          <w:rFonts w:ascii="Times New Roman" w:hAnsi="Times New Roman" w:cs="Times New Roman"/>
          <w:i w:val="0"/>
          <w:color w:val="333333"/>
          <w:sz w:val="18"/>
          <w:szCs w:val="18"/>
          <w:shd w:val="clear" w:color="auto" w:fill="FFFFFF"/>
        </w:rPr>
        <w:t>Cardiol</w:t>
      </w:r>
      <w:proofErr w:type="spellEnd"/>
      <w:r w:rsidRPr="00830AE7">
        <w:rPr>
          <w:rStyle w:val="Emphasis"/>
          <w:rFonts w:ascii="Times New Roman" w:hAnsi="Times New Roman" w:cs="Times New Roman"/>
          <w:i w:val="0"/>
          <w:color w:val="333333"/>
          <w:sz w:val="18"/>
          <w:szCs w:val="18"/>
          <w:shd w:val="clear" w:color="auto" w:fill="FFFFFF"/>
        </w:rPr>
        <w:t xml:space="preserve"> 2018;</w:t>
      </w:r>
      <w:r w:rsidRPr="00830AE7">
        <w:rPr>
          <w:rFonts w:ascii="Times New Roman" w:hAnsi="Times New Roman" w:cs="Times New Roman"/>
          <w:color w:val="333333"/>
          <w:sz w:val="18"/>
          <w:szCs w:val="18"/>
          <w:shd w:val="clear" w:color="auto" w:fill="FFFFFF"/>
        </w:rPr>
        <w:t xml:space="preserve"> 3:280-287.</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proofErr w:type="spellStart"/>
      <w:r w:rsidRPr="00830AE7">
        <w:rPr>
          <w:rFonts w:ascii="Times New Roman" w:hAnsi="Times New Roman" w:cs="Times New Roman"/>
          <w:color w:val="212121"/>
          <w:sz w:val="18"/>
          <w:szCs w:val="18"/>
          <w:shd w:val="clear" w:color="auto" w:fill="FFFFFF"/>
        </w:rPr>
        <w:t>Hedayatnia</w:t>
      </w:r>
      <w:proofErr w:type="spellEnd"/>
      <w:r w:rsidRPr="00830AE7">
        <w:rPr>
          <w:rFonts w:ascii="Times New Roman" w:hAnsi="Times New Roman" w:cs="Times New Roman"/>
          <w:color w:val="212121"/>
          <w:sz w:val="18"/>
          <w:szCs w:val="18"/>
          <w:shd w:val="clear" w:color="auto" w:fill="FFFFFF"/>
        </w:rPr>
        <w:t xml:space="preserve"> M, </w:t>
      </w:r>
      <w:proofErr w:type="spellStart"/>
      <w:r w:rsidRPr="00830AE7">
        <w:rPr>
          <w:rFonts w:ascii="Times New Roman" w:hAnsi="Times New Roman" w:cs="Times New Roman"/>
          <w:color w:val="212121"/>
          <w:sz w:val="18"/>
          <w:szCs w:val="18"/>
          <w:shd w:val="clear" w:color="auto" w:fill="FFFFFF"/>
        </w:rPr>
        <w:t>Asadi</w:t>
      </w:r>
      <w:proofErr w:type="spellEnd"/>
      <w:r w:rsidRPr="00830AE7">
        <w:rPr>
          <w:rFonts w:ascii="Times New Roman" w:hAnsi="Times New Roman" w:cs="Times New Roman"/>
          <w:color w:val="212121"/>
          <w:sz w:val="18"/>
          <w:szCs w:val="18"/>
          <w:shd w:val="clear" w:color="auto" w:fill="FFFFFF"/>
        </w:rPr>
        <w:t xml:space="preserve"> Z, </w:t>
      </w:r>
      <w:proofErr w:type="spellStart"/>
      <w:r w:rsidRPr="00830AE7">
        <w:rPr>
          <w:rFonts w:ascii="Times New Roman" w:hAnsi="Times New Roman" w:cs="Times New Roman"/>
          <w:color w:val="212121"/>
          <w:sz w:val="18"/>
          <w:szCs w:val="18"/>
          <w:shd w:val="clear" w:color="auto" w:fill="FFFFFF"/>
        </w:rPr>
        <w:t>Zare-Feyzabadi</w:t>
      </w:r>
      <w:proofErr w:type="spellEnd"/>
      <w:r w:rsidRPr="00830AE7">
        <w:rPr>
          <w:rFonts w:ascii="Times New Roman" w:hAnsi="Times New Roman" w:cs="Times New Roman"/>
          <w:color w:val="212121"/>
          <w:sz w:val="18"/>
          <w:szCs w:val="18"/>
          <w:shd w:val="clear" w:color="auto" w:fill="FFFFFF"/>
        </w:rPr>
        <w:t xml:space="preserve"> R, </w:t>
      </w:r>
      <w:proofErr w:type="spellStart"/>
      <w:r w:rsidRPr="00830AE7">
        <w:rPr>
          <w:rFonts w:ascii="Times New Roman" w:hAnsi="Times New Roman" w:cs="Times New Roman"/>
          <w:color w:val="212121"/>
          <w:sz w:val="18"/>
          <w:szCs w:val="18"/>
          <w:shd w:val="clear" w:color="auto" w:fill="FFFFFF"/>
        </w:rPr>
        <w:t>Yaghooti-Khorasani</w:t>
      </w:r>
      <w:proofErr w:type="spellEnd"/>
      <w:r w:rsidRPr="00830AE7">
        <w:rPr>
          <w:rFonts w:ascii="Times New Roman" w:hAnsi="Times New Roman" w:cs="Times New Roman"/>
          <w:color w:val="212121"/>
          <w:sz w:val="18"/>
          <w:szCs w:val="18"/>
          <w:shd w:val="clear" w:color="auto" w:fill="FFFFFF"/>
        </w:rPr>
        <w:t xml:space="preserve"> M, </w:t>
      </w:r>
      <w:proofErr w:type="spellStart"/>
      <w:r w:rsidRPr="00830AE7">
        <w:rPr>
          <w:rFonts w:ascii="Times New Roman" w:hAnsi="Times New Roman" w:cs="Times New Roman"/>
          <w:color w:val="212121"/>
          <w:sz w:val="18"/>
          <w:szCs w:val="18"/>
          <w:shd w:val="clear" w:color="auto" w:fill="FFFFFF"/>
        </w:rPr>
        <w:t>Ghazizadeh</w:t>
      </w:r>
      <w:proofErr w:type="spellEnd"/>
      <w:r w:rsidRPr="00830AE7">
        <w:rPr>
          <w:rFonts w:ascii="Times New Roman" w:hAnsi="Times New Roman" w:cs="Times New Roman"/>
          <w:color w:val="212121"/>
          <w:sz w:val="18"/>
          <w:szCs w:val="18"/>
          <w:shd w:val="clear" w:color="auto" w:fill="FFFFFF"/>
        </w:rPr>
        <w:t xml:space="preserve"> H, </w:t>
      </w:r>
      <w:proofErr w:type="spellStart"/>
      <w:r w:rsidRPr="00830AE7">
        <w:rPr>
          <w:rFonts w:ascii="Times New Roman" w:hAnsi="Times New Roman" w:cs="Times New Roman"/>
          <w:color w:val="212121"/>
          <w:sz w:val="18"/>
          <w:szCs w:val="18"/>
          <w:shd w:val="clear" w:color="auto" w:fill="FFFFFF"/>
        </w:rPr>
        <w:t>Ghaffarian-Zirak</w:t>
      </w:r>
      <w:proofErr w:type="spellEnd"/>
      <w:r w:rsidRPr="00830AE7">
        <w:rPr>
          <w:rFonts w:ascii="Times New Roman" w:hAnsi="Times New Roman" w:cs="Times New Roman"/>
          <w:color w:val="212121"/>
          <w:sz w:val="18"/>
          <w:szCs w:val="18"/>
          <w:shd w:val="clear" w:color="auto" w:fill="FFFFFF"/>
        </w:rPr>
        <w:t xml:space="preserve"> R, et al . </w:t>
      </w:r>
      <w:proofErr w:type="spellStart"/>
      <w:r w:rsidRPr="00830AE7">
        <w:rPr>
          <w:rFonts w:ascii="Times New Roman" w:hAnsi="Times New Roman" w:cs="Times New Roman"/>
          <w:color w:val="212121"/>
          <w:sz w:val="18"/>
          <w:szCs w:val="18"/>
          <w:shd w:val="clear" w:color="auto" w:fill="FFFFFF"/>
        </w:rPr>
        <w:t>Dyslipidemia</w:t>
      </w:r>
      <w:proofErr w:type="spellEnd"/>
      <w:r w:rsidRPr="00830AE7">
        <w:rPr>
          <w:rFonts w:ascii="Times New Roman" w:hAnsi="Times New Roman" w:cs="Times New Roman"/>
          <w:color w:val="212121"/>
          <w:sz w:val="18"/>
          <w:szCs w:val="18"/>
          <w:shd w:val="clear" w:color="auto" w:fill="FFFFFF"/>
        </w:rPr>
        <w:t xml:space="preserve"> and cardiovascular disease risk among the MASHAD study population. Lipids Health Dis. 2020 Mar 16; 19(1):42.</w:t>
      </w:r>
      <w:r w:rsidRPr="00830AE7">
        <w:rPr>
          <w:rFonts w:ascii="Times New Roman" w:hAnsi="Times New Roman" w:cs="Times New Roman"/>
          <w:color w:val="303030"/>
          <w:sz w:val="18"/>
          <w:szCs w:val="18"/>
          <w:shd w:val="clear" w:color="auto" w:fill="FFFFFF"/>
        </w:rPr>
        <w:t xml:space="preserve"> </w:t>
      </w:r>
    </w:p>
    <w:p w:rsidR="00A51ABF" w:rsidRPr="00830AE7" w:rsidRDefault="00A51ABF" w:rsidP="00830AE7">
      <w:pPr>
        <w:pStyle w:val="ListParagraph"/>
        <w:numPr>
          <w:ilvl w:val="0"/>
          <w:numId w:val="1"/>
        </w:numPr>
        <w:tabs>
          <w:tab w:val="left" w:pos="5175"/>
        </w:tabs>
        <w:spacing w:after="0" w:line="360" w:lineRule="auto"/>
        <w:ind w:right="288"/>
        <w:jc w:val="both"/>
        <w:outlineLvl w:val="0"/>
        <w:rPr>
          <w:rFonts w:ascii="Times New Roman" w:hAnsi="Times New Roman" w:cs="Times New Roman"/>
          <w:color w:val="000000" w:themeColor="text1"/>
          <w:sz w:val="18"/>
          <w:szCs w:val="18"/>
          <w:shd w:val="clear" w:color="auto" w:fill="FFFFFF"/>
        </w:rPr>
      </w:pPr>
      <w:proofErr w:type="spellStart"/>
      <w:r w:rsidRPr="00830AE7">
        <w:rPr>
          <w:rFonts w:ascii="Times New Roman" w:hAnsi="Times New Roman" w:cs="Times New Roman"/>
          <w:color w:val="333333"/>
          <w:sz w:val="18"/>
          <w:szCs w:val="18"/>
          <w:shd w:val="clear" w:color="auto" w:fill="FFFFFF"/>
        </w:rPr>
        <w:t>Nayak</w:t>
      </w:r>
      <w:proofErr w:type="spellEnd"/>
      <w:r w:rsidRPr="00830AE7">
        <w:rPr>
          <w:rFonts w:ascii="Times New Roman" w:hAnsi="Times New Roman" w:cs="Times New Roman"/>
          <w:color w:val="333333"/>
          <w:sz w:val="18"/>
          <w:szCs w:val="18"/>
          <w:shd w:val="clear" w:color="auto" w:fill="FFFFFF"/>
        </w:rPr>
        <w:t xml:space="preserve"> P, Panda S, </w:t>
      </w:r>
      <w:proofErr w:type="spellStart"/>
      <w:r w:rsidRPr="00830AE7">
        <w:rPr>
          <w:rFonts w:ascii="Times New Roman" w:hAnsi="Times New Roman" w:cs="Times New Roman"/>
          <w:color w:val="333333"/>
          <w:sz w:val="18"/>
          <w:szCs w:val="18"/>
          <w:shd w:val="clear" w:color="auto" w:fill="FFFFFF"/>
        </w:rPr>
        <w:t>Thatoi</w:t>
      </w:r>
      <w:proofErr w:type="spellEnd"/>
      <w:r w:rsidRPr="00830AE7">
        <w:rPr>
          <w:rFonts w:ascii="Times New Roman" w:hAnsi="Times New Roman" w:cs="Times New Roman"/>
          <w:color w:val="333333"/>
          <w:sz w:val="18"/>
          <w:szCs w:val="18"/>
          <w:shd w:val="clear" w:color="auto" w:fill="FFFFFF"/>
        </w:rPr>
        <w:t xml:space="preserve"> PK, Rattan R, </w:t>
      </w:r>
      <w:proofErr w:type="spellStart"/>
      <w:r w:rsidRPr="00830AE7">
        <w:rPr>
          <w:rFonts w:ascii="Times New Roman" w:hAnsi="Times New Roman" w:cs="Times New Roman"/>
          <w:color w:val="333333"/>
          <w:sz w:val="18"/>
          <w:szCs w:val="18"/>
          <w:shd w:val="clear" w:color="auto" w:fill="FFFFFF"/>
        </w:rPr>
        <w:t>Mohapatra</w:t>
      </w:r>
      <w:proofErr w:type="spellEnd"/>
      <w:r w:rsidRPr="00830AE7">
        <w:rPr>
          <w:rFonts w:ascii="Times New Roman" w:hAnsi="Times New Roman" w:cs="Times New Roman"/>
          <w:color w:val="333333"/>
          <w:sz w:val="18"/>
          <w:szCs w:val="18"/>
          <w:shd w:val="clear" w:color="auto" w:fill="FFFFFF"/>
        </w:rPr>
        <w:t xml:space="preserve"> S, Mishra PK. Evaluation of Lipid Profile and </w:t>
      </w:r>
      <w:proofErr w:type="spellStart"/>
      <w:r w:rsidRPr="00830AE7">
        <w:rPr>
          <w:rFonts w:ascii="Times New Roman" w:hAnsi="Times New Roman" w:cs="Times New Roman"/>
          <w:color w:val="333333"/>
          <w:sz w:val="18"/>
          <w:szCs w:val="18"/>
          <w:shd w:val="clear" w:color="auto" w:fill="FFFFFF"/>
        </w:rPr>
        <w:t>Apolipoproteins</w:t>
      </w:r>
      <w:proofErr w:type="spellEnd"/>
      <w:r w:rsidRPr="00830AE7">
        <w:rPr>
          <w:rFonts w:ascii="Times New Roman" w:hAnsi="Times New Roman" w:cs="Times New Roman"/>
          <w:color w:val="333333"/>
          <w:sz w:val="18"/>
          <w:szCs w:val="18"/>
          <w:shd w:val="clear" w:color="auto" w:fill="FFFFFF"/>
        </w:rPr>
        <w:t xml:space="preserve"> in Essential Hypertensive Patients. J </w:t>
      </w:r>
      <w:proofErr w:type="spellStart"/>
      <w:r w:rsidRPr="00830AE7">
        <w:rPr>
          <w:rFonts w:ascii="Times New Roman" w:hAnsi="Times New Roman" w:cs="Times New Roman"/>
          <w:color w:val="333333"/>
          <w:sz w:val="18"/>
          <w:szCs w:val="18"/>
          <w:shd w:val="clear" w:color="auto" w:fill="FFFFFF"/>
        </w:rPr>
        <w:t>Clin</w:t>
      </w:r>
      <w:proofErr w:type="spellEnd"/>
      <w:r w:rsidRPr="00830AE7">
        <w:rPr>
          <w:rFonts w:ascii="Times New Roman" w:hAnsi="Times New Roman" w:cs="Times New Roman"/>
          <w:color w:val="333333"/>
          <w:sz w:val="18"/>
          <w:szCs w:val="18"/>
          <w:shd w:val="clear" w:color="auto" w:fill="FFFFFF"/>
        </w:rPr>
        <w:t xml:space="preserve"> </w:t>
      </w:r>
      <w:proofErr w:type="spellStart"/>
      <w:r w:rsidRPr="00830AE7">
        <w:rPr>
          <w:rFonts w:ascii="Times New Roman" w:hAnsi="Times New Roman" w:cs="Times New Roman"/>
          <w:color w:val="333333"/>
          <w:sz w:val="18"/>
          <w:szCs w:val="18"/>
          <w:shd w:val="clear" w:color="auto" w:fill="FFFFFF"/>
        </w:rPr>
        <w:t>Diagn</w:t>
      </w:r>
      <w:proofErr w:type="spellEnd"/>
      <w:r w:rsidRPr="00830AE7">
        <w:rPr>
          <w:rFonts w:ascii="Times New Roman" w:hAnsi="Times New Roman" w:cs="Times New Roman"/>
          <w:color w:val="333333"/>
          <w:sz w:val="18"/>
          <w:szCs w:val="18"/>
          <w:shd w:val="clear" w:color="auto" w:fill="FFFFFF"/>
        </w:rPr>
        <w:t xml:space="preserve"> Res. 2016; 10:BC01-04. </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proofErr w:type="spellStart"/>
      <w:r w:rsidRPr="00830AE7">
        <w:rPr>
          <w:rFonts w:ascii="Times New Roman" w:hAnsi="Times New Roman" w:cs="Times New Roman"/>
          <w:color w:val="333333"/>
          <w:sz w:val="18"/>
          <w:szCs w:val="18"/>
          <w:shd w:val="clear" w:color="auto" w:fill="FFFFFF"/>
        </w:rPr>
        <w:t>Albucher</w:t>
      </w:r>
      <w:proofErr w:type="spellEnd"/>
      <w:r w:rsidRPr="00830AE7">
        <w:rPr>
          <w:rFonts w:ascii="Times New Roman" w:hAnsi="Times New Roman" w:cs="Times New Roman"/>
          <w:color w:val="333333"/>
          <w:sz w:val="18"/>
          <w:szCs w:val="18"/>
          <w:shd w:val="clear" w:color="auto" w:fill="FFFFFF"/>
        </w:rPr>
        <w:t xml:space="preserve"> JF, </w:t>
      </w:r>
      <w:proofErr w:type="spellStart"/>
      <w:r w:rsidRPr="00830AE7">
        <w:rPr>
          <w:rFonts w:ascii="Times New Roman" w:hAnsi="Times New Roman" w:cs="Times New Roman"/>
          <w:color w:val="333333"/>
          <w:sz w:val="18"/>
          <w:szCs w:val="18"/>
          <w:shd w:val="clear" w:color="auto" w:fill="FFFFFF"/>
        </w:rPr>
        <w:t>Ferrieres</w:t>
      </w:r>
      <w:proofErr w:type="spellEnd"/>
      <w:r w:rsidRPr="00830AE7">
        <w:rPr>
          <w:rFonts w:ascii="Times New Roman" w:hAnsi="Times New Roman" w:cs="Times New Roman"/>
          <w:color w:val="333333"/>
          <w:sz w:val="18"/>
          <w:szCs w:val="18"/>
          <w:shd w:val="clear" w:color="auto" w:fill="FFFFFF"/>
        </w:rPr>
        <w:t xml:space="preserve"> J, </w:t>
      </w:r>
      <w:proofErr w:type="spellStart"/>
      <w:r w:rsidRPr="00830AE7">
        <w:rPr>
          <w:rFonts w:ascii="Times New Roman" w:hAnsi="Times New Roman" w:cs="Times New Roman"/>
          <w:color w:val="333333"/>
          <w:sz w:val="18"/>
          <w:szCs w:val="18"/>
          <w:shd w:val="clear" w:color="auto" w:fill="FFFFFF"/>
        </w:rPr>
        <w:t>Ruidavets</w:t>
      </w:r>
      <w:proofErr w:type="spellEnd"/>
      <w:r w:rsidRPr="00830AE7">
        <w:rPr>
          <w:rFonts w:ascii="Times New Roman" w:hAnsi="Times New Roman" w:cs="Times New Roman"/>
          <w:color w:val="333333"/>
          <w:sz w:val="18"/>
          <w:szCs w:val="18"/>
          <w:shd w:val="clear" w:color="auto" w:fill="FFFFFF"/>
        </w:rPr>
        <w:t xml:space="preserve"> JB, </w:t>
      </w:r>
      <w:proofErr w:type="spellStart"/>
      <w:r w:rsidRPr="00830AE7">
        <w:rPr>
          <w:rFonts w:ascii="Times New Roman" w:hAnsi="Times New Roman" w:cs="Times New Roman"/>
          <w:color w:val="333333"/>
          <w:sz w:val="18"/>
          <w:szCs w:val="18"/>
          <w:shd w:val="clear" w:color="auto" w:fill="FFFFFF"/>
        </w:rPr>
        <w:t>Guiraud-Chaumeil</w:t>
      </w:r>
      <w:proofErr w:type="spellEnd"/>
      <w:r w:rsidRPr="00830AE7">
        <w:rPr>
          <w:rFonts w:ascii="Times New Roman" w:hAnsi="Times New Roman" w:cs="Times New Roman"/>
          <w:color w:val="333333"/>
          <w:sz w:val="18"/>
          <w:szCs w:val="18"/>
          <w:shd w:val="clear" w:color="auto" w:fill="FFFFFF"/>
        </w:rPr>
        <w:t xml:space="preserve"> B, </w:t>
      </w:r>
      <w:proofErr w:type="spellStart"/>
      <w:r w:rsidRPr="00830AE7">
        <w:rPr>
          <w:rFonts w:ascii="Times New Roman" w:hAnsi="Times New Roman" w:cs="Times New Roman"/>
          <w:color w:val="333333"/>
          <w:sz w:val="18"/>
          <w:szCs w:val="18"/>
          <w:shd w:val="clear" w:color="auto" w:fill="FFFFFF"/>
        </w:rPr>
        <w:t>Perret</w:t>
      </w:r>
      <w:proofErr w:type="spellEnd"/>
      <w:r w:rsidRPr="00830AE7">
        <w:rPr>
          <w:rFonts w:ascii="Times New Roman" w:hAnsi="Times New Roman" w:cs="Times New Roman"/>
          <w:color w:val="333333"/>
          <w:sz w:val="18"/>
          <w:szCs w:val="18"/>
          <w:shd w:val="clear" w:color="auto" w:fill="FFFFFF"/>
        </w:rPr>
        <w:t xml:space="preserve"> BP, </w:t>
      </w:r>
      <w:proofErr w:type="spellStart"/>
      <w:r w:rsidRPr="00830AE7">
        <w:rPr>
          <w:rFonts w:ascii="Times New Roman" w:hAnsi="Times New Roman" w:cs="Times New Roman"/>
          <w:color w:val="333333"/>
          <w:sz w:val="18"/>
          <w:szCs w:val="18"/>
          <w:shd w:val="clear" w:color="auto" w:fill="FFFFFF"/>
        </w:rPr>
        <w:t>Chollet</w:t>
      </w:r>
      <w:proofErr w:type="spellEnd"/>
      <w:r w:rsidRPr="00830AE7">
        <w:rPr>
          <w:rFonts w:ascii="Times New Roman" w:hAnsi="Times New Roman" w:cs="Times New Roman"/>
          <w:color w:val="333333"/>
          <w:sz w:val="18"/>
          <w:szCs w:val="18"/>
          <w:shd w:val="clear" w:color="auto" w:fill="FFFFFF"/>
        </w:rPr>
        <w:t xml:space="preserve"> F. Serum lipids in young patients with ischaemic stroke: a case-control study. J </w:t>
      </w:r>
      <w:proofErr w:type="spellStart"/>
      <w:r w:rsidRPr="00830AE7">
        <w:rPr>
          <w:rFonts w:ascii="Times New Roman" w:hAnsi="Times New Roman" w:cs="Times New Roman"/>
          <w:color w:val="333333"/>
          <w:sz w:val="18"/>
          <w:szCs w:val="18"/>
          <w:shd w:val="clear" w:color="auto" w:fill="FFFFFF"/>
        </w:rPr>
        <w:t>Neurol</w:t>
      </w:r>
      <w:proofErr w:type="spellEnd"/>
      <w:r w:rsidRPr="00830AE7">
        <w:rPr>
          <w:rFonts w:ascii="Times New Roman" w:hAnsi="Times New Roman" w:cs="Times New Roman"/>
          <w:color w:val="333333"/>
          <w:sz w:val="18"/>
          <w:szCs w:val="18"/>
          <w:shd w:val="clear" w:color="auto" w:fill="FFFFFF"/>
        </w:rPr>
        <w:t xml:space="preserve"> </w:t>
      </w:r>
      <w:proofErr w:type="spellStart"/>
      <w:r w:rsidRPr="00830AE7">
        <w:rPr>
          <w:rFonts w:ascii="Times New Roman" w:hAnsi="Times New Roman" w:cs="Times New Roman"/>
          <w:color w:val="333333"/>
          <w:sz w:val="18"/>
          <w:szCs w:val="18"/>
          <w:shd w:val="clear" w:color="auto" w:fill="FFFFFF"/>
        </w:rPr>
        <w:t>Neurosurg</w:t>
      </w:r>
      <w:proofErr w:type="spellEnd"/>
      <w:r w:rsidRPr="00830AE7">
        <w:rPr>
          <w:rFonts w:ascii="Times New Roman" w:hAnsi="Times New Roman" w:cs="Times New Roman"/>
          <w:color w:val="333333"/>
          <w:sz w:val="18"/>
          <w:szCs w:val="18"/>
          <w:shd w:val="clear" w:color="auto" w:fill="FFFFFF"/>
        </w:rPr>
        <w:t xml:space="preserve"> Psychiatry. 2000; 69:29-33.</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proofErr w:type="spellStart"/>
      <w:r w:rsidRPr="00830AE7">
        <w:rPr>
          <w:rFonts w:ascii="Times New Roman" w:hAnsi="Times New Roman" w:cs="Times New Roman"/>
          <w:color w:val="212121"/>
          <w:sz w:val="18"/>
          <w:szCs w:val="18"/>
          <w:shd w:val="clear" w:color="auto" w:fill="FFFFFF"/>
        </w:rPr>
        <w:lastRenderedPageBreak/>
        <w:t>Matheus</w:t>
      </w:r>
      <w:proofErr w:type="spellEnd"/>
      <w:r w:rsidRPr="00830AE7">
        <w:rPr>
          <w:rFonts w:ascii="Times New Roman" w:hAnsi="Times New Roman" w:cs="Times New Roman"/>
          <w:color w:val="212121"/>
          <w:sz w:val="18"/>
          <w:szCs w:val="18"/>
          <w:shd w:val="clear" w:color="auto" w:fill="FFFFFF"/>
        </w:rPr>
        <w:t xml:space="preserve"> A, </w:t>
      </w:r>
      <w:proofErr w:type="spellStart"/>
      <w:r w:rsidRPr="00830AE7">
        <w:rPr>
          <w:rFonts w:ascii="Times New Roman" w:hAnsi="Times New Roman" w:cs="Times New Roman"/>
          <w:color w:val="212121"/>
          <w:sz w:val="18"/>
          <w:szCs w:val="18"/>
          <w:shd w:val="clear" w:color="auto" w:fill="FFFFFF"/>
        </w:rPr>
        <w:t>Tannus</w:t>
      </w:r>
      <w:proofErr w:type="spellEnd"/>
      <w:r w:rsidRPr="00830AE7">
        <w:rPr>
          <w:rFonts w:ascii="Times New Roman" w:hAnsi="Times New Roman" w:cs="Times New Roman"/>
          <w:color w:val="212121"/>
          <w:sz w:val="18"/>
          <w:szCs w:val="18"/>
          <w:shd w:val="clear" w:color="auto" w:fill="FFFFFF"/>
        </w:rPr>
        <w:t xml:space="preserve"> L, </w:t>
      </w:r>
      <w:proofErr w:type="spellStart"/>
      <w:r w:rsidRPr="00830AE7">
        <w:rPr>
          <w:rFonts w:ascii="Times New Roman" w:hAnsi="Times New Roman" w:cs="Times New Roman"/>
          <w:color w:val="212121"/>
          <w:sz w:val="18"/>
          <w:szCs w:val="18"/>
          <w:shd w:val="clear" w:color="auto" w:fill="FFFFFF"/>
        </w:rPr>
        <w:t>Cobas</w:t>
      </w:r>
      <w:proofErr w:type="spellEnd"/>
      <w:r w:rsidRPr="00830AE7">
        <w:rPr>
          <w:rFonts w:ascii="Times New Roman" w:hAnsi="Times New Roman" w:cs="Times New Roman"/>
          <w:color w:val="212121"/>
          <w:sz w:val="18"/>
          <w:szCs w:val="18"/>
          <w:shd w:val="clear" w:color="auto" w:fill="FFFFFF"/>
        </w:rPr>
        <w:t xml:space="preserve"> R, Palma C, </w:t>
      </w:r>
      <w:proofErr w:type="spellStart"/>
      <w:r w:rsidRPr="00830AE7">
        <w:rPr>
          <w:rFonts w:ascii="Times New Roman" w:hAnsi="Times New Roman" w:cs="Times New Roman"/>
          <w:color w:val="212121"/>
          <w:sz w:val="18"/>
          <w:szCs w:val="18"/>
          <w:shd w:val="clear" w:color="auto" w:fill="FFFFFF"/>
        </w:rPr>
        <w:t>Negrato</w:t>
      </w:r>
      <w:proofErr w:type="spellEnd"/>
      <w:r w:rsidRPr="00830AE7">
        <w:rPr>
          <w:rFonts w:ascii="Times New Roman" w:hAnsi="Times New Roman" w:cs="Times New Roman"/>
          <w:color w:val="212121"/>
          <w:sz w:val="18"/>
          <w:szCs w:val="18"/>
          <w:shd w:val="clear" w:color="auto" w:fill="FFFFFF"/>
        </w:rPr>
        <w:t xml:space="preserve"> C </w:t>
      </w:r>
      <w:r w:rsidRPr="00830AE7">
        <w:rPr>
          <w:rFonts w:ascii="Times New Roman" w:hAnsi="Times New Roman" w:cs="Times New Roman"/>
          <w:i/>
          <w:color w:val="212121"/>
          <w:sz w:val="18"/>
          <w:szCs w:val="18"/>
          <w:shd w:val="clear" w:color="auto" w:fill="FFFFFF"/>
        </w:rPr>
        <w:t>et al</w:t>
      </w:r>
      <w:r w:rsidRPr="00830AE7">
        <w:rPr>
          <w:rFonts w:ascii="Times New Roman" w:hAnsi="Times New Roman" w:cs="Times New Roman"/>
          <w:color w:val="212121"/>
          <w:sz w:val="18"/>
          <w:szCs w:val="18"/>
          <w:shd w:val="clear" w:color="auto" w:fill="FFFFFF"/>
        </w:rPr>
        <w:t xml:space="preserve"> Impact of diabetes on cardiovascular disease: an update. </w:t>
      </w:r>
      <w:proofErr w:type="spellStart"/>
      <w:r w:rsidRPr="00830AE7">
        <w:rPr>
          <w:rStyle w:val="ref-journal"/>
          <w:rFonts w:ascii="Times New Roman" w:hAnsi="Times New Roman" w:cs="Times New Roman"/>
          <w:color w:val="212121"/>
          <w:sz w:val="18"/>
          <w:szCs w:val="18"/>
          <w:shd w:val="clear" w:color="auto" w:fill="FFFFFF"/>
        </w:rPr>
        <w:t>Int</w:t>
      </w:r>
      <w:proofErr w:type="spellEnd"/>
      <w:r w:rsidRPr="00830AE7">
        <w:rPr>
          <w:rStyle w:val="ref-journal"/>
          <w:rFonts w:ascii="Times New Roman" w:hAnsi="Times New Roman" w:cs="Times New Roman"/>
          <w:color w:val="212121"/>
          <w:sz w:val="18"/>
          <w:szCs w:val="18"/>
          <w:shd w:val="clear" w:color="auto" w:fill="FFFFFF"/>
        </w:rPr>
        <w:t xml:space="preserve"> J </w:t>
      </w:r>
      <w:proofErr w:type="spellStart"/>
      <w:r w:rsidRPr="00830AE7">
        <w:rPr>
          <w:rStyle w:val="ref-journal"/>
          <w:rFonts w:ascii="Times New Roman" w:hAnsi="Times New Roman" w:cs="Times New Roman"/>
          <w:color w:val="212121"/>
          <w:sz w:val="18"/>
          <w:szCs w:val="18"/>
          <w:shd w:val="clear" w:color="auto" w:fill="FFFFFF"/>
        </w:rPr>
        <w:t>Hypertens</w:t>
      </w:r>
      <w:proofErr w:type="spellEnd"/>
      <w:r w:rsidRPr="00830AE7">
        <w:rPr>
          <w:rStyle w:val="ref-journal"/>
          <w:rFonts w:ascii="Times New Roman" w:hAnsi="Times New Roman" w:cs="Times New Roman"/>
          <w:color w:val="212121"/>
          <w:sz w:val="18"/>
          <w:szCs w:val="18"/>
          <w:shd w:val="clear" w:color="auto" w:fill="FFFFFF"/>
        </w:rPr>
        <w:t xml:space="preserve"> 2013; </w:t>
      </w:r>
      <w:r w:rsidRPr="00830AE7">
        <w:rPr>
          <w:rStyle w:val="ref-vol"/>
          <w:rFonts w:ascii="Times New Roman" w:hAnsi="Times New Roman" w:cs="Times New Roman"/>
          <w:color w:val="212121"/>
          <w:sz w:val="18"/>
          <w:szCs w:val="18"/>
          <w:shd w:val="clear" w:color="auto" w:fill="FFFFFF"/>
        </w:rPr>
        <w:t>2013</w:t>
      </w:r>
      <w:r w:rsidRPr="00830AE7">
        <w:rPr>
          <w:rFonts w:ascii="Times New Roman" w:hAnsi="Times New Roman" w:cs="Times New Roman"/>
          <w:color w:val="212121"/>
          <w:sz w:val="18"/>
          <w:szCs w:val="18"/>
          <w:shd w:val="clear" w:color="auto" w:fill="FFFFFF"/>
        </w:rPr>
        <w:t>:653789.</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color w:val="212121"/>
          <w:sz w:val="18"/>
          <w:szCs w:val="18"/>
          <w:shd w:val="clear" w:color="auto" w:fill="FFFFFF"/>
        </w:rPr>
        <w:t xml:space="preserve">Robinson DJ, Christenson RH. </w:t>
      </w:r>
      <w:proofErr w:type="spellStart"/>
      <w:r w:rsidRPr="00830AE7">
        <w:rPr>
          <w:rFonts w:ascii="Times New Roman" w:hAnsi="Times New Roman" w:cs="Times New Roman"/>
          <w:color w:val="212121"/>
          <w:sz w:val="18"/>
          <w:szCs w:val="18"/>
          <w:shd w:val="clear" w:color="auto" w:fill="FFFFFF"/>
        </w:rPr>
        <w:t>Creatine</w:t>
      </w:r>
      <w:proofErr w:type="spellEnd"/>
      <w:r w:rsidRPr="00830AE7">
        <w:rPr>
          <w:rFonts w:ascii="Times New Roman" w:hAnsi="Times New Roman" w:cs="Times New Roman"/>
          <w:color w:val="212121"/>
          <w:sz w:val="18"/>
          <w:szCs w:val="18"/>
          <w:shd w:val="clear" w:color="auto" w:fill="FFFFFF"/>
        </w:rPr>
        <w:t xml:space="preserve"> kinase and its CK-MB </w:t>
      </w:r>
      <w:proofErr w:type="spellStart"/>
      <w:r w:rsidRPr="00830AE7">
        <w:rPr>
          <w:rFonts w:ascii="Times New Roman" w:hAnsi="Times New Roman" w:cs="Times New Roman"/>
          <w:color w:val="212121"/>
          <w:sz w:val="18"/>
          <w:szCs w:val="18"/>
          <w:shd w:val="clear" w:color="auto" w:fill="FFFFFF"/>
        </w:rPr>
        <w:t>isoenzyme</w:t>
      </w:r>
      <w:proofErr w:type="spellEnd"/>
      <w:r w:rsidRPr="00830AE7">
        <w:rPr>
          <w:rFonts w:ascii="Times New Roman" w:hAnsi="Times New Roman" w:cs="Times New Roman"/>
          <w:color w:val="212121"/>
          <w:sz w:val="18"/>
          <w:szCs w:val="18"/>
          <w:shd w:val="clear" w:color="auto" w:fill="FFFFFF"/>
        </w:rPr>
        <w:t xml:space="preserve">: the conventional marker for the diagnosis of acute myocardial infarction. J </w:t>
      </w:r>
      <w:proofErr w:type="spellStart"/>
      <w:r w:rsidRPr="00830AE7">
        <w:rPr>
          <w:rFonts w:ascii="Times New Roman" w:hAnsi="Times New Roman" w:cs="Times New Roman"/>
          <w:color w:val="212121"/>
          <w:sz w:val="18"/>
          <w:szCs w:val="18"/>
          <w:shd w:val="clear" w:color="auto" w:fill="FFFFFF"/>
        </w:rPr>
        <w:t>Emerg</w:t>
      </w:r>
      <w:proofErr w:type="spellEnd"/>
      <w:r w:rsidRPr="00830AE7">
        <w:rPr>
          <w:rFonts w:ascii="Times New Roman" w:hAnsi="Times New Roman" w:cs="Times New Roman"/>
          <w:color w:val="212121"/>
          <w:sz w:val="18"/>
          <w:szCs w:val="18"/>
          <w:shd w:val="clear" w:color="auto" w:fill="FFFFFF"/>
        </w:rPr>
        <w:t xml:space="preserve"> Med. 1999; 17:95-104. </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sz w:val="18"/>
          <w:szCs w:val="18"/>
          <w:shd w:val="clear" w:color="auto" w:fill="FFFFFF"/>
        </w:rPr>
        <w:t xml:space="preserve">McLeish MJ, Kenyon GL. Relating structure to mechanism in </w:t>
      </w:r>
      <w:proofErr w:type="spellStart"/>
      <w:r w:rsidRPr="00830AE7">
        <w:rPr>
          <w:rFonts w:ascii="Times New Roman" w:hAnsi="Times New Roman" w:cs="Times New Roman"/>
          <w:sz w:val="18"/>
          <w:szCs w:val="18"/>
          <w:shd w:val="clear" w:color="auto" w:fill="FFFFFF"/>
        </w:rPr>
        <w:t>creatine</w:t>
      </w:r>
      <w:proofErr w:type="spellEnd"/>
      <w:r w:rsidRPr="00830AE7">
        <w:rPr>
          <w:rFonts w:ascii="Times New Roman" w:hAnsi="Times New Roman" w:cs="Times New Roman"/>
          <w:sz w:val="18"/>
          <w:szCs w:val="18"/>
          <w:shd w:val="clear" w:color="auto" w:fill="FFFFFF"/>
        </w:rPr>
        <w:t xml:space="preserve"> kinase. </w:t>
      </w:r>
      <w:proofErr w:type="spellStart"/>
      <w:r w:rsidRPr="00830AE7">
        <w:rPr>
          <w:rStyle w:val="Emphasis"/>
          <w:rFonts w:ascii="Times New Roman" w:hAnsi="Times New Roman" w:cs="Times New Roman"/>
          <w:sz w:val="18"/>
          <w:szCs w:val="18"/>
          <w:bdr w:val="none" w:sz="0" w:space="0" w:color="auto" w:frame="1"/>
          <w:shd w:val="clear" w:color="auto" w:fill="FFFFFF"/>
        </w:rPr>
        <w:t>Crit</w:t>
      </w:r>
      <w:proofErr w:type="spellEnd"/>
      <w:r w:rsidRPr="00830AE7">
        <w:rPr>
          <w:rStyle w:val="Emphasis"/>
          <w:rFonts w:ascii="Times New Roman" w:hAnsi="Times New Roman" w:cs="Times New Roman"/>
          <w:sz w:val="18"/>
          <w:szCs w:val="18"/>
          <w:bdr w:val="none" w:sz="0" w:space="0" w:color="auto" w:frame="1"/>
          <w:shd w:val="clear" w:color="auto" w:fill="FFFFFF"/>
        </w:rPr>
        <w:t xml:space="preserve"> </w:t>
      </w:r>
      <w:r w:rsidRPr="00830AE7">
        <w:rPr>
          <w:rStyle w:val="Emphasis"/>
          <w:rFonts w:ascii="Times New Roman" w:hAnsi="Times New Roman" w:cs="Times New Roman"/>
          <w:i w:val="0"/>
          <w:sz w:val="18"/>
          <w:szCs w:val="18"/>
          <w:bdr w:val="none" w:sz="0" w:space="0" w:color="auto" w:frame="1"/>
          <w:shd w:val="clear" w:color="auto" w:fill="FFFFFF"/>
        </w:rPr>
        <w:t xml:space="preserve">Rev </w:t>
      </w:r>
      <w:proofErr w:type="spellStart"/>
      <w:r w:rsidRPr="00830AE7">
        <w:rPr>
          <w:rStyle w:val="Emphasis"/>
          <w:rFonts w:ascii="Times New Roman" w:hAnsi="Times New Roman" w:cs="Times New Roman"/>
          <w:i w:val="0"/>
          <w:sz w:val="18"/>
          <w:szCs w:val="18"/>
          <w:bdr w:val="none" w:sz="0" w:space="0" w:color="auto" w:frame="1"/>
          <w:shd w:val="clear" w:color="auto" w:fill="FFFFFF"/>
        </w:rPr>
        <w:t>Biochem</w:t>
      </w:r>
      <w:proofErr w:type="spellEnd"/>
      <w:r w:rsidRPr="00830AE7">
        <w:rPr>
          <w:rStyle w:val="Emphasis"/>
          <w:rFonts w:ascii="Times New Roman" w:hAnsi="Times New Roman" w:cs="Times New Roman"/>
          <w:i w:val="0"/>
          <w:sz w:val="18"/>
          <w:szCs w:val="18"/>
          <w:bdr w:val="none" w:sz="0" w:space="0" w:color="auto" w:frame="1"/>
          <w:shd w:val="clear" w:color="auto" w:fill="FFFFFF"/>
        </w:rPr>
        <w:t xml:space="preserve"> </w:t>
      </w:r>
      <w:proofErr w:type="spellStart"/>
      <w:r w:rsidRPr="00830AE7">
        <w:rPr>
          <w:rStyle w:val="Emphasis"/>
          <w:rFonts w:ascii="Times New Roman" w:hAnsi="Times New Roman" w:cs="Times New Roman"/>
          <w:i w:val="0"/>
          <w:sz w:val="18"/>
          <w:szCs w:val="18"/>
          <w:bdr w:val="none" w:sz="0" w:space="0" w:color="auto" w:frame="1"/>
          <w:shd w:val="clear" w:color="auto" w:fill="FFFFFF"/>
        </w:rPr>
        <w:t>Mol</w:t>
      </w:r>
      <w:proofErr w:type="spellEnd"/>
      <w:r w:rsidRPr="00830AE7">
        <w:rPr>
          <w:rStyle w:val="Emphasis"/>
          <w:rFonts w:ascii="Times New Roman" w:hAnsi="Times New Roman" w:cs="Times New Roman"/>
          <w:i w:val="0"/>
          <w:sz w:val="18"/>
          <w:szCs w:val="18"/>
          <w:bdr w:val="none" w:sz="0" w:space="0" w:color="auto" w:frame="1"/>
          <w:shd w:val="clear" w:color="auto" w:fill="FFFFFF"/>
        </w:rPr>
        <w:t xml:space="preserve"> Biol</w:t>
      </w:r>
      <w:r w:rsidRPr="00830AE7">
        <w:rPr>
          <w:rFonts w:ascii="Times New Roman" w:hAnsi="Times New Roman" w:cs="Times New Roman"/>
          <w:sz w:val="18"/>
          <w:szCs w:val="18"/>
          <w:shd w:val="clear" w:color="auto" w:fill="FFFFFF"/>
        </w:rPr>
        <w:t>. 2005; 40(1):1-20.</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sz w:val="18"/>
          <w:szCs w:val="18"/>
          <w:shd w:val="clear" w:color="auto" w:fill="FFFFFF"/>
        </w:rPr>
        <w:t xml:space="preserve">Knudsen J, </w:t>
      </w:r>
      <w:proofErr w:type="spellStart"/>
      <w:r w:rsidRPr="00830AE7">
        <w:rPr>
          <w:rFonts w:ascii="Times New Roman" w:hAnsi="Times New Roman" w:cs="Times New Roman"/>
          <w:sz w:val="18"/>
          <w:szCs w:val="18"/>
          <w:shd w:val="clear" w:color="auto" w:fill="FFFFFF"/>
        </w:rPr>
        <w:t>Steenstrup</w:t>
      </w:r>
      <w:proofErr w:type="spellEnd"/>
      <w:r w:rsidRPr="00830AE7">
        <w:rPr>
          <w:rFonts w:ascii="Times New Roman" w:hAnsi="Times New Roman" w:cs="Times New Roman"/>
          <w:sz w:val="18"/>
          <w:szCs w:val="18"/>
          <w:shd w:val="clear" w:color="auto" w:fill="FFFFFF"/>
        </w:rPr>
        <w:t xml:space="preserve"> B, </w:t>
      </w:r>
      <w:proofErr w:type="spellStart"/>
      <w:r w:rsidRPr="00830AE7">
        <w:rPr>
          <w:rFonts w:ascii="Times New Roman" w:hAnsi="Times New Roman" w:cs="Times New Roman"/>
          <w:sz w:val="18"/>
          <w:szCs w:val="18"/>
          <w:shd w:val="clear" w:color="auto" w:fill="FFFFFF"/>
        </w:rPr>
        <w:t>Byrjalsen</w:t>
      </w:r>
      <w:proofErr w:type="spellEnd"/>
      <w:r w:rsidRPr="00830AE7">
        <w:rPr>
          <w:rFonts w:ascii="Times New Roman" w:hAnsi="Times New Roman" w:cs="Times New Roman"/>
          <w:sz w:val="18"/>
          <w:szCs w:val="18"/>
          <w:shd w:val="clear" w:color="auto" w:fill="FFFFFF"/>
        </w:rPr>
        <w:t xml:space="preserve"> I, Hildebrandt P, </w:t>
      </w:r>
      <w:proofErr w:type="spellStart"/>
      <w:r w:rsidRPr="00830AE7">
        <w:rPr>
          <w:rFonts w:ascii="Times New Roman" w:hAnsi="Times New Roman" w:cs="Times New Roman"/>
          <w:sz w:val="18"/>
          <w:szCs w:val="18"/>
          <w:shd w:val="clear" w:color="auto" w:fill="FFFFFF"/>
        </w:rPr>
        <w:t>Sørensen</w:t>
      </w:r>
      <w:proofErr w:type="spellEnd"/>
      <w:r w:rsidRPr="00830AE7">
        <w:rPr>
          <w:rFonts w:ascii="Times New Roman" w:hAnsi="Times New Roman" w:cs="Times New Roman"/>
          <w:sz w:val="18"/>
          <w:szCs w:val="18"/>
          <w:shd w:val="clear" w:color="auto" w:fill="FFFFFF"/>
        </w:rPr>
        <w:t xml:space="preserve"> S. At what level of serum total </w:t>
      </w:r>
      <w:proofErr w:type="spellStart"/>
      <w:r w:rsidRPr="00830AE7">
        <w:rPr>
          <w:rFonts w:ascii="Times New Roman" w:hAnsi="Times New Roman" w:cs="Times New Roman"/>
          <w:sz w:val="18"/>
          <w:szCs w:val="18"/>
          <w:shd w:val="clear" w:color="auto" w:fill="FFFFFF"/>
        </w:rPr>
        <w:t>creatine</w:t>
      </w:r>
      <w:proofErr w:type="spellEnd"/>
      <w:r w:rsidRPr="00830AE7">
        <w:rPr>
          <w:rFonts w:ascii="Times New Roman" w:hAnsi="Times New Roman" w:cs="Times New Roman"/>
          <w:sz w:val="18"/>
          <w:szCs w:val="18"/>
          <w:shd w:val="clear" w:color="auto" w:fill="FFFFFF"/>
        </w:rPr>
        <w:t xml:space="preserve"> kinase activity can measurement of serum </w:t>
      </w:r>
      <w:proofErr w:type="spellStart"/>
      <w:r w:rsidRPr="00830AE7">
        <w:rPr>
          <w:rFonts w:ascii="Times New Roman" w:hAnsi="Times New Roman" w:cs="Times New Roman"/>
          <w:sz w:val="18"/>
          <w:szCs w:val="18"/>
          <w:shd w:val="clear" w:color="auto" w:fill="FFFFFF"/>
        </w:rPr>
        <w:t>creatine</w:t>
      </w:r>
      <w:proofErr w:type="spellEnd"/>
      <w:r w:rsidRPr="00830AE7">
        <w:rPr>
          <w:rFonts w:ascii="Times New Roman" w:hAnsi="Times New Roman" w:cs="Times New Roman"/>
          <w:sz w:val="18"/>
          <w:szCs w:val="18"/>
          <w:shd w:val="clear" w:color="auto" w:fill="FFFFFF"/>
        </w:rPr>
        <w:t xml:space="preserve"> kinase MB </w:t>
      </w:r>
      <w:proofErr w:type="spellStart"/>
      <w:r w:rsidRPr="00830AE7">
        <w:rPr>
          <w:rFonts w:ascii="Times New Roman" w:hAnsi="Times New Roman" w:cs="Times New Roman"/>
          <w:sz w:val="18"/>
          <w:szCs w:val="18"/>
          <w:shd w:val="clear" w:color="auto" w:fill="FFFFFF"/>
        </w:rPr>
        <w:t>isoenzyme</w:t>
      </w:r>
      <w:proofErr w:type="spellEnd"/>
      <w:r w:rsidRPr="00830AE7">
        <w:rPr>
          <w:rFonts w:ascii="Times New Roman" w:hAnsi="Times New Roman" w:cs="Times New Roman"/>
          <w:sz w:val="18"/>
          <w:szCs w:val="18"/>
          <w:shd w:val="clear" w:color="auto" w:fill="FFFFFF"/>
        </w:rPr>
        <w:t xml:space="preserve"> activity be omitted in suspected myocardial infarction? </w:t>
      </w:r>
      <w:proofErr w:type="spellStart"/>
      <w:r w:rsidRPr="00830AE7">
        <w:rPr>
          <w:rStyle w:val="Emphasis"/>
          <w:rFonts w:ascii="Times New Roman" w:hAnsi="Times New Roman" w:cs="Times New Roman"/>
          <w:i w:val="0"/>
          <w:sz w:val="18"/>
          <w:szCs w:val="18"/>
          <w:bdr w:val="none" w:sz="0" w:space="0" w:color="auto" w:frame="1"/>
          <w:shd w:val="clear" w:color="auto" w:fill="FFFFFF"/>
        </w:rPr>
        <w:t>Scand</w:t>
      </w:r>
      <w:proofErr w:type="spellEnd"/>
      <w:r w:rsidRPr="00830AE7">
        <w:rPr>
          <w:rStyle w:val="Emphasis"/>
          <w:rFonts w:ascii="Times New Roman" w:hAnsi="Times New Roman" w:cs="Times New Roman"/>
          <w:i w:val="0"/>
          <w:sz w:val="18"/>
          <w:szCs w:val="18"/>
          <w:bdr w:val="none" w:sz="0" w:space="0" w:color="auto" w:frame="1"/>
          <w:shd w:val="clear" w:color="auto" w:fill="FFFFFF"/>
        </w:rPr>
        <w:t xml:space="preserve"> J </w:t>
      </w:r>
      <w:proofErr w:type="spellStart"/>
      <w:r w:rsidRPr="00830AE7">
        <w:rPr>
          <w:rStyle w:val="Emphasis"/>
          <w:rFonts w:ascii="Times New Roman" w:hAnsi="Times New Roman" w:cs="Times New Roman"/>
          <w:i w:val="0"/>
          <w:sz w:val="18"/>
          <w:szCs w:val="18"/>
          <w:bdr w:val="none" w:sz="0" w:space="0" w:color="auto" w:frame="1"/>
          <w:shd w:val="clear" w:color="auto" w:fill="FFFFFF"/>
        </w:rPr>
        <w:t>Clin</w:t>
      </w:r>
      <w:proofErr w:type="spellEnd"/>
      <w:r w:rsidRPr="00830AE7">
        <w:rPr>
          <w:rStyle w:val="Emphasis"/>
          <w:rFonts w:ascii="Times New Roman" w:hAnsi="Times New Roman" w:cs="Times New Roman"/>
          <w:i w:val="0"/>
          <w:sz w:val="18"/>
          <w:szCs w:val="18"/>
          <w:bdr w:val="none" w:sz="0" w:space="0" w:color="auto" w:frame="1"/>
          <w:shd w:val="clear" w:color="auto" w:fill="FFFFFF"/>
        </w:rPr>
        <w:t xml:space="preserve"> Lab</w:t>
      </w:r>
      <w:r w:rsidRPr="00830AE7">
        <w:rPr>
          <w:rStyle w:val="Emphasis"/>
          <w:rFonts w:ascii="Times New Roman" w:hAnsi="Times New Roman" w:cs="Times New Roman"/>
          <w:sz w:val="18"/>
          <w:szCs w:val="18"/>
          <w:bdr w:val="none" w:sz="0" w:space="0" w:color="auto" w:frame="1"/>
          <w:shd w:val="clear" w:color="auto" w:fill="FFFFFF"/>
        </w:rPr>
        <w:t xml:space="preserve"> Invest</w:t>
      </w:r>
      <w:r w:rsidRPr="00830AE7">
        <w:rPr>
          <w:rFonts w:ascii="Times New Roman" w:hAnsi="Times New Roman" w:cs="Times New Roman"/>
          <w:sz w:val="18"/>
          <w:szCs w:val="18"/>
          <w:shd w:val="clear" w:color="auto" w:fill="FFFFFF"/>
        </w:rPr>
        <w:t>. 1989; 49:661–665.</w:t>
      </w:r>
    </w:p>
    <w:p w:rsidR="00A51ABF" w:rsidRPr="00830AE7" w:rsidRDefault="00A51ABF" w:rsidP="00830AE7">
      <w:pPr>
        <w:pStyle w:val="ListParagraph"/>
        <w:numPr>
          <w:ilvl w:val="0"/>
          <w:numId w:val="1"/>
        </w:numPr>
        <w:spacing w:after="0" w:line="360" w:lineRule="auto"/>
        <w:jc w:val="both"/>
        <w:rPr>
          <w:rFonts w:ascii="Times New Roman" w:hAnsi="Times New Roman" w:cs="Times New Roman"/>
          <w:sz w:val="18"/>
          <w:szCs w:val="18"/>
          <w:shd w:val="clear" w:color="auto" w:fill="FFFFFF"/>
        </w:rPr>
      </w:pPr>
      <w:r w:rsidRPr="00830AE7">
        <w:rPr>
          <w:rFonts w:ascii="Times New Roman" w:hAnsi="Times New Roman" w:cs="Times New Roman"/>
          <w:color w:val="222222"/>
          <w:sz w:val="18"/>
          <w:szCs w:val="18"/>
          <w:shd w:val="clear" w:color="auto" w:fill="FFFFFF"/>
        </w:rPr>
        <w:t xml:space="preserve">Wu, YW, </w:t>
      </w:r>
      <w:proofErr w:type="spellStart"/>
      <w:r w:rsidRPr="00830AE7">
        <w:rPr>
          <w:rFonts w:ascii="Times New Roman" w:hAnsi="Times New Roman" w:cs="Times New Roman"/>
          <w:color w:val="222222"/>
          <w:sz w:val="18"/>
          <w:szCs w:val="18"/>
          <w:shd w:val="clear" w:color="auto" w:fill="FFFFFF"/>
        </w:rPr>
        <w:t>Ho</w:t>
      </w:r>
      <w:proofErr w:type="spellEnd"/>
      <w:r w:rsidRPr="00830AE7">
        <w:rPr>
          <w:rFonts w:ascii="Times New Roman" w:hAnsi="Times New Roman" w:cs="Times New Roman"/>
          <w:color w:val="222222"/>
          <w:sz w:val="18"/>
          <w:szCs w:val="18"/>
          <w:shd w:val="clear" w:color="auto" w:fill="FFFFFF"/>
        </w:rPr>
        <w:t xml:space="preserve">, S.K., Tseng, WK., </w:t>
      </w:r>
      <w:proofErr w:type="spellStart"/>
      <w:r w:rsidRPr="00830AE7">
        <w:rPr>
          <w:rFonts w:ascii="Times New Roman" w:hAnsi="Times New Roman" w:cs="Times New Roman"/>
          <w:color w:val="222222"/>
          <w:sz w:val="18"/>
          <w:szCs w:val="18"/>
          <w:shd w:val="clear" w:color="auto" w:fill="FFFFFF"/>
        </w:rPr>
        <w:t>Yeh</w:t>
      </w:r>
      <w:proofErr w:type="spellEnd"/>
      <w:r w:rsidRPr="00830AE7">
        <w:rPr>
          <w:rFonts w:ascii="Times New Roman" w:hAnsi="Times New Roman" w:cs="Times New Roman"/>
          <w:color w:val="222222"/>
          <w:sz w:val="18"/>
          <w:szCs w:val="18"/>
          <w:shd w:val="clear" w:color="auto" w:fill="FFFFFF"/>
        </w:rPr>
        <w:t xml:space="preserve"> H</w:t>
      </w:r>
      <w:r w:rsidRPr="00830AE7">
        <w:rPr>
          <w:rFonts w:ascii="Times New Roman" w:hAnsi="Times New Roman" w:cs="Times New Roman"/>
          <w:i/>
          <w:iCs/>
          <w:color w:val="222222"/>
          <w:sz w:val="18"/>
          <w:szCs w:val="18"/>
          <w:shd w:val="clear" w:color="auto" w:fill="FFFFFF"/>
        </w:rPr>
        <w:t>.</w:t>
      </w:r>
      <w:r w:rsidRPr="00830AE7">
        <w:rPr>
          <w:rFonts w:ascii="Times New Roman" w:hAnsi="Times New Roman" w:cs="Times New Roman"/>
          <w:color w:val="222222"/>
          <w:sz w:val="18"/>
          <w:szCs w:val="18"/>
          <w:shd w:val="clear" w:color="auto" w:fill="FFFFFF"/>
        </w:rPr>
        <w:t xml:space="preserve"> Potential impacts of high-sensitivity </w:t>
      </w:r>
      <w:proofErr w:type="spellStart"/>
      <w:r w:rsidRPr="00830AE7">
        <w:rPr>
          <w:rFonts w:ascii="Times New Roman" w:hAnsi="Times New Roman" w:cs="Times New Roman"/>
          <w:color w:val="222222"/>
          <w:sz w:val="18"/>
          <w:szCs w:val="18"/>
          <w:shd w:val="clear" w:color="auto" w:fill="FFFFFF"/>
        </w:rPr>
        <w:t>creatine</w:t>
      </w:r>
      <w:proofErr w:type="spellEnd"/>
      <w:r w:rsidRPr="00830AE7">
        <w:rPr>
          <w:rFonts w:ascii="Times New Roman" w:hAnsi="Times New Roman" w:cs="Times New Roman"/>
          <w:color w:val="222222"/>
          <w:sz w:val="18"/>
          <w:szCs w:val="18"/>
          <w:shd w:val="clear" w:color="auto" w:fill="FFFFFF"/>
        </w:rPr>
        <w:t xml:space="preserve"> kinase-MB on long-term clinical outcomes in patients with stable coronary heart disease. </w:t>
      </w:r>
      <w:proofErr w:type="spellStart"/>
      <w:r w:rsidRPr="00830AE7">
        <w:rPr>
          <w:rFonts w:ascii="Times New Roman" w:hAnsi="Times New Roman" w:cs="Times New Roman"/>
          <w:i/>
          <w:iCs/>
          <w:color w:val="222222"/>
          <w:sz w:val="18"/>
          <w:szCs w:val="18"/>
          <w:shd w:val="clear" w:color="auto" w:fill="FFFFFF"/>
        </w:rPr>
        <w:t>Sci</w:t>
      </w:r>
      <w:proofErr w:type="spellEnd"/>
      <w:r w:rsidRPr="00830AE7">
        <w:rPr>
          <w:rFonts w:ascii="Times New Roman" w:hAnsi="Times New Roman" w:cs="Times New Roman"/>
          <w:i/>
          <w:iCs/>
          <w:color w:val="222222"/>
          <w:sz w:val="18"/>
          <w:szCs w:val="18"/>
          <w:shd w:val="clear" w:color="auto" w:fill="FFFFFF"/>
        </w:rPr>
        <w:t xml:space="preserve"> Rep</w:t>
      </w:r>
      <w:r w:rsidRPr="00830AE7">
        <w:rPr>
          <w:rFonts w:ascii="Times New Roman" w:hAnsi="Times New Roman" w:cs="Times New Roman"/>
          <w:color w:val="222222"/>
          <w:sz w:val="18"/>
          <w:szCs w:val="18"/>
          <w:shd w:val="clear" w:color="auto" w:fill="FFFFFF"/>
        </w:rPr>
        <w:t> 2020</w:t>
      </w:r>
      <w:proofErr w:type="gramStart"/>
      <w:r w:rsidRPr="00830AE7">
        <w:rPr>
          <w:rFonts w:ascii="Times New Roman" w:hAnsi="Times New Roman" w:cs="Times New Roman"/>
          <w:color w:val="222222"/>
          <w:sz w:val="18"/>
          <w:szCs w:val="18"/>
          <w:shd w:val="clear" w:color="auto" w:fill="FFFFFF"/>
        </w:rPr>
        <w:t>;</w:t>
      </w:r>
      <w:r w:rsidRPr="00830AE7">
        <w:rPr>
          <w:rFonts w:ascii="Times New Roman" w:hAnsi="Times New Roman" w:cs="Times New Roman"/>
          <w:bCs/>
          <w:color w:val="222222"/>
          <w:sz w:val="18"/>
          <w:szCs w:val="18"/>
          <w:shd w:val="clear" w:color="auto" w:fill="FFFFFF"/>
        </w:rPr>
        <w:t>10</w:t>
      </w:r>
      <w:proofErr w:type="gramEnd"/>
      <w:r w:rsidRPr="00830AE7">
        <w:rPr>
          <w:rFonts w:ascii="Times New Roman" w:hAnsi="Times New Roman" w:cs="Times New Roman"/>
          <w:bCs/>
          <w:color w:val="222222"/>
          <w:sz w:val="18"/>
          <w:szCs w:val="18"/>
          <w:shd w:val="clear" w:color="auto" w:fill="FFFFFF"/>
        </w:rPr>
        <w:t>: </w:t>
      </w:r>
      <w:r w:rsidRPr="00830AE7">
        <w:rPr>
          <w:rFonts w:ascii="Times New Roman" w:hAnsi="Times New Roman" w:cs="Times New Roman"/>
          <w:color w:val="222222"/>
          <w:sz w:val="18"/>
          <w:szCs w:val="18"/>
          <w:shd w:val="clear" w:color="auto" w:fill="FFFFFF"/>
        </w:rPr>
        <w:t>5638. </w:t>
      </w:r>
    </w:p>
    <w:p w:rsidR="00D81F6F" w:rsidRPr="00830AE7" w:rsidRDefault="00D81F6F" w:rsidP="00830AE7">
      <w:pPr>
        <w:spacing w:after="0" w:line="360" w:lineRule="auto"/>
        <w:rPr>
          <w:rFonts w:ascii="Times New Roman" w:hAnsi="Times New Roman" w:cs="Times New Roman"/>
          <w:sz w:val="20"/>
          <w:szCs w:val="20"/>
        </w:rPr>
      </w:pPr>
    </w:p>
    <w:sectPr w:rsidR="00D81F6F" w:rsidRPr="00830AE7" w:rsidSect="00B85C9F">
      <w:headerReference w:type="default" r:id="rId10"/>
      <w:footerReference w:type="default" r:id="rId11"/>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DE" w:rsidRDefault="00FA20DE">
      <w:pPr>
        <w:spacing w:after="0" w:line="240" w:lineRule="auto"/>
      </w:pPr>
      <w:r>
        <w:separator/>
      </w:r>
    </w:p>
  </w:endnote>
  <w:endnote w:type="continuationSeparator" w:id="0">
    <w:p w:rsidR="00FA20DE" w:rsidRDefault="00FA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51157"/>
      <w:docPartObj>
        <w:docPartGallery w:val="Page Numbers (Bottom of Page)"/>
        <w:docPartUnique/>
      </w:docPartObj>
    </w:sdtPr>
    <w:sdtEndPr>
      <w:rPr>
        <w:noProof/>
      </w:rPr>
    </w:sdtEndPr>
    <w:sdtContent>
      <w:p w:rsidR="00830AE7" w:rsidRDefault="00830AE7">
        <w:pPr>
          <w:pStyle w:val="Footer"/>
          <w:jc w:val="right"/>
        </w:pPr>
        <w:r>
          <w:fldChar w:fldCharType="begin"/>
        </w:r>
        <w:r>
          <w:instrText xml:space="preserve"> PAGE   \* MERGEFORMAT </w:instrText>
        </w:r>
        <w:r>
          <w:fldChar w:fldCharType="separate"/>
        </w:r>
        <w:r w:rsidR="00B85C9F">
          <w:rPr>
            <w:noProof/>
          </w:rPr>
          <w:t>61</w:t>
        </w:r>
        <w:r>
          <w:rPr>
            <w:noProof/>
          </w:rPr>
          <w:fldChar w:fldCharType="end"/>
        </w:r>
      </w:p>
    </w:sdtContent>
  </w:sdt>
  <w:p w:rsidR="00830AE7" w:rsidRPr="00F55C25" w:rsidRDefault="00830AE7" w:rsidP="00830AE7">
    <w:pPr>
      <w:tabs>
        <w:tab w:val="center" w:pos="4513"/>
        <w:tab w:val="right" w:pos="9026"/>
      </w:tabs>
      <w:spacing w:after="0" w:line="240" w:lineRule="auto"/>
      <w:rPr>
        <w:rFonts w:ascii="Calibri" w:eastAsia="Times New Roman" w:hAnsi="Calibri" w:cs="Calibri"/>
        <w:sz w:val="20"/>
        <w:szCs w:val="20"/>
        <w:lang w:val="en-US"/>
      </w:rPr>
    </w:pPr>
    <w:r w:rsidRPr="00F55C25">
      <w:rPr>
        <w:rFonts w:ascii="Times New Roman" w:eastAsia="Times New Roman" w:hAnsi="Times New Roman" w:cs="Times New Roman"/>
        <w:color w:val="000000"/>
        <w:sz w:val="20"/>
        <w:szCs w:val="24"/>
        <w:lang w:val="en-US" w:eastAsia="en-GB"/>
      </w:rPr>
      <w:t>www.ijbamr.com   P ISSN: 2250-284X, E ISSN: 2250-2858</w:t>
    </w:r>
  </w:p>
  <w:p w:rsidR="00F33F5F" w:rsidRDefault="00FA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DE" w:rsidRDefault="00FA20DE">
      <w:pPr>
        <w:spacing w:after="0" w:line="240" w:lineRule="auto"/>
      </w:pPr>
      <w:r>
        <w:separator/>
      </w:r>
    </w:p>
  </w:footnote>
  <w:footnote w:type="continuationSeparator" w:id="0">
    <w:p w:rsidR="00FA20DE" w:rsidRDefault="00FA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E7" w:rsidRPr="00F55C25" w:rsidRDefault="00830AE7" w:rsidP="00830AE7">
    <w:pPr>
      <w:tabs>
        <w:tab w:val="left" w:pos="496"/>
        <w:tab w:val="center" w:pos="4680"/>
        <w:tab w:val="right" w:pos="9360"/>
      </w:tabs>
      <w:spacing w:after="0" w:line="240" w:lineRule="auto"/>
      <w:ind w:right="-567"/>
      <w:rPr>
        <w:rFonts w:ascii="Cambria" w:eastAsia="Cambria" w:hAnsi="Cambria" w:cs="Calibri"/>
        <w:sz w:val="20"/>
        <w:szCs w:val="20"/>
        <w:lang w:val="en-US"/>
      </w:rPr>
    </w:pPr>
    <w:r w:rsidRPr="00F55C25">
      <w:rPr>
        <w:rFonts w:ascii="Cambria" w:eastAsia="Cambria" w:hAnsi="Cambria" w:cs="Calibri"/>
        <w:sz w:val="20"/>
        <w:szCs w:val="20"/>
        <w:lang w:val="en-US"/>
      </w:rPr>
      <w:t xml:space="preserve">Indian Journal of Basic and Applied Medical Research; March 2022: Vol.-11, Issue- 2, P. </w:t>
    </w:r>
    <w:r w:rsidR="00B85C9F">
      <w:rPr>
        <w:rFonts w:ascii="Cambria" w:eastAsia="Cambria" w:hAnsi="Cambria" w:cs="Calibri"/>
        <w:sz w:val="20"/>
        <w:szCs w:val="20"/>
        <w:lang w:val="en-US"/>
      </w:rPr>
      <w:t>55 -61</w:t>
    </w:r>
  </w:p>
  <w:p w:rsidR="00830AE7" w:rsidRPr="00F55C25" w:rsidRDefault="00830AE7" w:rsidP="00830AE7">
    <w:pPr>
      <w:tabs>
        <w:tab w:val="left" w:pos="496"/>
        <w:tab w:val="center" w:pos="4680"/>
        <w:tab w:val="right" w:pos="9360"/>
      </w:tabs>
      <w:spacing w:after="0" w:line="240" w:lineRule="auto"/>
      <w:ind w:right="-567"/>
      <w:rPr>
        <w:rFonts w:ascii="Cambria" w:eastAsia="Calibri" w:hAnsi="Cambria" w:cs="Calibri"/>
        <w:sz w:val="20"/>
        <w:szCs w:val="20"/>
        <w:lang w:val="en-US"/>
      </w:rPr>
    </w:pPr>
    <w:r w:rsidRPr="00F55C25">
      <w:rPr>
        <w:rFonts w:ascii="Cambria" w:eastAsia="Calibri" w:hAnsi="Cambria" w:cs="Calibri Light"/>
        <w:bCs/>
        <w:sz w:val="20"/>
        <w:szCs w:val="20"/>
        <w:shd w:val="clear" w:color="auto" w:fill="FFFFFF"/>
        <w:lang w:val="en-US"/>
      </w:rPr>
      <w:t xml:space="preserve">DOI: </w:t>
    </w:r>
    <w:r>
      <w:rPr>
        <w:rFonts w:ascii="Cambria" w:eastAsia="Calibri" w:hAnsi="Cambria" w:cs="Calibri Light"/>
        <w:bCs/>
        <w:sz w:val="20"/>
        <w:szCs w:val="20"/>
        <w:shd w:val="clear" w:color="auto" w:fill="FFFFFF"/>
        <w:lang w:val="en-US"/>
      </w:rPr>
      <w:t>10.36855/IJBAMR/2022/30215.55599</w:t>
    </w:r>
  </w:p>
  <w:p w:rsidR="00830AE7" w:rsidRDefault="00830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781"/>
    <w:multiLevelType w:val="hybridMultilevel"/>
    <w:tmpl w:val="DEC6D8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EBD67F4"/>
    <w:multiLevelType w:val="hybridMultilevel"/>
    <w:tmpl w:val="9A9E3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D5"/>
    <w:rsid w:val="00090D37"/>
    <w:rsid w:val="007707D5"/>
    <w:rsid w:val="00830AE7"/>
    <w:rsid w:val="00A51ABF"/>
    <w:rsid w:val="00B75B97"/>
    <w:rsid w:val="00B85C9F"/>
    <w:rsid w:val="00D81F6F"/>
    <w:rsid w:val="00D94961"/>
    <w:rsid w:val="00FA20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BF"/>
    <w:pPr>
      <w:ind w:left="720"/>
      <w:contextualSpacing/>
    </w:pPr>
  </w:style>
  <w:style w:type="character" w:customStyle="1" w:styleId="ref-journal">
    <w:name w:val="ref-journal"/>
    <w:basedOn w:val="DefaultParagraphFont"/>
    <w:rsid w:val="00A51ABF"/>
  </w:style>
  <w:style w:type="character" w:customStyle="1" w:styleId="ref-vol">
    <w:name w:val="ref-vol"/>
    <w:basedOn w:val="DefaultParagraphFont"/>
    <w:rsid w:val="00A51ABF"/>
  </w:style>
  <w:style w:type="paragraph" w:styleId="Footer">
    <w:name w:val="footer"/>
    <w:basedOn w:val="Normal"/>
    <w:link w:val="FooterChar"/>
    <w:uiPriority w:val="99"/>
    <w:unhideWhenUsed/>
    <w:rsid w:val="00A5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ABF"/>
  </w:style>
  <w:style w:type="table" w:styleId="TableGrid">
    <w:name w:val="Table Grid"/>
    <w:basedOn w:val="TableNormal"/>
    <w:uiPriority w:val="59"/>
    <w:rsid w:val="00A51ABF"/>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51A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51ABF"/>
    <w:rPr>
      <w:color w:val="0000FF"/>
      <w:u w:val="single"/>
    </w:rPr>
  </w:style>
  <w:style w:type="character" w:styleId="Emphasis">
    <w:name w:val="Emphasis"/>
    <w:basedOn w:val="DefaultParagraphFont"/>
    <w:uiPriority w:val="20"/>
    <w:qFormat/>
    <w:rsid w:val="00A51ABF"/>
    <w:rPr>
      <w:i/>
      <w:iCs/>
    </w:rPr>
  </w:style>
  <w:style w:type="paragraph" w:styleId="BalloonText">
    <w:name w:val="Balloon Text"/>
    <w:basedOn w:val="Normal"/>
    <w:link w:val="BalloonTextChar"/>
    <w:uiPriority w:val="99"/>
    <w:semiHidden/>
    <w:unhideWhenUsed/>
    <w:rsid w:val="0083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E7"/>
    <w:rPr>
      <w:rFonts w:ascii="Tahoma" w:hAnsi="Tahoma" w:cs="Tahoma"/>
      <w:sz w:val="16"/>
      <w:szCs w:val="16"/>
    </w:rPr>
  </w:style>
  <w:style w:type="paragraph" w:styleId="Header">
    <w:name w:val="header"/>
    <w:basedOn w:val="Normal"/>
    <w:link w:val="HeaderChar"/>
    <w:uiPriority w:val="99"/>
    <w:unhideWhenUsed/>
    <w:rsid w:val="0083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BF"/>
    <w:pPr>
      <w:ind w:left="720"/>
      <w:contextualSpacing/>
    </w:pPr>
  </w:style>
  <w:style w:type="character" w:customStyle="1" w:styleId="ref-journal">
    <w:name w:val="ref-journal"/>
    <w:basedOn w:val="DefaultParagraphFont"/>
    <w:rsid w:val="00A51ABF"/>
  </w:style>
  <w:style w:type="character" w:customStyle="1" w:styleId="ref-vol">
    <w:name w:val="ref-vol"/>
    <w:basedOn w:val="DefaultParagraphFont"/>
    <w:rsid w:val="00A51ABF"/>
  </w:style>
  <w:style w:type="paragraph" w:styleId="Footer">
    <w:name w:val="footer"/>
    <w:basedOn w:val="Normal"/>
    <w:link w:val="FooterChar"/>
    <w:uiPriority w:val="99"/>
    <w:unhideWhenUsed/>
    <w:rsid w:val="00A5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ABF"/>
  </w:style>
  <w:style w:type="table" w:styleId="TableGrid">
    <w:name w:val="Table Grid"/>
    <w:basedOn w:val="TableNormal"/>
    <w:uiPriority w:val="59"/>
    <w:rsid w:val="00A51ABF"/>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51A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51ABF"/>
    <w:rPr>
      <w:color w:val="0000FF"/>
      <w:u w:val="single"/>
    </w:rPr>
  </w:style>
  <w:style w:type="character" w:styleId="Emphasis">
    <w:name w:val="Emphasis"/>
    <w:basedOn w:val="DefaultParagraphFont"/>
    <w:uiPriority w:val="20"/>
    <w:qFormat/>
    <w:rsid w:val="00A51ABF"/>
    <w:rPr>
      <w:i/>
      <w:iCs/>
    </w:rPr>
  </w:style>
  <w:style w:type="paragraph" w:styleId="BalloonText">
    <w:name w:val="Balloon Text"/>
    <w:basedOn w:val="Normal"/>
    <w:link w:val="BalloonTextChar"/>
    <w:uiPriority w:val="99"/>
    <w:semiHidden/>
    <w:unhideWhenUsed/>
    <w:rsid w:val="0083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E7"/>
    <w:rPr>
      <w:rFonts w:ascii="Tahoma" w:hAnsi="Tahoma" w:cs="Tahoma"/>
      <w:sz w:val="16"/>
      <w:szCs w:val="16"/>
    </w:rPr>
  </w:style>
  <w:style w:type="paragraph" w:styleId="Header">
    <w:name w:val="header"/>
    <w:basedOn w:val="Normal"/>
    <w:link w:val="HeaderChar"/>
    <w:uiPriority w:val="99"/>
    <w:unhideWhenUsed/>
    <w:rsid w:val="0083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med.ncbi.nlm.nih.gov/?term=Hedayatnia+M&amp;cauthor_id=321786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Sheet1!$B$1</c:f>
              <c:strCache>
                <c:ptCount val="1"/>
                <c:pt idx="0">
                  <c:v>CVD patients</c:v>
                </c:pt>
              </c:strCache>
            </c:strRef>
          </c:tx>
          <c:invertIfNegative val="0"/>
          <c:dLbls>
            <c:dLbl>
              <c:idx val="0"/>
              <c:tx>
                <c:rich>
                  <a:bodyPr/>
                  <a:lstStyle/>
                  <a:p>
                    <a:r>
                      <a:rPr lang="en-US" b="1"/>
                      <a:t>29.05</a:t>
                    </a:r>
                  </a:p>
                </c:rich>
              </c:tx>
              <c:showLegendKey val="0"/>
              <c:showVal val="1"/>
              <c:showCatName val="0"/>
              <c:showSerName val="0"/>
              <c:showPercent val="0"/>
              <c:showBubbleSize val="0"/>
            </c:dLbl>
            <c:showLegendKey val="0"/>
            <c:showVal val="0"/>
            <c:showCatName val="0"/>
            <c:showSerName val="0"/>
            <c:showPercent val="0"/>
            <c:showBubbleSize val="0"/>
          </c:dLbls>
          <c:cat>
            <c:strRef>
              <c:f>Sheet1!$A$2</c:f>
              <c:strCache>
                <c:ptCount val="1"/>
                <c:pt idx="0">
                  <c:v>Mean BMI</c:v>
                </c:pt>
              </c:strCache>
            </c:strRef>
          </c:cat>
          <c:val>
            <c:numRef>
              <c:f>Sheet1!$B$2</c:f>
              <c:numCache>
                <c:formatCode>General</c:formatCode>
                <c:ptCount val="1"/>
                <c:pt idx="0">
                  <c:v>29.05</c:v>
                </c:pt>
              </c:numCache>
            </c:numRef>
          </c:val>
        </c:ser>
        <c:ser>
          <c:idx val="1"/>
          <c:order val="1"/>
          <c:tx>
            <c:strRef>
              <c:f>Sheet1!$C$1</c:f>
              <c:strCache>
                <c:ptCount val="1"/>
                <c:pt idx="0">
                  <c:v>Healthy individuals</c:v>
                </c:pt>
              </c:strCache>
            </c:strRef>
          </c:tx>
          <c:invertIfNegative val="0"/>
          <c:dLbls>
            <c:dLbl>
              <c:idx val="0"/>
              <c:layout>
                <c:manualLayout>
                  <c:x val="2.3148148148148147E-3"/>
                  <c:y val="1.5872703412073492E-2"/>
                </c:manualLayout>
              </c:layout>
              <c:tx>
                <c:rich>
                  <a:bodyPr/>
                  <a:lstStyle/>
                  <a:p>
                    <a:r>
                      <a:rPr lang="en-US" b="1"/>
                      <a:t>23.10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Mean BMI</c:v>
                </c:pt>
              </c:strCache>
            </c:strRef>
          </c:cat>
          <c:val>
            <c:numRef>
              <c:f>Sheet1!$C$2</c:f>
              <c:numCache>
                <c:formatCode>General</c:formatCode>
                <c:ptCount val="1"/>
                <c:pt idx="0">
                  <c:v>23.1</c:v>
                </c:pt>
              </c:numCache>
            </c:numRef>
          </c:val>
        </c:ser>
        <c:dLbls>
          <c:showLegendKey val="0"/>
          <c:showVal val="0"/>
          <c:showCatName val="0"/>
          <c:showSerName val="0"/>
          <c:showPercent val="0"/>
          <c:showBubbleSize val="0"/>
        </c:dLbls>
        <c:gapWidth val="150"/>
        <c:axId val="191362560"/>
        <c:axId val="220443008"/>
      </c:barChart>
      <c:catAx>
        <c:axId val="191362560"/>
        <c:scaling>
          <c:orientation val="minMax"/>
        </c:scaling>
        <c:delete val="0"/>
        <c:axPos val="b"/>
        <c:majorTickMark val="out"/>
        <c:minorTickMark val="none"/>
        <c:tickLblPos val="nextTo"/>
        <c:crossAx val="220443008"/>
        <c:crosses val="autoZero"/>
        <c:auto val="1"/>
        <c:lblAlgn val="ctr"/>
        <c:lblOffset val="100"/>
        <c:noMultiLvlLbl val="0"/>
      </c:catAx>
      <c:valAx>
        <c:axId val="220443008"/>
        <c:scaling>
          <c:orientation val="minMax"/>
        </c:scaling>
        <c:delete val="0"/>
        <c:axPos val="l"/>
        <c:minorGridlines/>
        <c:numFmt formatCode="General" sourceLinked="1"/>
        <c:majorTickMark val="out"/>
        <c:minorTickMark val="none"/>
        <c:tickLblPos val="nextTo"/>
        <c:crossAx val="191362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RDRL</cp:lastModifiedBy>
  <cp:revision>6</cp:revision>
  <cp:lastPrinted>2022-04-22T15:46:00Z</cp:lastPrinted>
  <dcterms:created xsi:type="dcterms:W3CDTF">2022-04-22T09:25:00Z</dcterms:created>
  <dcterms:modified xsi:type="dcterms:W3CDTF">2022-04-22T15:46:00Z</dcterms:modified>
</cp:coreProperties>
</file>