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655" w:rsidRPr="00557655" w:rsidRDefault="00557655" w:rsidP="00557655">
      <w:pPr>
        <w:pStyle w:val="Heading1"/>
        <w:spacing w:before="0"/>
        <w:jc w:val="both"/>
        <w:rPr>
          <w:rFonts w:ascii="Cambria" w:hAnsi="Cambria"/>
          <w:i/>
          <w:color w:val="auto"/>
          <w:sz w:val="24"/>
          <w:szCs w:val="24"/>
        </w:rPr>
      </w:pPr>
      <w:r w:rsidRPr="00557655">
        <w:rPr>
          <w:rFonts w:ascii="Cambria" w:hAnsi="Cambria"/>
          <w:i/>
          <w:color w:val="auto"/>
          <w:sz w:val="24"/>
          <w:szCs w:val="24"/>
          <w:highlight w:val="lightGray"/>
        </w:rPr>
        <w:t>Original article</w:t>
      </w:r>
      <w:r w:rsidRPr="00557655">
        <w:rPr>
          <w:rFonts w:ascii="Cambria" w:hAnsi="Cambria"/>
          <w:i/>
          <w:color w:val="auto"/>
          <w:sz w:val="24"/>
          <w:szCs w:val="24"/>
        </w:rPr>
        <w:t xml:space="preserve"> </w:t>
      </w:r>
    </w:p>
    <w:p w:rsidR="001850DB" w:rsidRPr="00557655" w:rsidRDefault="007F66CB" w:rsidP="00557655">
      <w:pPr>
        <w:pStyle w:val="Heading1"/>
        <w:spacing w:before="0"/>
        <w:rPr>
          <w:rFonts w:ascii="Cambria" w:hAnsi="Cambria"/>
          <w:i/>
        </w:rPr>
      </w:pPr>
      <w:r w:rsidRPr="00557655">
        <w:rPr>
          <w:rFonts w:ascii="Cambria" w:hAnsi="Cambria"/>
          <w:i/>
        </w:rPr>
        <w:t>Virtual Orthopaedic Fellowships: Educational Value, Regulatory Perspectives, and Future Directions</w:t>
      </w:r>
    </w:p>
    <w:p w:rsidR="007F66CB" w:rsidRPr="00557655" w:rsidRDefault="00557655" w:rsidP="00557655">
      <w:pPr>
        <w:spacing w:after="0"/>
        <w:jc w:val="both"/>
        <w:rPr>
          <w:rFonts w:ascii="Cambria" w:hAnsi="Cambria"/>
          <w:b/>
          <w:i/>
          <w:sz w:val="20"/>
          <w:szCs w:val="20"/>
        </w:rPr>
      </w:pPr>
      <w:r w:rsidRPr="00557655">
        <w:rPr>
          <w:rFonts w:ascii="Cambria" w:hAnsi="Cambria"/>
          <w:b/>
          <w:i/>
          <w:sz w:val="20"/>
          <w:szCs w:val="20"/>
        </w:rPr>
        <w:t>*Dr Sankalp Wagh , Dr Ashish Somani , Dr Kailas Ghorpade  , Dr Nitin Ghule</w:t>
      </w:r>
    </w:p>
    <w:p w:rsidR="00557655" w:rsidRPr="00557655" w:rsidRDefault="00557655" w:rsidP="00557655">
      <w:pPr>
        <w:spacing w:after="0"/>
        <w:jc w:val="both"/>
        <w:rPr>
          <w:rFonts w:ascii="Cambria" w:hAnsi="Cambria"/>
          <w:i/>
          <w:sz w:val="20"/>
          <w:szCs w:val="20"/>
        </w:rPr>
      </w:pPr>
    </w:p>
    <w:p w:rsidR="00557655" w:rsidRPr="00557655" w:rsidRDefault="00557655" w:rsidP="00557655">
      <w:pPr>
        <w:spacing w:after="0"/>
        <w:jc w:val="both"/>
        <w:rPr>
          <w:rFonts w:ascii="Cambria" w:hAnsi="Cambria"/>
          <w:i/>
          <w:sz w:val="18"/>
          <w:szCs w:val="18"/>
        </w:rPr>
      </w:pPr>
      <w:r w:rsidRPr="00557655">
        <w:rPr>
          <w:rFonts w:ascii="Cambria" w:hAnsi="Cambria"/>
          <w:i/>
          <w:sz w:val="18"/>
          <w:szCs w:val="18"/>
        </w:rPr>
        <w:t>Department of orthopedics, DBVPRMC, Pravara In</w:t>
      </w:r>
      <w:bookmarkStart w:id="0" w:name="_GoBack"/>
      <w:bookmarkEnd w:id="0"/>
      <w:r w:rsidRPr="00557655">
        <w:rPr>
          <w:rFonts w:ascii="Cambria" w:hAnsi="Cambria"/>
          <w:i/>
          <w:sz w:val="18"/>
          <w:szCs w:val="18"/>
        </w:rPr>
        <w:t xml:space="preserve">stitute of Medical Sciences ( DU) Loni </w:t>
      </w:r>
    </w:p>
    <w:p w:rsidR="00557655" w:rsidRPr="00557655" w:rsidRDefault="00557655" w:rsidP="00557655">
      <w:pPr>
        <w:spacing w:after="0"/>
        <w:jc w:val="both"/>
        <w:rPr>
          <w:rFonts w:ascii="Cambria" w:hAnsi="Cambria"/>
          <w:i/>
          <w:sz w:val="18"/>
          <w:szCs w:val="18"/>
          <w:cs/>
        </w:rPr>
      </w:pPr>
      <w:r w:rsidRPr="00557655">
        <w:rPr>
          <w:rFonts w:ascii="Cambria" w:hAnsi="Cambria"/>
          <w:i/>
          <w:sz w:val="18"/>
          <w:szCs w:val="18"/>
        </w:rPr>
        <w:t>Corresponding author*</w:t>
      </w:r>
    </w:p>
    <w:p w:rsidR="007F66CB" w:rsidRPr="00557655" w:rsidRDefault="007F66CB" w:rsidP="00557655">
      <w:pPr>
        <w:spacing w:after="0"/>
        <w:jc w:val="both"/>
        <w:rPr>
          <w:rFonts w:ascii="Cambria" w:hAnsi="Cambria"/>
          <w:i/>
          <w:sz w:val="20"/>
          <w:szCs w:val="20"/>
          <w:cs/>
        </w:rPr>
      </w:pPr>
    </w:p>
    <w:p w:rsidR="007F66CB" w:rsidRPr="00557655" w:rsidRDefault="007F66CB" w:rsidP="00557655">
      <w:pPr>
        <w:spacing w:after="0"/>
        <w:jc w:val="both"/>
        <w:rPr>
          <w:rFonts w:ascii="Cambria" w:hAnsi="Cambria"/>
          <w:i/>
          <w:sz w:val="20"/>
          <w:szCs w:val="20"/>
          <w:cs/>
        </w:rPr>
      </w:pPr>
    </w:p>
    <w:p w:rsidR="001850DB" w:rsidRPr="00557655" w:rsidRDefault="007F66CB" w:rsidP="00557655">
      <w:pPr>
        <w:spacing w:after="0"/>
        <w:jc w:val="both"/>
        <w:rPr>
          <w:rFonts w:ascii="Cambria" w:hAnsi="Cambria"/>
          <w:b/>
          <w:bCs/>
          <w:i/>
          <w:sz w:val="20"/>
          <w:szCs w:val="20"/>
        </w:rPr>
      </w:pPr>
      <w:r w:rsidRPr="00557655">
        <w:rPr>
          <w:rFonts w:ascii="Cambria" w:hAnsi="Cambria"/>
          <w:b/>
          <w:bCs/>
          <w:i/>
          <w:sz w:val="20"/>
          <w:szCs w:val="20"/>
        </w:rPr>
        <w:t xml:space="preserve">Abstract </w:t>
      </w:r>
    </w:p>
    <w:p w:rsidR="001850DB" w:rsidRPr="00557655" w:rsidRDefault="007F66CB" w:rsidP="00557655">
      <w:pPr>
        <w:spacing w:after="0"/>
        <w:jc w:val="both"/>
        <w:rPr>
          <w:rFonts w:ascii="Cambria" w:hAnsi="Cambria"/>
          <w:i/>
          <w:sz w:val="18"/>
          <w:szCs w:val="18"/>
        </w:rPr>
      </w:pPr>
      <w:r w:rsidRPr="00557655">
        <w:rPr>
          <w:rFonts w:ascii="Cambria" w:hAnsi="Cambria"/>
          <w:i/>
          <w:sz w:val="18"/>
          <w:szCs w:val="18"/>
        </w:rPr>
        <w:t>Background: The exponential growth of digital education, particularly following the COVID-19 pandemic, has led to a proliferation of virtual fellowship programs in orthopaedics. While these programs improve accessibility to theoretical knowledge and international faculty, concerns persist regarding regulatory recognition, skill acquisition, academic credibility, and ethical transparency.</w:t>
      </w:r>
    </w:p>
    <w:p w:rsidR="001850DB" w:rsidRPr="00557655" w:rsidRDefault="007F66CB" w:rsidP="00557655">
      <w:pPr>
        <w:spacing w:after="0"/>
        <w:jc w:val="both"/>
        <w:rPr>
          <w:rFonts w:ascii="Cambria" w:hAnsi="Cambria"/>
          <w:i/>
          <w:sz w:val="18"/>
          <w:szCs w:val="18"/>
        </w:rPr>
      </w:pPr>
      <w:r w:rsidRPr="00557655">
        <w:rPr>
          <w:rFonts w:ascii="Cambria" w:hAnsi="Cambria"/>
          <w:b/>
          <w:bCs/>
          <w:i/>
          <w:sz w:val="18"/>
          <w:szCs w:val="18"/>
        </w:rPr>
        <w:t>Objective</w:t>
      </w:r>
      <w:r w:rsidRPr="00557655">
        <w:rPr>
          <w:rFonts w:ascii="Cambria" w:hAnsi="Cambria"/>
          <w:i/>
          <w:sz w:val="18"/>
          <w:szCs w:val="18"/>
        </w:rPr>
        <w:t>:To critically evaluate the academic, regulatory, and practical relevance of virtual fellowships in orthopaedics and to provide guidance to residents and early-career surgeons regarding their educational value.</w:t>
      </w:r>
    </w:p>
    <w:p w:rsidR="001850DB" w:rsidRPr="00557655" w:rsidRDefault="007F66CB" w:rsidP="00557655">
      <w:pPr>
        <w:spacing w:after="0"/>
        <w:jc w:val="both"/>
        <w:rPr>
          <w:rFonts w:ascii="Cambria" w:hAnsi="Cambria"/>
          <w:i/>
          <w:sz w:val="18"/>
          <w:szCs w:val="18"/>
        </w:rPr>
      </w:pPr>
      <w:r w:rsidRPr="00557655">
        <w:rPr>
          <w:rFonts w:ascii="Cambria" w:hAnsi="Cambria"/>
          <w:b/>
          <w:bCs/>
          <w:i/>
          <w:sz w:val="18"/>
          <w:szCs w:val="18"/>
        </w:rPr>
        <w:t>Methods</w:t>
      </w:r>
      <w:r w:rsidRPr="00557655">
        <w:rPr>
          <w:rFonts w:ascii="Cambria" w:hAnsi="Cambria"/>
          <w:i/>
          <w:sz w:val="18"/>
          <w:szCs w:val="18"/>
        </w:rPr>
        <w:t>: This article is a narrative review and policy commentary synthesizing regulatory frameworks, literature on surgical education, competency-based training models, and contemporary orthopaedic learning strategies.</w:t>
      </w:r>
    </w:p>
    <w:p w:rsidR="001850DB" w:rsidRPr="00557655" w:rsidRDefault="007F66CB" w:rsidP="00557655">
      <w:pPr>
        <w:spacing w:after="0"/>
        <w:jc w:val="both"/>
        <w:rPr>
          <w:rFonts w:ascii="Cambria" w:hAnsi="Cambria"/>
          <w:i/>
          <w:sz w:val="18"/>
          <w:szCs w:val="18"/>
        </w:rPr>
      </w:pPr>
      <w:r w:rsidRPr="00557655">
        <w:rPr>
          <w:rFonts w:ascii="Cambria" w:hAnsi="Cambria"/>
          <w:b/>
          <w:bCs/>
          <w:i/>
          <w:sz w:val="18"/>
          <w:szCs w:val="18"/>
        </w:rPr>
        <w:t>Results</w:t>
      </w:r>
      <w:r w:rsidRPr="00557655">
        <w:rPr>
          <w:rFonts w:ascii="Cambria" w:hAnsi="Cambria"/>
          <w:i/>
          <w:sz w:val="18"/>
          <w:szCs w:val="18"/>
        </w:rPr>
        <w:t>: Most privately organized virtual fellowships in India do not confer recognition under the National Medical Commission (NMC). Although these programs may provide theoretical updates, networking opportunities, and exposure to subspecialty concepts, they typically lack structured mentorship, supervised operative experience, competency-based assessment, and measurable skill validation. Surgical competence in orthopaedics requires deliberate practice, hands-on training, graded responsibility, and structured feedback mechanisms.</w:t>
      </w:r>
    </w:p>
    <w:p w:rsidR="001850DB" w:rsidRPr="00557655" w:rsidRDefault="007F66CB" w:rsidP="00557655">
      <w:pPr>
        <w:spacing w:after="0"/>
        <w:jc w:val="both"/>
        <w:rPr>
          <w:rFonts w:ascii="Cambria" w:hAnsi="Cambria"/>
          <w:i/>
          <w:sz w:val="18"/>
          <w:szCs w:val="18"/>
        </w:rPr>
      </w:pPr>
      <w:r w:rsidRPr="00557655">
        <w:rPr>
          <w:rFonts w:ascii="Cambria" w:hAnsi="Cambria"/>
          <w:b/>
          <w:bCs/>
          <w:i/>
          <w:sz w:val="18"/>
          <w:szCs w:val="18"/>
        </w:rPr>
        <w:t>Conclusion</w:t>
      </w:r>
      <w:r w:rsidRPr="00557655">
        <w:rPr>
          <w:rFonts w:ascii="Cambria" w:hAnsi="Cambria"/>
          <w:i/>
          <w:sz w:val="18"/>
          <w:szCs w:val="18"/>
        </w:rPr>
        <w:t>: Virtual fellowships can serve as supplementary academic tools but cannot replace structured, hands-on, competency-driven surgical training. Orthopaedic residents and young surgeons must prioritize validated skill acquisition over accumulation of certificates. Regulatory clarity, transparency, and ethical educational models are essential to preserve academic integrity in orthopaedic training.</w:t>
      </w:r>
    </w:p>
    <w:p w:rsidR="001850DB" w:rsidRPr="00557655" w:rsidRDefault="007F66CB" w:rsidP="00557655">
      <w:pPr>
        <w:spacing w:after="0"/>
        <w:jc w:val="both"/>
        <w:rPr>
          <w:rFonts w:ascii="Cambria" w:hAnsi="Cambria"/>
          <w:i/>
          <w:sz w:val="18"/>
          <w:szCs w:val="18"/>
        </w:rPr>
      </w:pPr>
      <w:r w:rsidRPr="00557655">
        <w:rPr>
          <w:rFonts w:ascii="Cambria" w:hAnsi="Cambria"/>
          <w:i/>
          <w:sz w:val="18"/>
          <w:szCs w:val="18"/>
        </w:rPr>
        <w:t>Keywords: Virtual fellowship; Orthopaedic education; Surgical training; Simulation; NMC recognition; Competency-based training; Medical regulation</w:t>
      </w:r>
    </w:p>
    <w:p w:rsidR="001850DB" w:rsidRPr="00557655" w:rsidRDefault="001850DB" w:rsidP="00557655">
      <w:pPr>
        <w:spacing w:after="0"/>
        <w:jc w:val="both"/>
        <w:rPr>
          <w:rFonts w:ascii="Times New Roman" w:hAnsi="Times New Roman"/>
          <w:sz w:val="20"/>
          <w:szCs w:val="20"/>
        </w:rPr>
      </w:pPr>
    </w:p>
    <w:p w:rsidR="001850DB" w:rsidRPr="00557655" w:rsidRDefault="007F66CB" w:rsidP="00557655">
      <w:pPr>
        <w:spacing w:after="0"/>
        <w:jc w:val="both"/>
        <w:rPr>
          <w:rFonts w:ascii="Times New Roman" w:hAnsi="Times New Roman"/>
          <w:b/>
          <w:bCs/>
          <w:sz w:val="20"/>
          <w:szCs w:val="20"/>
        </w:rPr>
      </w:pPr>
      <w:r w:rsidRPr="00557655">
        <w:rPr>
          <w:rFonts w:ascii="Times New Roman" w:hAnsi="Times New Roman"/>
          <w:b/>
          <w:bCs/>
          <w:sz w:val="20"/>
          <w:szCs w:val="20"/>
        </w:rPr>
        <w:t>Introduction</w:t>
      </w:r>
    </w:p>
    <w:p w:rsidR="001850DB" w:rsidRDefault="007F66CB" w:rsidP="00557655">
      <w:pPr>
        <w:spacing w:after="0"/>
        <w:jc w:val="both"/>
        <w:rPr>
          <w:rFonts w:ascii="Times New Roman" w:hAnsi="Times New Roman"/>
          <w:sz w:val="20"/>
          <w:szCs w:val="20"/>
        </w:rPr>
      </w:pPr>
      <w:r w:rsidRPr="00557655">
        <w:rPr>
          <w:rFonts w:ascii="Times New Roman" w:hAnsi="Times New Roman"/>
          <w:sz w:val="20"/>
          <w:szCs w:val="20"/>
        </w:rPr>
        <w:t>Orthopaedics is a technically demanding specialty that requires progressive skill acquisition, supervised operative training, biomechanical understanding, and real-time clinical decision-making. Unlike purely cognitive disciplines, orthopaedic practice depends heavily on tactile feedback, spatial orientation, motor coordination, and the ability to manage intraoperative contingencies.The COVID-19 pandemic catalyzed a global transformation in medical education. Travel restrictions, reduced elective surgeries, and social distancing measures accelerated the adoption of digital platforms for teaching and academic exchange. Webinars, online case discussions, virtual conferences, and remote surgical demonstrations became mainstream educational tools. In this environment, a new phenomenon emerged: the rapid expansion of “virtual fellowship” programs in orthopaedics.While digital education enhances accessibility and global connectivity, the proliferation of virtual fellowships raises fundamental questions:do these programs confer recognized academic value?Can virtual learning substitute for hands-on surgical training?Are trainees adequately informed about regulatory recognition?Is the current trend academically enriching or commercially driven?This article critically examines the role of virtual fellowships within the framework of surgical competency, regulatory governance, and ethical professional development.</w:t>
      </w:r>
    </w:p>
    <w:p w:rsidR="00557655" w:rsidRPr="00557655" w:rsidRDefault="00557655" w:rsidP="00557655">
      <w:pPr>
        <w:spacing w:after="0"/>
        <w:jc w:val="both"/>
        <w:rPr>
          <w:rFonts w:ascii="Times New Roman" w:hAnsi="Times New Roman"/>
          <w:b/>
          <w:sz w:val="20"/>
          <w:szCs w:val="20"/>
        </w:rPr>
      </w:pPr>
      <w:r w:rsidRPr="00557655">
        <w:rPr>
          <w:rFonts w:ascii="Times New Roman" w:hAnsi="Times New Roman"/>
          <w:b/>
          <w:sz w:val="20"/>
          <w:szCs w:val="20"/>
        </w:rPr>
        <w:t xml:space="preserve">Regulatory frameworks in India: </w:t>
      </w:r>
    </w:p>
    <w:p w:rsidR="001850DB" w:rsidRPr="00557655" w:rsidRDefault="007F66CB" w:rsidP="00557655">
      <w:pPr>
        <w:spacing w:after="0"/>
        <w:jc w:val="both"/>
        <w:rPr>
          <w:rFonts w:ascii="Times New Roman" w:hAnsi="Times New Roman"/>
          <w:sz w:val="20"/>
          <w:szCs w:val="20"/>
        </w:rPr>
      </w:pPr>
      <w:r w:rsidRPr="00557655">
        <w:rPr>
          <w:rFonts w:ascii="Times New Roman" w:hAnsi="Times New Roman"/>
          <w:sz w:val="20"/>
          <w:szCs w:val="20"/>
        </w:rPr>
        <w:t xml:space="preserve">Regulatory Framework in India Postgraduate medical education and specialist qualifications in India are regulated by the National Medical Commission (NMC). Recognized orthopaedic qualifications include:MS (Orthopaedics)DNB (Orthopaedics)MCh (where applicable)University-affiliated or institutionally accredited fellowshipsThe NMC defines standards for curriculum, duration, infrastructure, faculty strength, case volume, and </w:t>
      </w:r>
      <w:r w:rsidRPr="00557655">
        <w:rPr>
          <w:rFonts w:ascii="Times New Roman" w:hAnsi="Times New Roman"/>
          <w:sz w:val="20"/>
          <w:szCs w:val="20"/>
        </w:rPr>
        <w:lastRenderedPageBreak/>
        <w:t>assessment mechanisms. Recognized qualifications carry statutory value in academic promotions, government appointments, and specialist recognition.Most privately organized virtual fellowships, however, are not listed under recognized NMC postgraduate qualifications. They typically issue certificates of participation or completion but do not confer:Statutory specialist statusEligibility advantages in government recruitmentAdditional academic credit under regulated frameworksFormal subspecialty recognitionThis distinction is critical. Trainees may mistakenly equate certificate possession with recognized academic advancement. Lack of clarity in promotional material sometimes contributes to confusion regarding accreditation status.Transparent disclosure of regulatory standing is therefore essential.Evolution of Digital Orthopaedic Education Digital orthopaedic education has evolved significantly over the past decade. Its growth accelerated during the pandemic due to necessity, but its continued use reflects genuine educational advantages.Common digital modalities include:Live webinars and panel discussions Virtual grand roundsOnline fracture meetings Recorded surgical videos International collaborative teaching sessions Social media–based case forums</w:t>
      </w:r>
    </w:p>
    <w:p w:rsidR="001850DB" w:rsidRDefault="007F66CB" w:rsidP="00557655">
      <w:pPr>
        <w:spacing w:after="0"/>
        <w:jc w:val="both"/>
        <w:rPr>
          <w:rFonts w:ascii="Times New Roman" w:hAnsi="Times New Roman"/>
          <w:sz w:val="20"/>
          <w:szCs w:val="20"/>
        </w:rPr>
      </w:pPr>
      <w:r w:rsidRPr="00557655">
        <w:rPr>
          <w:rFonts w:ascii="Times New Roman" w:hAnsi="Times New Roman"/>
          <w:sz w:val="20"/>
          <w:szCs w:val="20"/>
        </w:rPr>
        <w:t>These platforms democratize access to expertise. Residents in peripheral or resource-limited centers can interact with international faculty. Exposure to diverse surgical philosophies broadens perspective. Recorded content allows repeated review.However, orthopaedic training is not solely knowledge-based. It is performance-based. The central question is whether digital exposure translates into measurable operative competence.</w:t>
      </w:r>
    </w:p>
    <w:p w:rsidR="00557655" w:rsidRPr="00557655" w:rsidRDefault="00557655" w:rsidP="00557655">
      <w:pPr>
        <w:spacing w:after="0"/>
        <w:jc w:val="both"/>
        <w:rPr>
          <w:rFonts w:ascii="Times New Roman" w:hAnsi="Times New Roman"/>
          <w:b/>
          <w:sz w:val="20"/>
          <w:szCs w:val="20"/>
        </w:rPr>
      </w:pPr>
      <w:r w:rsidRPr="00557655">
        <w:rPr>
          <w:rFonts w:ascii="Times New Roman" w:hAnsi="Times New Roman"/>
          <w:b/>
          <w:sz w:val="20"/>
          <w:szCs w:val="20"/>
        </w:rPr>
        <w:t xml:space="preserve">Orthopedics competency: </w:t>
      </w:r>
    </w:p>
    <w:p w:rsidR="00557655" w:rsidRDefault="007F66CB" w:rsidP="00557655">
      <w:pPr>
        <w:spacing w:after="0"/>
        <w:jc w:val="both"/>
        <w:rPr>
          <w:rFonts w:ascii="Times New Roman" w:hAnsi="Times New Roman"/>
          <w:sz w:val="20"/>
          <w:szCs w:val="20"/>
        </w:rPr>
      </w:pPr>
      <w:r w:rsidRPr="00557655">
        <w:rPr>
          <w:rFonts w:ascii="Times New Roman" w:hAnsi="Times New Roman"/>
          <w:sz w:val="20"/>
          <w:szCs w:val="20"/>
        </w:rPr>
        <w:t xml:space="preserve">Competency in </w:t>
      </w:r>
      <w:r w:rsidR="00557655" w:rsidRPr="00557655">
        <w:rPr>
          <w:rFonts w:ascii="Times New Roman" w:hAnsi="Times New Roman"/>
          <w:sz w:val="20"/>
          <w:szCs w:val="20"/>
        </w:rPr>
        <w:t>Orthopedics</w:t>
      </w:r>
      <w:r w:rsidRPr="00557655">
        <w:rPr>
          <w:rFonts w:ascii="Times New Roman" w:hAnsi="Times New Roman"/>
          <w:sz w:val="20"/>
          <w:szCs w:val="20"/>
        </w:rPr>
        <w:t xml:space="preserve">: Beyond Didactic Learning The acquisition of surgical expertise has been extensively studied in educational theory. The concept of deliberate practice, described by Ericsson, emphasizes structured repetition, feedback, and progressive challenge as essential components of expertise development. Orthopaedic competence requires mastery of: Fracture reduction techniques Implant positioning and biomechanical alignment Soft tissue handling and preservation Intraoperative adaptability Complication recognition and management Postoperative protocol optimization These skills cannot be acquired through passive observation alone.Limitations of Purely Virtual ModelsVirtual fellowships based predominantly on lectures and recorded surgical videos lack:Tactile feedback Supervised hands-on execution Real-time corrective guidance Objective structured skill assessment Graded operative responsibility Watching a complex acetabular reconstruction or ligament reconstruction does not equate to performing it safely. Surgical judgment develops through supervised exposure to complications and unexpected intraoperative findings—elements that cannot be simulated effectively through lecture-based certification alone. </w:t>
      </w:r>
    </w:p>
    <w:p w:rsidR="00557655" w:rsidRPr="00557655" w:rsidRDefault="00557655" w:rsidP="00557655">
      <w:pPr>
        <w:spacing w:after="0"/>
        <w:jc w:val="both"/>
        <w:rPr>
          <w:rFonts w:ascii="Times New Roman" w:hAnsi="Times New Roman"/>
          <w:b/>
          <w:sz w:val="20"/>
          <w:szCs w:val="20"/>
        </w:rPr>
      </w:pPr>
      <w:r w:rsidRPr="00557655">
        <w:rPr>
          <w:rFonts w:ascii="Times New Roman" w:hAnsi="Times New Roman"/>
          <w:b/>
          <w:sz w:val="20"/>
          <w:szCs w:val="20"/>
        </w:rPr>
        <w:t xml:space="preserve">Results outcome: </w:t>
      </w:r>
    </w:p>
    <w:p w:rsidR="001850DB" w:rsidRPr="00557655" w:rsidRDefault="007F66CB" w:rsidP="00557655">
      <w:pPr>
        <w:spacing w:after="0"/>
        <w:jc w:val="both"/>
        <w:rPr>
          <w:rFonts w:ascii="Times New Roman" w:hAnsi="Times New Roman"/>
          <w:sz w:val="20"/>
          <w:szCs w:val="20"/>
        </w:rPr>
      </w:pPr>
      <w:r w:rsidRPr="00557655">
        <w:rPr>
          <w:rFonts w:ascii="Times New Roman" w:hAnsi="Times New Roman"/>
          <w:sz w:val="20"/>
          <w:szCs w:val="20"/>
        </w:rPr>
        <w:t>Thus, while virtual programs may enrich theoretical understanding, they do not independently establish surgical proficiency.Simulation and Structured Skill Transfer Modern orthopaedic education increasingly incorporates simulation-based learning. Cadaveric laboratories, saw-bone workshops, arthroscopy simulators, and virtual reality modules provide controlled environments for skill rehearsal before live surgery. Simulation offers several advantages:Risk-free practice Standardized scenarios Immediate feedback Repetition without patient harm Confidence building Studies in orthopaedic education have demonstrated improved performance metrics following structured simulation training. Technical errors decrease, efficiency improves, and trainee confidence increases. However, simulation is most effective when integrated within a supervised curriculum—not when delivered as an isolated theoretical adjunct. The Emerging “Certificate Culture” An observable shift among residents and early-career surgeons is the pursuit of multiple fellowship certificates. Motivating factors include: Curriculum vitae enhancement Competitive peer environment Perceived subspecialty branding Social media visibility Institutional expectations While academic ambition is commendable, certificate accumulation without structured skill development presents several risks: False perception of expertise: A certificate may create overconfidence without technical competence. Financial strain: High-fee programs may not proportionately enhance practical capability. Academic dilution: Overuse of the term “fellowship” may undermine the value of structured, hands-on subspecialty training. Patient safety concerns: Perceived subspecialty branding without adequate training may affect clinical decision-making.Professional identity in orthopaedics must remain competency-centered rather than certificate-centered. Economic and Ethical Considerations Virtual fellowships often involve substantial enrollment fees. In an era where high-quality educational resources—standard textbooks, indexed journals, open-access surgical videos, and evidence-based guidelines—are widely available, the value proposition of lecture-based paid certification warrants scrutiny.Ethical considerations include:Clear disclosure of accreditation status, Transparent faculty credentials ,Defined learning objectives ,Objective assessment mechanisms,Avoidance of misleading terminology implying statutory recognition, Educational entrepreneurship is not inherently problematic; innovation in teaching is welcome. However, academic integrity must be preserved. The use of the term “fellowship” traditionally implies immersive, mentored, hands-on subspecialty training within a recognized institution. Dilution of this term risks confusion.The Irreplaceable Role of Mentorship and Clinical Immersion Orthopaedic training is historically apprenticeship-based. The mentor-trainee relationship facilitates:Surgical judgment refinement,Ethical decision-making,Professional conduct modeling,Complication management strategies,Contextual understanding of patient variability,High-volume centers provide exposure to diverse pathologies and intraoperative scenarios that cannot be replicated through screen-based interaction.While digital platforms can connect mentors and mentees, the experiential dimension of surgical apprenticeship remains indispensable.Practical Recommendations For Residents and Early-Career Surgeons Verify accreditation status through official regulatory bodies.Prioritize programs offering hands-on workshops, cadaveric modules, or supervised operative exposure.Maintain detailed surgical logbooks documenting independent and assisted cases.Invest in structured simulation training.Engage in research and peer-reviewed publication to build academic credibility.Seek mentorship in high-volume teaching institutions.Evaluate cost-benefit ratio before enrolling in paid certifications.For Organizing BodiesClearly disclose regulatory status and academic recognition.Incorporate competency-based assessments rather than attendance-based certification.Integrate simulation or practical modules wherever feasible.Avoid terminology suggesting statutory equivalence to recognized qualifications.Promote ethical marketing practices aligned with academic standards.</w:t>
      </w:r>
    </w:p>
    <w:p w:rsidR="00557655" w:rsidRDefault="00557655" w:rsidP="00557655">
      <w:pPr>
        <w:spacing w:after="0"/>
        <w:jc w:val="both"/>
        <w:rPr>
          <w:rFonts w:ascii="Times New Roman" w:hAnsi="Times New Roman"/>
          <w:sz w:val="20"/>
          <w:szCs w:val="20"/>
        </w:rPr>
      </w:pPr>
      <w:r w:rsidRPr="00557655">
        <w:rPr>
          <w:rFonts w:ascii="Times New Roman" w:hAnsi="Times New Roman"/>
          <w:b/>
          <w:sz w:val="20"/>
          <w:szCs w:val="20"/>
        </w:rPr>
        <w:t>Discussion:</w:t>
      </w:r>
    </w:p>
    <w:p w:rsidR="001850DB" w:rsidRPr="00557655" w:rsidRDefault="007F66CB" w:rsidP="00557655">
      <w:pPr>
        <w:spacing w:after="0"/>
        <w:jc w:val="both"/>
        <w:rPr>
          <w:rFonts w:ascii="Times New Roman" w:hAnsi="Times New Roman"/>
          <w:sz w:val="20"/>
          <w:szCs w:val="20"/>
        </w:rPr>
      </w:pPr>
      <w:r w:rsidRPr="00557655">
        <w:rPr>
          <w:rFonts w:ascii="Times New Roman" w:hAnsi="Times New Roman"/>
          <w:sz w:val="20"/>
          <w:szCs w:val="20"/>
        </w:rPr>
        <w:t>Virtual fellowships represent an inevitable evolution in educational dissemination. They reflect technological progress, globalization of expertise, and the desire for flexible learning. Dismissing digital education entirely would be regressive. However, equating virtual certification with structured surgical fellowship training is academically unsound.</w:t>
      </w:r>
    </w:p>
    <w:p w:rsidR="001850DB" w:rsidRPr="00557655" w:rsidRDefault="007F66CB" w:rsidP="00557655">
      <w:pPr>
        <w:spacing w:after="0"/>
        <w:jc w:val="both"/>
        <w:rPr>
          <w:rFonts w:ascii="Times New Roman" w:hAnsi="Times New Roman"/>
          <w:sz w:val="20"/>
          <w:szCs w:val="20"/>
        </w:rPr>
      </w:pPr>
      <w:r w:rsidRPr="00557655">
        <w:rPr>
          <w:rFonts w:ascii="Times New Roman" w:hAnsi="Times New Roman"/>
          <w:sz w:val="20"/>
          <w:szCs w:val="20"/>
        </w:rPr>
        <w:t>The future likely lies in hybrid models—combining digital didactic components with structured, supervised hands-on modules. Competency-based medical education frameworks increasingly emphasize outcomes rather than time-based training. Virtual components may complement such frameworks if integrated thoughtfully.</w:t>
      </w:r>
    </w:p>
    <w:p w:rsidR="001850DB" w:rsidRPr="00557655" w:rsidRDefault="007F66CB" w:rsidP="00557655">
      <w:pPr>
        <w:spacing w:after="0"/>
        <w:jc w:val="both"/>
        <w:rPr>
          <w:rFonts w:ascii="Times New Roman" w:hAnsi="Times New Roman"/>
          <w:sz w:val="20"/>
          <w:szCs w:val="20"/>
        </w:rPr>
      </w:pPr>
      <w:r w:rsidRPr="00557655">
        <w:rPr>
          <w:rFonts w:ascii="Times New Roman" w:hAnsi="Times New Roman"/>
          <w:sz w:val="20"/>
          <w:szCs w:val="20"/>
        </w:rPr>
        <w:t>Regulatory bodies may also need to define guidelines regarding nomenclature, minimum standards, and transparency in fellowship designation to protect trainees and preserve public trust.Orthopaedic surgeons bear ethical responsibility toward patient safety. Educational investments must ultimately translate into improved clinical outcomes—not merely enhanced professional branding.</w:t>
      </w:r>
    </w:p>
    <w:p w:rsidR="001850DB" w:rsidRPr="00557655" w:rsidRDefault="007F66CB" w:rsidP="00557655">
      <w:pPr>
        <w:spacing w:after="0"/>
        <w:jc w:val="both"/>
        <w:rPr>
          <w:rFonts w:ascii="Times New Roman" w:hAnsi="Times New Roman"/>
          <w:b/>
          <w:bCs/>
          <w:sz w:val="20"/>
          <w:szCs w:val="20"/>
        </w:rPr>
      </w:pPr>
      <w:r w:rsidRPr="00557655">
        <w:rPr>
          <w:rFonts w:ascii="Times New Roman" w:hAnsi="Times New Roman"/>
          <w:b/>
          <w:bCs/>
          <w:sz w:val="20"/>
          <w:szCs w:val="20"/>
        </w:rPr>
        <w:t>Conclusion</w:t>
      </w:r>
    </w:p>
    <w:p w:rsidR="001850DB" w:rsidRPr="00557655" w:rsidRDefault="007F66CB" w:rsidP="00557655">
      <w:pPr>
        <w:spacing w:after="0"/>
        <w:jc w:val="both"/>
        <w:rPr>
          <w:rFonts w:ascii="Times New Roman" w:hAnsi="Times New Roman"/>
          <w:sz w:val="20"/>
          <w:szCs w:val="20"/>
        </w:rPr>
      </w:pPr>
      <w:r w:rsidRPr="00557655">
        <w:rPr>
          <w:rFonts w:ascii="Times New Roman" w:hAnsi="Times New Roman"/>
          <w:sz w:val="20"/>
          <w:szCs w:val="20"/>
        </w:rPr>
        <w:t>Virtual fellowships have expanded access to orthopaedic knowledge and global academic interaction. They serve as valuable supplementary tools for theoretical enrichment and networking. However, they cannot substitute structured, supervised, hands-on surgical training that defines true subspecialty expertise.Orthopaedic competence is forged through deliberate practice, mentorship, tactile learning, and reflective clinical experience. Residents and early-career surgeons must critically evaluate educational programs and prioritize validated skill acquisition over certificate accumulation.Preserving academic rigor and patient safety requires clarity, transparency, and commitment to competency-driven training. The orthopaedic community must ensure that innovation in education strengthens—rather than dilutes—the foundations of surgical excellence.Learning Points for Orthopaedic Surgeons:Virtual fellowships are generally not recognized as statutory qualifications under Indian regulatory frameworks.Theoretical exposure does not equate to operative competence.Surgical expertise requires supervised hands-on practice and structured feedback.Simulation enhances but does not replace live operative training.Certificate accumulation should not supersede competency development.Ethical transparency in educational programs is essential for maintaining academic integrity and patient safety.</w:t>
      </w:r>
    </w:p>
    <w:p w:rsidR="00557655" w:rsidRDefault="00557655" w:rsidP="00557655">
      <w:pPr>
        <w:spacing w:after="0"/>
        <w:jc w:val="both"/>
        <w:rPr>
          <w:rFonts w:ascii="Times New Roman" w:hAnsi="Times New Roman"/>
          <w:b/>
          <w:bCs/>
          <w:sz w:val="20"/>
          <w:szCs w:val="20"/>
        </w:rPr>
      </w:pPr>
    </w:p>
    <w:p w:rsidR="00557655" w:rsidRDefault="00557655" w:rsidP="00557655">
      <w:pPr>
        <w:spacing w:after="0"/>
        <w:jc w:val="both"/>
        <w:rPr>
          <w:rFonts w:ascii="Times New Roman" w:hAnsi="Times New Roman"/>
          <w:b/>
          <w:bCs/>
          <w:sz w:val="20"/>
          <w:szCs w:val="20"/>
        </w:rPr>
      </w:pPr>
    </w:p>
    <w:p w:rsidR="00557655" w:rsidRDefault="00557655" w:rsidP="00557655">
      <w:pPr>
        <w:spacing w:after="0"/>
        <w:jc w:val="both"/>
        <w:rPr>
          <w:rFonts w:ascii="Times New Roman" w:hAnsi="Times New Roman"/>
          <w:b/>
          <w:bCs/>
          <w:sz w:val="20"/>
          <w:szCs w:val="20"/>
        </w:rPr>
      </w:pPr>
    </w:p>
    <w:p w:rsidR="00557655" w:rsidRDefault="00557655" w:rsidP="00557655">
      <w:pPr>
        <w:spacing w:after="0"/>
        <w:jc w:val="both"/>
        <w:rPr>
          <w:rFonts w:ascii="Times New Roman" w:hAnsi="Times New Roman"/>
          <w:b/>
          <w:bCs/>
          <w:sz w:val="20"/>
          <w:szCs w:val="20"/>
        </w:rPr>
      </w:pPr>
      <w:r>
        <w:rPr>
          <w:rFonts w:ascii="Times New Roman" w:hAnsi="Times New Roman"/>
          <w:b/>
          <w:bCs/>
          <w:sz w:val="20"/>
          <w:szCs w:val="20"/>
        </w:rPr>
        <w:t xml:space="preserve">References </w:t>
      </w:r>
    </w:p>
    <w:p w:rsidR="00557655" w:rsidRPr="00557655" w:rsidRDefault="00557655" w:rsidP="00557655">
      <w:pPr>
        <w:spacing w:after="0"/>
        <w:jc w:val="both"/>
        <w:rPr>
          <w:rFonts w:ascii="Times New Roman" w:hAnsi="Times New Roman"/>
          <w:b/>
          <w:bCs/>
          <w:sz w:val="20"/>
          <w:szCs w:val="20"/>
        </w:rPr>
      </w:pPr>
    </w:p>
    <w:p w:rsidR="001850DB" w:rsidRPr="00557655" w:rsidRDefault="007F66CB" w:rsidP="00557655">
      <w:pPr>
        <w:numPr>
          <w:ilvl w:val="0"/>
          <w:numId w:val="1"/>
        </w:numPr>
        <w:spacing w:after="0"/>
        <w:jc w:val="both"/>
        <w:rPr>
          <w:rFonts w:ascii="Times New Roman" w:hAnsi="Times New Roman"/>
          <w:sz w:val="20"/>
          <w:szCs w:val="20"/>
        </w:rPr>
      </w:pPr>
      <w:r w:rsidRPr="00557655">
        <w:rPr>
          <w:rFonts w:ascii="Times New Roman" w:hAnsi="Times New Roman"/>
          <w:sz w:val="20"/>
          <w:szCs w:val="20"/>
        </w:rPr>
        <w:t>Chick RC, Clifton GT, Peace KM, et al. Using technology to maintain the education of residents during the COVID-19 pandemic. J Surg Educ. 2020;77(4):729–732.</w:t>
      </w:r>
    </w:p>
    <w:p w:rsidR="001850DB" w:rsidRPr="00557655" w:rsidRDefault="007F66CB" w:rsidP="00557655">
      <w:pPr>
        <w:numPr>
          <w:ilvl w:val="0"/>
          <w:numId w:val="1"/>
        </w:numPr>
        <w:spacing w:after="0"/>
        <w:jc w:val="both"/>
        <w:rPr>
          <w:rFonts w:ascii="Times New Roman" w:hAnsi="Times New Roman"/>
          <w:sz w:val="20"/>
          <w:szCs w:val="20"/>
        </w:rPr>
      </w:pPr>
      <w:r w:rsidRPr="00557655">
        <w:rPr>
          <w:rFonts w:ascii="Times New Roman" w:hAnsi="Times New Roman"/>
          <w:sz w:val="20"/>
          <w:szCs w:val="20"/>
        </w:rPr>
        <w:t>Atesok K, Hurwitz SR, Egol KA. Simulation-based education in orthopaedic surgery. J Am Acad Orthop Surg. 2012;20(7):410–422.</w:t>
      </w:r>
    </w:p>
    <w:p w:rsidR="001850DB" w:rsidRPr="00557655" w:rsidRDefault="007F66CB" w:rsidP="00557655">
      <w:pPr>
        <w:numPr>
          <w:ilvl w:val="0"/>
          <w:numId w:val="1"/>
        </w:numPr>
        <w:spacing w:after="0"/>
        <w:jc w:val="both"/>
        <w:rPr>
          <w:rFonts w:ascii="Times New Roman" w:hAnsi="Times New Roman"/>
          <w:sz w:val="20"/>
          <w:szCs w:val="20"/>
        </w:rPr>
      </w:pPr>
      <w:r w:rsidRPr="00557655">
        <w:rPr>
          <w:rFonts w:ascii="Times New Roman" w:hAnsi="Times New Roman"/>
          <w:sz w:val="20"/>
          <w:szCs w:val="20"/>
        </w:rPr>
        <w:t>Cannon WD Jr, Eckhoff DG, Garrett WE Jr, et al. Development of a virtual reality simulator for arthroscopic surgery of the knee joint. Clin Orthop Relat Res. 2006;442:21–29.</w:t>
      </w:r>
    </w:p>
    <w:p w:rsidR="00557655" w:rsidRDefault="007F66CB" w:rsidP="00557655">
      <w:pPr>
        <w:numPr>
          <w:ilvl w:val="0"/>
          <w:numId w:val="1"/>
        </w:numPr>
        <w:spacing w:after="0"/>
        <w:jc w:val="both"/>
        <w:rPr>
          <w:rFonts w:ascii="Times New Roman" w:hAnsi="Times New Roman"/>
          <w:sz w:val="20"/>
          <w:szCs w:val="20"/>
        </w:rPr>
      </w:pPr>
      <w:r w:rsidRPr="00557655">
        <w:rPr>
          <w:rFonts w:ascii="Times New Roman" w:hAnsi="Times New Roman"/>
          <w:sz w:val="20"/>
          <w:szCs w:val="20"/>
        </w:rPr>
        <w:t>Ericsson KA. Deliberate practice and acquisition of expert performance. Psychol Rev. 1993;100(3):363–406.</w:t>
      </w:r>
    </w:p>
    <w:p w:rsidR="001850DB" w:rsidRPr="00557655" w:rsidRDefault="007F66CB" w:rsidP="00557655">
      <w:pPr>
        <w:numPr>
          <w:ilvl w:val="0"/>
          <w:numId w:val="1"/>
        </w:numPr>
        <w:spacing w:after="0"/>
        <w:jc w:val="both"/>
        <w:rPr>
          <w:rFonts w:ascii="Times New Roman" w:hAnsi="Times New Roman"/>
          <w:sz w:val="20"/>
          <w:szCs w:val="20"/>
        </w:rPr>
      </w:pPr>
      <w:r w:rsidRPr="00557655">
        <w:rPr>
          <w:rFonts w:ascii="Times New Roman" w:hAnsi="Times New Roman"/>
          <w:sz w:val="20"/>
          <w:szCs w:val="20"/>
        </w:rPr>
        <w:t>Postgraduate Medical Education Regulations. National Medical Commission, Government of India.</w:t>
      </w:r>
      <w:r w:rsidR="00557655">
        <w:rPr>
          <w:rFonts w:ascii="Times New Roman" w:hAnsi="Times New Roman"/>
          <w:sz w:val="20"/>
          <w:szCs w:val="20"/>
        </w:rPr>
        <w:t>, 2024</w:t>
      </w:r>
    </w:p>
    <w:p w:rsidR="00557655" w:rsidRPr="00557655" w:rsidRDefault="00557655" w:rsidP="00557655">
      <w:pPr>
        <w:spacing w:after="0"/>
        <w:ind w:left="360"/>
        <w:jc w:val="both"/>
        <w:rPr>
          <w:rFonts w:ascii="Times New Roman" w:hAnsi="Times New Roman"/>
          <w:sz w:val="20"/>
          <w:szCs w:val="20"/>
        </w:rPr>
      </w:pPr>
    </w:p>
    <w:p w:rsidR="001850DB" w:rsidRPr="00557655" w:rsidRDefault="001850DB" w:rsidP="00557655">
      <w:pPr>
        <w:spacing w:after="0"/>
        <w:jc w:val="both"/>
        <w:rPr>
          <w:rFonts w:ascii="Times New Roman" w:hAnsi="Times New Roman"/>
          <w:sz w:val="20"/>
          <w:szCs w:val="20"/>
        </w:rPr>
      </w:pPr>
    </w:p>
    <w:sectPr w:rsidR="001850DB" w:rsidRPr="00557655" w:rsidSect="00557655">
      <w:headerReference w:type="default" r:id="rId8"/>
      <w:footerReference w:type="default" r:id="rId9"/>
      <w:pgSz w:w="12240" w:h="15840"/>
      <w:pgMar w:top="1440" w:right="1440" w:bottom="1440" w:left="1440" w:header="720" w:footer="0" w:gutter="0"/>
      <w:pgNumType w:start="2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DDA" w:rsidRDefault="00994DDA" w:rsidP="00557655">
      <w:pPr>
        <w:spacing w:after="0" w:line="240" w:lineRule="auto"/>
      </w:pPr>
      <w:r>
        <w:separator/>
      </w:r>
    </w:p>
  </w:endnote>
  <w:endnote w:type="continuationSeparator" w:id="0">
    <w:p w:rsidR="00994DDA" w:rsidRDefault="00994DDA" w:rsidP="00557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655" w:rsidRDefault="00557655">
    <w:pPr>
      <w:pStyle w:val="Footer"/>
      <w:jc w:val="right"/>
    </w:pPr>
    <w:r>
      <w:fldChar w:fldCharType="begin"/>
    </w:r>
    <w:r>
      <w:instrText xml:space="preserve"> PAGE   \* MERGEFORMAT </w:instrText>
    </w:r>
    <w:r>
      <w:fldChar w:fldCharType="separate"/>
    </w:r>
    <w:r w:rsidR="00994DDA">
      <w:rPr>
        <w:noProof/>
      </w:rPr>
      <w:t>28</w:t>
    </w:r>
    <w:r>
      <w:rPr>
        <w:noProof/>
      </w:rPr>
      <w:fldChar w:fldCharType="end"/>
    </w:r>
  </w:p>
  <w:p w:rsidR="00557655" w:rsidRPr="00315670" w:rsidRDefault="00557655" w:rsidP="00557655">
    <w:pPr>
      <w:pStyle w:val="Footer"/>
    </w:pPr>
    <w:r w:rsidRPr="00315670">
      <w:rPr>
        <w:i/>
      </w:rPr>
      <w:t>www.ijbamr.com   P ISSN: 2250-284X, E ISSN: 2250-2858</w:t>
    </w:r>
  </w:p>
  <w:p w:rsidR="00557655" w:rsidRDefault="005576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DDA" w:rsidRDefault="00994DDA" w:rsidP="00557655">
      <w:pPr>
        <w:spacing w:after="0" w:line="240" w:lineRule="auto"/>
      </w:pPr>
      <w:r>
        <w:separator/>
      </w:r>
    </w:p>
  </w:footnote>
  <w:footnote w:type="continuationSeparator" w:id="0">
    <w:p w:rsidR="00994DDA" w:rsidRDefault="00994DDA" w:rsidP="005576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7655" w:rsidRPr="00557655" w:rsidRDefault="00557655" w:rsidP="00557655">
    <w:pPr>
      <w:tabs>
        <w:tab w:val="center" w:pos="4513"/>
        <w:tab w:val="right" w:pos="9026"/>
      </w:tabs>
      <w:spacing w:after="0" w:line="240" w:lineRule="auto"/>
      <w:jc w:val="center"/>
      <w:rPr>
        <w:rFonts w:ascii="Cambria" w:eastAsia="Calibri" w:hAnsi="Cambria"/>
        <w:i/>
        <w:sz w:val="20"/>
        <w:szCs w:val="20"/>
        <w:lang w:val="en-IN" w:eastAsia="en-US"/>
      </w:rPr>
    </w:pPr>
    <w:r w:rsidRPr="00557655">
      <w:rPr>
        <w:rFonts w:ascii="Cambria" w:eastAsia="Calibri" w:hAnsi="Cambria"/>
        <w:i/>
        <w:sz w:val="20"/>
        <w:szCs w:val="20"/>
        <w:lang w:val="en-IN" w:eastAsia="en-US"/>
      </w:rPr>
      <w:t xml:space="preserve">Indian Journal of Basic and Applied Medical Research; June 2026: Vol.-15, Issue-2, P. </w:t>
    </w:r>
    <w:r>
      <w:rPr>
        <w:rFonts w:ascii="Cambria" w:eastAsia="Calibri" w:hAnsi="Cambria"/>
        <w:i/>
        <w:sz w:val="20"/>
        <w:szCs w:val="20"/>
        <w:lang w:val="en-IN" w:eastAsia="en-US"/>
      </w:rPr>
      <w:t>28 - 31</w:t>
    </w:r>
  </w:p>
  <w:p w:rsidR="00557655" w:rsidRDefault="005576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CE5617"/>
    <w:multiLevelType w:val="hybridMultilevel"/>
    <w:tmpl w:val="07AEE4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20"/>
  <w:doNotShadeFormData/>
  <w:characterSpacingControl w:val="doNotCompress"/>
  <w:savePreviewPicture/>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850DB"/>
    <w:rsid w:val="001850DB"/>
    <w:rsid w:val="00557655"/>
    <w:rsid w:val="007F66CB"/>
    <w:rsid w:val="00994D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zh-CN"/>
    </w:rPr>
  </w:style>
  <w:style w:type="paragraph" w:styleId="Heading1">
    <w:name w:val="heading 1"/>
    <w:basedOn w:val="Normal"/>
    <w:next w:val="Normal"/>
    <w:link w:val="Heading1Char"/>
    <w:uiPriority w:val="9"/>
    <w:qFormat/>
    <w:pPr>
      <w:keepNext/>
      <w:keepLines/>
      <w:spacing w:before="480" w:after="0"/>
      <w:outlineLvl w:val="0"/>
    </w:pPr>
    <w:rPr>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b/>
      <w:bCs/>
      <w:color w:val="365F91"/>
      <w:sz w:val="28"/>
      <w:szCs w:val="28"/>
    </w:rPr>
  </w:style>
  <w:style w:type="paragraph" w:styleId="Header">
    <w:name w:val="header"/>
    <w:basedOn w:val="Normal"/>
    <w:link w:val="HeaderChar"/>
    <w:uiPriority w:val="99"/>
    <w:unhideWhenUsed/>
    <w:rsid w:val="00557655"/>
    <w:pPr>
      <w:tabs>
        <w:tab w:val="center" w:pos="4513"/>
        <w:tab w:val="right" w:pos="9026"/>
      </w:tabs>
    </w:pPr>
  </w:style>
  <w:style w:type="character" w:customStyle="1" w:styleId="HeaderChar">
    <w:name w:val="Header Char"/>
    <w:link w:val="Header"/>
    <w:uiPriority w:val="99"/>
    <w:rsid w:val="00557655"/>
    <w:rPr>
      <w:sz w:val="22"/>
      <w:szCs w:val="22"/>
      <w:lang w:val="en-US" w:eastAsia="zh-CN"/>
    </w:rPr>
  </w:style>
  <w:style w:type="paragraph" w:styleId="Footer">
    <w:name w:val="footer"/>
    <w:basedOn w:val="Normal"/>
    <w:link w:val="FooterChar"/>
    <w:uiPriority w:val="99"/>
    <w:unhideWhenUsed/>
    <w:rsid w:val="00557655"/>
    <w:pPr>
      <w:tabs>
        <w:tab w:val="center" w:pos="4513"/>
        <w:tab w:val="right" w:pos="9026"/>
      </w:tabs>
    </w:pPr>
  </w:style>
  <w:style w:type="character" w:customStyle="1" w:styleId="FooterChar">
    <w:name w:val="Footer Char"/>
    <w:link w:val="Footer"/>
    <w:uiPriority w:val="99"/>
    <w:rsid w:val="00557655"/>
    <w:rPr>
      <w:sz w:val="22"/>
      <w:szCs w:val="22"/>
      <w:lang w:val="en-US" w:eastAsia="zh-CN"/>
    </w:rPr>
  </w:style>
  <w:style w:type="paragraph" w:styleId="BalloonText">
    <w:name w:val="Balloon Text"/>
    <w:basedOn w:val="Normal"/>
    <w:link w:val="BalloonTextChar"/>
    <w:uiPriority w:val="99"/>
    <w:semiHidden/>
    <w:unhideWhenUsed/>
    <w:rsid w:val="0055765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57655"/>
    <w:rPr>
      <w:rFonts w:ascii="Tahoma" w:hAnsi="Tahoma" w:cs="Tahoma"/>
      <w:sz w:val="16"/>
      <w:szCs w:val="1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2176</Words>
  <Characters>12407</Characters>
  <Application>Microsoft Office Word</Application>
  <DocSecurity>0</DocSecurity>
  <Lines>103</Lines>
  <Paragraphs>29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Original article </vt:lpstr>
      <vt:lpstr>Virtual Orthopaedic Fellowships: Educational Value, Regulatory Perspectives, and</vt:lpstr>
    </vt:vector>
  </TitlesOfParts>
  <Company>HP</Company>
  <LinksUpToDate>false</LinksUpToDate>
  <CharactersWithSpaces>14554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CPH2707</dc:creator>
  <cp:lastModifiedBy>RDRL</cp:lastModifiedBy>
  <cp:revision>4</cp:revision>
  <cp:lastPrinted>2026-08-11T10:52:00Z</cp:lastPrinted>
  <dcterms:created xsi:type="dcterms:W3CDTF">2026-07-22T07:21:00Z</dcterms:created>
  <dcterms:modified xsi:type="dcterms:W3CDTF">2026-08-11T10:53:00Z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de3f01693b874ca482413014b1d3752a_23</vt:lpwstr>
  </property>
</Properties>
</file>