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FA1" w:rsidRDefault="00053FA1">
      <w:pPr>
        <w:rPr>
          <w:lang w:val="en-US"/>
        </w:rPr>
      </w:pPr>
    </w:p>
    <w:p w:rsidR="005C3A2E" w:rsidRDefault="005C3A2E">
      <w:pPr>
        <w:rPr>
          <w:lang w:val="en-US"/>
        </w:rPr>
      </w:pPr>
    </w:p>
    <w:p w:rsidR="005C3A2E" w:rsidRDefault="005C3A2E" w:rsidP="005C3A2E">
      <w:pPr>
        <w:pStyle w:val="Default"/>
      </w:pPr>
    </w:p>
    <w:p w:rsidR="005C3A2E" w:rsidRDefault="005C3A2E" w:rsidP="005C3A2E">
      <w:pPr>
        <w:pStyle w:val="Default"/>
        <w:rPr>
          <w:sz w:val="20"/>
          <w:szCs w:val="20"/>
        </w:rPr>
      </w:pPr>
      <w:r>
        <w:t xml:space="preserve"> </w:t>
      </w:r>
      <w:r>
        <w:rPr>
          <w:sz w:val="20"/>
          <w:szCs w:val="20"/>
        </w:rPr>
        <w:t xml:space="preserve">Indian Journal of Basic &amp; Applied Medical Research; March 2014: Vol.-3, Issue- 2, P. 784-790 </w:t>
      </w:r>
    </w:p>
    <w:p w:rsidR="005C3A2E" w:rsidRDefault="005C3A2E" w:rsidP="005C3A2E">
      <w:pPr>
        <w:pStyle w:val="Default"/>
        <w:rPr>
          <w:color w:val="auto"/>
        </w:rPr>
      </w:pPr>
    </w:p>
    <w:p w:rsidR="005C3A2E" w:rsidRDefault="005C3A2E" w:rsidP="005C3A2E">
      <w:pPr>
        <w:pStyle w:val="Default"/>
        <w:rPr>
          <w:color w:val="auto"/>
        </w:rPr>
      </w:pPr>
    </w:p>
    <w:p w:rsidR="005C3A2E" w:rsidRDefault="005C3A2E" w:rsidP="005C3A2E">
      <w:pPr>
        <w:pStyle w:val="Default"/>
        <w:rPr>
          <w:rFonts w:ascii="Cambria" w:hAnsi="Cambria" w:cs="Cambria"/>
          <w:b/>
          <w:bCs/>
          <w:color w:val="auto"/>
          <w:sz w:val="23"/>
          <w:szCs w:val="23"/>
        </w:rPr>
      </w:pPr>
      <w:r>
        <w:rPr>
          <w:color w:val="auto"/>
        </w:rPr>
        <w:t xml:space="preserve"> </w:t>
      </w:r>
      <w:r>
        <w:rPr>
          <w:rFonts w:ascii="Cambria" w:hAnsi="Cambria" w:cs="Cambria"/>
          <w:b/>
          <w:bCs/>
          <w:color w:val="auto"/>
          <w:sz w:val="23"/>
          <w:szCs w:val="23"/>
        </w:rPr>
        <w:t xml:space="preserve">Original article: </w:t>
      </w:r>
    </w:p>
    <w:p w:rsidR="005C3A2E" w:rsidRDefault="005C3A2E" w:rsidP="005C3A2E">
      <w:pPr>
        <w:pStyle w:val="Default"/>
        <w:rPr>
          <w:sz w:val="28"/>
          <w:szCs w:val="28"/>
        </w:rPr>
      </w:pPr>
      <w:r>
        <w:rPr>
          <w:rFonts w:ascii="Cambria" w:hAnsi="Cambria" w:cs="Cambria"/>
          <w:b/>
          <w:bCs/>
          <w:color w:val="1F487C"/>
          <w:sz w:val="28"/>
          <w:szCs w:val="28"/>
        </w:rPr>
        <w:t xml:space="preserve">Bacteriological Profile and Antibiotic Sensitivity Patterns in Acne Vulgaris: A </w:t>
      </w:r>
      <w:proofErr w:type="spellStart"/>
      <w:r>
        <w:rPr>
          <w:rFonts w:ascii="Cambria" w:hAnsi="Cambria" w:cs="Cambria"/>
          <w:b/>
          <w:bCs/>
          <w:color w:val="1F487C"/>
          <w:sz w:val="28"/>
          <w:szCs w:val="28"/>
        </w:rPr>
        <w:t>Clinico</w:t>
      </w:r>
      <w:proofErr w:type="spellEnd"/>
      <w:r>
        <w:rPr>
          <w:rFonts w:ascii="Cambria" w:hAnsi="Cambria" w:cs="Cambria"/>
          <w:b/>
          <w:bCs/>
          <w:color w:val="1F487C"/>
          <w:sz w:val="28"/>
          <w:szCs w:val="28"/>
        </w:rPr>
        <w:t xml:space="preserve">-microbiological Study </w:t>
      </w:r>
    </w:p>
    <w:p w:rsidR="005C3A2E" w:rsidRDefault="005C3A2E" w:rsidP="005C3A2E">
      <w:pPr>
        <w:pStyle w:val="Default"/>
        <w:rPr>
          <w:rFonts w:ascii="Cambria" w:hAnsi="Cambria" w:cs="Cambria"/>
          <w:b/>
          <w:bCs/>
          <w:sz w:val="13"/>
          <w:szCs w:val="13"/>
        </w:rPr>
      </w:pPr>
      <w:proofErr w:type="spellStart"/>
      <w:r>
        <w:rPr>
          <w:rFonts w:ascii="Cambria" w:hAnsi="Cambria" w:cs="Cambria"/>
          <w:b/>
          <w:bCs/>
          <w:sz w:val="20"/>
          <w:szCs w:val="20"/>
        </w:rPr>
        <w:t>Shalini</w:t>
      </w:r>
      <w:proofErr w:type="spellEnd"/>
      <w:r>
        <w:rPr>
          <w:rFonts w:ascii="Cambria" w:hAnsi="Cambria" w:cs="Cambria"/>
          <w:b/>
          <w:bCs/>
          <w:sz w:val="20"/>
          <w:szCs w:val="20"/>
        </w:rPr>
        <w:t xml:space="preserve"> Gupta</w:t>
      </w:r>
      <w:r>
        <w:rPr>
          <w:rFonts w:ascii="Cambria" w:hAnsi="Cambria" w:cs="Cambria"/>
          <w:b/>
          <w:bCs/>
          <w:sz w:val="13"/>
          <w:szCs w:val="13"/>
        </w:rPr>
        <w:t>1</w:t>
      </w:r>
      <w:r>
        <w:rPr>
          <w:rFonts w:ascii="Cambria" w:hAnsi="Cambria" w:cs="Cambria"/>
          <w:b/>
          <w:bCs/>
          <w:sz w:val="20"/>
          <w:szCs w:val="20"/>
        </w:rPr>
        <w:t xml:space="preserve">, </w:t>
      </w:r>
      <w:proofErr w:type="spellStart"/>
      <w:r>
        <w:rPr>
          <w:rFonts w:ascii="Cambria" w:hAnsi="Cambria" w:cs="Cambria"/>
          <w:b/>
          <w:bCs/>
          <w:sz w:val="20"/>
          <w:szCs w:val="20"/>
        </w:rPr>
        <w:t>Smita</w:t>
      </w:r>
      <w:proofErr w:type="spellEnd"/>
      <w:r>
        <w:rPr>
          <w:rFonts w:ascii="Cambria" w:hAnsi="Cambria" w:cs="Cambria"/>
          <w:b/>
          <w:bCs/>
          <w:sz w:val="20"/>
          <w:szCs w:val="20"/>
        </w:rPr>
        <w:t xml:space="preserve"> Sood</w:t>
      </w:r>
      <w:r>
        <w:rPr>
          <w:rFonts w:ascii="Cambria" w:hAnsi="Cambria" w:cs="Cambria"/>
          <w:b/>
          <w:bCs/>
          <w:sz w:val="13"/>
          <w:szCs w:val="13"/>
        </w:rPr>
        <w:t xml:space="preserve">2 </w:t>
      </w:r>
    </w:p>
    <w:p w:rsidR="005C3A2E" w:rsidRDefault="005C3A2E" w:rsidP="005C3A2E">
      <w:pPr>
        <w:pStyle w:val="Default"/>
        <w:rPr>
          <w:sz w:val="13"/>
          <w:szCs w:val="13"/>
        </w:rPr>
      </w:pPr>
    </w:p>
    <w:p w:rsidR="005C3A2E" w:rsidRDefault="005C3A2E" w:rsidP="005C3A2E">
      <w:pPr>
        <w:pStyle w:val="Default"/>
        <w:jc w:val="both"/>
        <w:rPr>
          <w:sz w:val="18"/>
          <w:szCs w:val="18"/>
        </w:rPr>
      </w:pPr>
      <w:r>
        <w:rPr>
          <w:rFonts w:ascii="Cambria" w:hAnsi="Cambria" w:cs="Cambria"/>
          <w:sz w:val="12"/>
          <w:szCs w:val="12"/>
        </w:rPr>
        <w:t>1,2</w:t>
      </w:r>
      <w:r>
        <w:rPr>
          <w:rFonts w:ascii="Cambria" w:hAnsi="Cambria" w:cs="Cambria"/>
          <w:sz w:val="18"/>
          <w:szCs w:val="18"/>
        </w:rPr>
        <w:t xml:space="preserve">Assistant Professor, Department of Microbiology, National Institute of Medical Sciences &amp; Research, NIMS University, Jaipur, Rajasthan, India. </w:t>
      </w:r>
    </w:p>
    <w:p w:rsidR="005C3A2E" w:rsidRDefault="005C3A2E" w:rsidP="005C3A2E">
      <w:pPr>
        <w:pStyle w:val="Default"/>
        <w:jc w:val="both"/>
        <w:rPr>
          <w:sz w:val="18"/>
          <w:szCs w:val="18"/>
        </w:rPr>
      </w:pPr>
      <w:r>
        <w:rPr>
          <w:rFonts w:ascii="Cambria" w:hAnsi="Cambria" w:cs="Cambria"/>
          <w:sz w:val="18"/>
          <w:szCs w:val="18"/>
        </w:rPr>
        <w:t xml:space="preserve">Corresponding Author: </w:t>
      </w:r>
      <w:proofErr w:type="spellStart"/>
      <w:r>
        <w:rPr>
          <w:rFonts w:ascii="Cambria" w:hAnsi="Cambria" w:cs="Cambria"/>
          <w:sz w:val="18"/>
          <w:szCs w:val="18"/>
        </w:rPr>
        <w:t>Dr.</w:t>
      </w:r>
      <w:proofErr w:type="spellEnd"/>
      <w:r>
        <w:rPr>
          <w:rFonts w:ascii="Cambria" w:hAnsi="Cambria" w:cs="Cambria"/>
          <w:sz w:val="18"/>
          <w:szCs w:val="18"/>
        </w:rPr>
        <w:t xml:space="preserve"> </w:t>
      </w:r>
      <w:proofErr w:type="spellStart"/>
      <w:r>
        <w:rPr>
          <w:rFonts w:ascii="Cambria" w:hAnsi="Cambria" w:cs="Cambria"/>
          <w:sz w:val="18"/>
          <w:szCs w:val="18"/>
        </w:rPr>
        <w:t>Smita</w:t>
      </w:r>
      <w:proofErr w:type="spellEnd"/>
      <w:r>
        <w:rPr>
          <w:rFonts w:ascii="Cambria" w:hAnsi="Cambria" w:cs="Cambria"/>
          <w:sz w:val="18"/>
          <w:szCs w:val="18"/>
        </w:rPr>
        <w:t xml:space="preserve"> </w:t>
      </w:r>
      <w:proofErr w:type="spellStart"/>
      <w:r>
        <w:rPr>
          <w:rFonts w:ascii="Cambria" w:hAnsi="Cambria" w:cs="Cambria"/>
          <w:sz w:val="18"/>
          <w:szCs w:val="18"/>
        </w:rPr>
        <w:t>Sood</w:t>
      </w:r>
      <w:proofErr w:type="spellEnd"/>
      <w:r>
        <w:rPr>
          <w:rFonts w:ascii="Cambria" w:hAnsi="Cambria" w:cs="Cambria"/>
          <w:sz w:val="18"/>
          <w:szCs w:val="18"/>
        </w:rPr>
        <w:t xml:space="preserve">, Assistant Professor, Department of Microbiology, National Institute of Medical Sciences &amp; Research, NIMS University, Jaipur, Rajasthan, India. </w:t>
      </w:r>
    </w:p>
    <w:p w:rsidR="005C3A2E" w:rsidRDefault="005C3A2E" w:rsidP="005C3A2E">
      <w:pPr>
        <w:pStyle w:val="Default"/>
        <w:jc w:val="both"/>
        <w:rPr>
          <w:rFonts w:ascii="Cambria" w:hAnsi="Cambria" w:cs="Cambria"/>
          <w:sz w:val="18"/>
          <w:szCs w:val="18"/>
        </w:rPr>
      </w:pPr>
      <w:r>
        <w:rPr>
          <w:rFonts w:ascii="Cambria" w:hAnsi="Cambria" w:cs="Cambria"/>
          <w:sz w:val="18"/>
          <w:szCs w:val="18"/>
        </w:rPr>
        <w:t xml:space="preserve">Date of submission: 21 February 2014, Date of acceptance: 27 March 2014 </w:t>
      </w:r>
      <w:bookmarkStart w:id="0" w:name="_GoBack"/>
      <w:bookmarkEnd w:id="0"/>
    </w:p>
    <w:p w:rsidR="005C3A2E" w:rsidRDefault="005C3A2E" w:rsidP="005C3A2E">
      <w:pPr>
        <w:pStyle w:val="Default"/>
        <w:jc w:val="both"/>
        <w:rPr>
          <w:sz w:val="18"/>
          <w:szCs w:val="18"/>
        </w:rPr>
      </w:pPr>
    </w:p>
    <w:p w:rsidR="005C3A2E" w:rsidRDefault="005C3A2E" w:rsidP="005C3A2E">
      <w:pPr>
        <w:pStyle w:val="Default"/>
        <w:jc w:val="both"/>
        <w:rPr>
          <w:sz w:val="20"/>
          <w:szCs w:val="20"/>
        </w:rPr>
      </w:pPr>
      <w:r>
        <w:rPr>
          <w:b/>
          <w:bCs/>
          <w:sz w:val="20"/>
          <w:szCs w:val="20"/>
        </w:rPr>
        <w:t xml:space="preserve">Abstract </w:t>
      </w:r>
    </w:p>
    <w:p w:rsidR="005C3A2E" w:rsidRDefault="005C3A2E" w:rsidP="005C3A2E">
      <w:pPr>
        <w:pStyle w:val="Default"/>
        <w:jc w:val="both"/>
        <w:rPr>
          <w:sz w:val="18"/>
          <w:szCs w:val="18"/>
        </w:rPr>
      </w:pPr>
      <w:r>
        <w:rPr>
          <w:b/>
          <w:bCs/>
          <w:sz w:val="18"/>
          <w:szCs w:val="18"/>
        </w:rPr>
        <w:t xml:space="preserve">Background: </w:t>
      </w:r>
      <w:r>
        <w:rPr>
          <w:sz w:val="18"/>
          <w:szCs w:val="18"/>
        </w:rPr>
        <w:t xml:space="preserve">Acne vulgaris is a frequently encountered inflammatory condition involving the </w:t>
      </w:r>
      <w:proofErr w:type="spellStart"/>
      <w:r>
        <w:rPr>
          <w:sz w:val="18"/>
          <w:szCs w:val="18"/>
        </w:rPr>
        <w:t>pilosebaceous</w:t>
      </w:r>
      <w:proofErr w:type="spellEnd"/>
      <w:r>
        <w:rPr>
          <w:sz w:val="18"/>
          <w:szCs w:val="18"/>
        </w:rPr>
        <w:t xml:space="preserve"> unit, commonly affecting adolescents and young adults. The increasing use of antimicrobial agents in its management has raised concerns regarding the emergence of resistant bacterial strains, which may influence therapeutic outcomes. Understanding the microbial profile and antibiotic susceptibility patterns is therefore important for guiding appropriate treatment strategies. </w:t>
      </w:r>
    </w:p>
    <w:p w:rsidR="005C3A2E" w:rsidRDefault="005C3A2E" w:rsidP="005C3A2E">
      <w:pPr>
        <w:pStyle w:val="Default"/>
        <w:jc w:val="both"/>
        <w:rPr>
          <w:sz w:val="18"/>
          <w:szCs w:val="18"/>
        </w:rPr>
      </w:pPr>
      <w:r>
        <w:rPr>
          <w:b/>
          <w:bCs/>
          <w:sz w:val="18"/>
          <w:szCs w:val="18"/>
        </w:rPr>
        <w:t xml:space="preserve">Objective: </w:t>
      </w:r>
      <w:r>
        <w:rPr>
          <w:sz w:val="18"/>
          <w:szCs w:val="18"/>
        </w:rPr>
        <w:t xml:space="preserve">To evaluate the bacteriological profile of acne vulgaris and determine the antibiotic susceptibility patterns of isolated organisms. </w:t>
      </w:r>
    </w:p>
    <w:p w:rsidR="005C3A2E" w:rsidRDefault="005C3A2E" w:rsidP="005C3A2E">
      <w:pPr>
        <w:pStyle w:val="Default"/>
        <w:jc w:val="both"/>
        <w:rPr>
          <w:sz w:val="18"/>
          <w:szCs w:val="18"/>
        </w:rPr>
      </w:pPr>
      <w:r>
        <w:rPr>
          <w:b/>
          <w:bCs/>
          <w:sz w:val="18"/>
          <w:szCs w:val="18"/>
        </w:rPr>
        <w:t xml:space="preserve">Methods: </w:t>
      </w:r>
      <w:r>
        <w:rPr>
          <w:sz w:val="18"/>
          <w:szCs w:val="18"/>
        </w:rPr>
        <w:t xml:space="preserve">This </w:t>
      </w:r>
      <w:proofErr w:type="spellStart"/>
      <w:r>
        <w:rPr>
          <w:sz w:val="18"/>
          <w:szCs w:val="18"/>
        </w:rPr>
        <w:t>clinico</w:t>
      </w:r>
      <w:proofErr w:type="spellEnd"/>
      <w:r>
        <w:rPr>
          <w:sz w:val="18"/>
          <w:szCs w:val="18"/>
        </w:rPr>
        <w:t xml:space="preserve">-microbiological study was conducted over one year at Department of Microbiology, National Institute of Medical Sciences &amp; Research, NIMS University, Jaipur, Rajasthan (India) and included 120 patients diagnosed with acne vulgaris. Samples obtained from inflammatory lesions were processed using standard microbiological techniques. Bacterial isolates were identified, and antibiotic susceptibility testing was performed using the Kirby-Bauer disc diffusion method. </w:t>
      </w:r>
    </w:p>
    <w:p w:rsidR="005C3A2E" w:rsidRDefault="005C3A2E" w:rsidP="005C3A2E">
      <w:pPr>
        <w:pStyle w:val="Default"/>
        <w:jc w:val="both"/>
        <w:rPr>
          <w:sz w:val="18"/>
          <w:szCs w:val="18"/>
        </w:rPr>
      </w:pPr>
      <w:r>
        <w:rPr>
          <w:b/>
          <w:bCs/>
          <w:sz w:val="18"/>
          <w:szCs w:val="18"/>
        </w:rPr>
        <w:t xml:space="preserve">Results: </w:t>
      </w:r>
      <w:r>
        <w:rPr>
          <w:sz w:val="18"/>
          <w:szCs w:val="18"/>
        </w:rPr>
        <w:t xml:space="preserve">The majority of patients were in the 21–25-year age group (40%), with a slight male predominance (58.3%). </w:t>
      </w:r>
      <w:proofErr w:type="spellStart"/>
      <w:r>
        <w:rPr>
          <w:sz w:val="18"/>
          <w:szCs w:val="18"/>
        </w:rPr>
        <w:t>Cutibacterium</w:t>
      </w:r>
      <w:proofErr w:type="spellEnd"/>
      <w:r>
        <w:rPr>
          <w:sz w:val="18"/>
          <w:szCs w:val="18"/>
        </w:rPr>
        <w:t xml:space="preserve"> acnes was the most frequently isolated organism (41.7%), followed by Staphylococcus </w:t>
      </w:r>
      <w:proofErr w:type="spellStart"/>
      <w:r>
        <w:rPr>
          <w:sz w:val="18"/>
          <w:szCs w:val="18"/>
        </w:rPr>
        <w:t>epidermidis</w:t>
      </w:r>
      <w:proofErr w:type="spellEnd"/>
      <w:r>
        <w:rPr>
          <w:sz w:val="18"/>
          <w:szCs w:val="18"/>
        </w:rPr>
        <w:t xml:space="preserve"> (26.7%) and Staphylococcus </w:t>
      </w:r>
      <w:proofErr w:type="spellStart"/>
      <w:r>
        <w:rPr>
          <w:sz w:val="18"/>
          <w:szCs w:val="18"/>
        </w:rPr>
        <w:t>aureus</w:t>
      </w:r>
      <w:proofErr w:type="spellEnd"/>
      <w:r>
        <w:rPr>
          <w:sz w:val="18"/>
          <w:szCs w:val="18"/>
        </w:rPr>
        <w:t xml:space="preserve"> (20%). Culture positivity increased significantly with disease severity (p = 0.031). </w:t>
      </w:r>
      <w:proofErr w:type="gramStart"/>
      <w:r>
        <w:rPr>
          <w:sz w:val="18"/>
          <w:szCs w:val="18"/>
        </w:rPr>
        <w:t>Antibiotic susceptibility testing revealed higher resistance to erythromycin (54%), while doxycycline (72%) and ciprofloxacin (70%) showed better sensitivity profiles.</w:t>
      </w:r>
      <w:proofErr w:type="gramEnd"/>
      <w:r>
        <w:rPr>
          <w:sz w:val="18"/>
          <w:szCs w:val="18"/>
        </w:rPr>
        <w:t xml:space="preserve"> </w:t>
      </w:r>
    </w:p>
    <w:p w:rsidR="005C3A2E" w:rsidRPr="005C3A2E" w:rsidRDefault="005C3A2E" w:rsidP="005C3A2E">
      <w:pPr>
        <w:jc w:val="both"/>
        <w:rPr>
          <w:lang w:val="en-US"/>
        </w:rPr>
      </w:pPr>
      <w:r>
        <w:rPr>
          <w:b/>
          <w:bCs/>
          <w:sz w:val="18"/>
          <w:szCs w:val="18"/>
        </w:rPr>
        <w:t xml:space="preserve">Conclusion: </w:t>
      </w:r>
      <w:r>
        <w:rPr>
          <w:sz w:val="18"/>
          <w:szCs w:val="18"/>
        </w:rPr>
        <w:t>The study highlights the importance of microbiological evaluation in acne management. Monitoring antibiotic susceptibility patterns can aid in selecting appropriate therapy and help reduce the development of resistance, thereby improving clinical outcomes.</w:t>
      </w:r>
    </w:p>
    <w:sectPr w:rsidR="005C3A2E" w:rsidRPr="005C3A2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comment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A2E"/>
    <w:rsid w:val="00053FA1"/>
    <w:rsid w:val="005C3A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3A2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3A2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RDRL</dc:creator>
  <cp:lastModifiedBy>RDRL</cp:lastModifiedBy>
  <cp:revision>1</cp:revision>
  <dcterms:created xsi:type="dcterms:W3CDTF">2026-03-27T09:22:00Z</dcterms:created>
  <dcterms:modified xsi:type="dcterms:W3CDTF">2026-03-27T09:23:00Z</dcterms:modified>
</cp:coreProperties>
</file>