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9A7" w:rsidRPr="00C61781" w:rsidRDefault="00C61781" w:rsidP="00C61781">
      <w:pPr>
        <w:spacing w:after="0" w:line="360" w:lineRule="auto"/>
        <w:rPr>
          <w:rFonts w:ascii="Cambria" w:hAnsi="Cambria" w:cs="Times New Roman"/>
          <w:b/>
          <w:bCs/>
          <w:i/>
          <w:sz w:val="24"/>
          <w:szCs w:val="24"/>
        </w:rPr>
      </w:pPr>
      <w:r w:rsidRPr="00C61781">
        <w:rPr>
          <w:rFonts w:ascii="Cambria" w:hAnsi="Cambria" w:cs="Times New Roman"/>
          <w:b/>
          <w:bCs/>
          <w:i/>
          <w:sz w:val="24"/>
          <w:szCs w:val="24"/>
          <w:highlight w:val="lightGray"/>
        </w:rPr>
        <w:t>Original article:</w:t>
      </w:r>
    </w:p>
    <w:p w:rsidR="00D279A7" w:rsidRPr="00C61781" w:rsidRDefault="00E66BED" w:rsidP="00C61781">
      <w:pPr>
        <w:spacing w:after="0" w:line="360" w:lineRule="auto"/>
        <w:rPr>
          <w:rFonts w:ascii="Cambria" w:hAnsi="Cambria" w:cs="Times New Roman"/>
          <w:i/>
          <w:color w:val="0070C0"/>
          <w:sz w:val="24"/>
          <w:szCs w:val="24"/>
        </w:rPr>
      </w:pPr>
      <w:r w:rsidRPr="00C61781">
        <w:rPr>
          <w:rFonts w:ascii="Cambria" w:hAnsi="Cambria" w:cs="Times New Roman"/>
          <w:b/>
          <w:bCs/>
          <w:i/>
          <w:color w:val="0070C0"/>
          <w:sz w:val="24"/>
          <w:szCs w:val="24"/>
        </w:rPr>
        <w:t>Clinical Profile of Bloodstream Infections and Their Antibiotic Susceptibility Pattern in Hospitalized Patients: A Cross-Sectional Study</w:t>
      </w:r>
    </w:p>
    <w:p w:rsidR="00C61781" w:rsidRPr="00C61781" w:rsidRDefault="00962BDB" w:rsidP="00C61781">
      <w:pPr>
        <w:spacing w:after="0" w:line="360" w:lineRule="auto"/>
        <w:rPr>
          <w:rFonts w:ascii="Cambria" w:hAnsi="Cambria" w:cs="Times New Roman"/>
          <w:b/>
          <w:i/>
          <w:sz w:val="20"/>
          <w:szCs w:val="20"/>
        </w:rPr>
      </w:pPr>
      <w:r w:rsidRPr="00C61781">
        <w:rPr>
          <w:rFonts w:ascii="Cambria" w:hAnsi="Cambria" w:cs="Times New Roman"/>
          <w:b/>
          <w:i/>
          <w:sz w:val="20"/>
          <w:szCs w:val="20"/>
        </w:rPr>
        <w:t>Dr. Hupesh Dwarkadas Jadhav</w:t>
      </w:r>
      <w:r w:rsidR="005011FA" w:rsidRPr="00C61781">
        <w:rPr>
          <w:rFonts w:ascii="Cambria" w:hAnsi="Cambria" w:cs="Times New Roman"/>
          <w:b/>
          <w:i/>
          <w:sz w:val="20"/>
          <w:szCs w:val="20"/>
          <w:vertAlign w:val="superscript"/>
        </w:rPr>
        <w:t>1*</w:t>
      </w:r>
    </w:p>
    <w:p w:rsidR="005011FA" w:rsidRDefault="00785065" w:rsidP="00C61781">
      <w:pPr>
        <w:spacing w:after="0" w:line="360" w:lineRule="auto"/>
        <w:rPr>
          <w:rFonts w:ascii="Cambria" w:hAnsi="Cambria" w:cs="Times New Roman"/>
          <w:i/>
          <w:sz w:val="18"/>
          <w:szCs w:val="18"/>
        </w:rPr>
      </w:pPr>
      <w:r w:rsidRPr="00C61781">
        <w:rPr>
          <w:rFonts w:ascii="Cambria" w:hAnsi="Cambria" w:cs="Times New Roman"/>
          <w:i/>
          <w:sz w:val="18"/>
          <w:szCs w:val="18"/>
        </w:rPr>
        <w:t xml:space="preserve">Assistant </w:t>
      </w:r>
      <w:r w:rsidR="00C61781" w:rsidRPr="00C61781">
        <w:rPr>
          <w:rFonts w:ascii="Cambria" w:hAnsi="Cambria" w:cs="Times New Roman"/>
          <w:i/>
          <w:sz w:val="18"/>
          <w:szCs w:val="18"/>
        </w:rPr>
        <w:t>Professor, General</w:t>
      </w:r>
      <w:r w:rsidR="00962BDB" w:rsidRPr="00C61781">
        <w:rPr>
          <w:rFonts w:ascii="Cambria" w:hAnsi="Cambria" w:cs="Times New Roman"/>
          <w:i/>
          <w:sz w:val="18"/>
          <w:szCs w:val="18"/>
        </w:rPr>
        <w:t xml:space="preserve"> Medicine</w:t>
      </w:r>
      <w:r w:rsidR="005011FA" w:rsidRPr="00C61781">
        <w:rPr>
          <w:rFonts w:ascii="Cambria" w:hAnsi="Cambria" w:cs="Times New Roman"/>
          <w:i/>
          <w:sz w:val="18"/>
          <w:szCs w:val="18"/>
        </w:rPr>
        <w:t>,</w:t>
      </w:r>
      <w:r w:rsidR="00962BDB" w:rsidRPr="00C61781">
        <w:rPr>
          <w:rFonts w:ascii="Cambria" w:hAnsi="Cambria" w:cs="Times New Roman"/>
          <w:i/>
          <w:sz w:val="18"/>
          <w:szCs w:val="18"/>
        </w:rPr>
        <w:t>Konaseema Institute of Medical Sciences &amp; Research Foundation (KIMS), Amalapuram, East Godavari District, Andhra Pradesh, India (Pin: 533201)</w:t>
      </w:r>
    </w:p>
    <w:p w:rsidR="00CB5CF4" w:rsidRPr="00C61781" w:rsidRDefault="00CB5CF4" w:rsidP="00C61781">
      <w:pPr>
        <w:spacing w:after="0" w:line="360" w:lineRule="auto"/>
        <w:rPr>
          <w:rFonts w:ascii="Cambria" w:hAnsi="Cambria" w:cs="Times New Roman"/>
          <w:i/>
          <w:sz w:val="18"/>
          <w:szCs w:val="18"/>
        </w:rPr>
      </w:pPr>
      <w:r>
        <w:rPr>
          <w:rFonts w:ascii="Cambria" w:hAnsi="Cambria" w:cs="Times New Roman"/>
          <w:i/>
          <w:sz w:val="18"/>
          <w:szCs w:val="18"/>
        </w:rPr>
        <w:t>Corresponding author*</w:t>
      </w:r>
    </w:p>
    <w:p w:rsidR="005011FA" w:rsidRPr="00C61781" w:rsidRDefault="005011FA" w:rsidP="00C61781">
      <w:pPr>
        <w:spacing w:after="0" w:line="360" w:lineRule="auto"/>
        <w:jc w:val="both"/>
        <w:rPr>
          <w:rFonts w:ascii="Cambria" w:hAnsi="Cambria" w:cs="Times New Roman"/>
          <w:sz w:val="20"/>
          <w:szCs w:val="20"/>
        </w:rPr>
      </w:pPr>
      <w:bookmarkStart w:id="0" w:name="_GoBack"/>
      <w:bookmarkEnd w:id="0"/>
    </w:p>
    <w:p w:rsidR="00D279A7" w:rsidRPr="00C61781" w:rsidRDefault="00D279A7" w:rsidP="00C61781">
      <w:pPr>
        <w:spacing w:after="0" w:line="360" w:lineRule="auto"/>
        <w:jc w:val="both"/>
        <w:rPr>
          <w:rFonts w:ascii="Cambria" w:hAnsi="Cambria" w:cs="Times New Roman"/>
          <w:sz w:val="20"/>
          <w:szCs w:val="20"/>
        </w:rPr>
      </w:pPr>
      <w:r w:rsidRPr="00C61781">
        <w:rPr>
          <w:rFonts w:ascii="Cambria" w:hAnsi="Cambria" w:cs="Times New Roman"/>
          <w:b/>
          <w:bCs/>
          <w:sz w:val="20"/>
          <w:szCs w:val="20"/>
        </w:rPr>
        <w:t>Abstract</w:t>
      </w:r>
    </w:p>
    <w:p w:rsidR="00E66BED" w:rsidRPr="00C61781" w:rsidRDefault="00E66BED" w:rsidP="00C61781">
      <w:pPr>
        <w:spacing w:after="0" w:line="360" w:lineRule="auto"/>
        <w:jc w:val="both"/>
        <w:rPr>
          <w:rFonts w:ascii="Cambria" w:hAnsi="Cambria" w:cs="Times New Roman"/>
          <w:b/>
          <w:bCs/>
          <w:sz w:val="18"/>
          <w:szCs w:val="18"/>
        </w:rPr>
      </w:pPr>
      <w:r w:rsidRPr="00C61781">
        <w:rPr>
          <w:rFonts w:ascii="Cambria" w:hAnsi="Cambria" w:cs="Times New Roman"/>
          <w:b/>
          <w:bCs/>
          <w:sz w:val="18"/>
          <w:szCs w:val="18"/>
        </w:rPr>
        <w:t>Background</w:t>
      </w:r>
      <w:r w:rsidR="00C61781" w:rsidRPr="00C61781">
        <w:rPr>
          <w:rFonts w:ascii="Cambria" w:hAnsi="Cambria" w:cs="Times New Roman"/>
          <w:b/>
          <w:bCs/>
          <w:sz w:val="18"/>
          <w:szCs w:val="18"/>
        </w:rPr>
        <w:t xml:space="preserve">- </w:t>
      </w:r>
      <w:r w:rsidRPr="00C61781">
        <w:rPr>
          <w:rFonts w:ascii="Cambria" w:hAnsi="Cambria" w:cs="Times New Roman"/>
          <w:sz w:val="18"/>
          <w:szCs w:val="18"/>
        </w:rPr>
        <w:t>Bloodstream infections (BSIs) are a major cause of sepsis and septic shock in hospitalized patients, contributing significantly to morbidity, mortality, and prolonged hospital stay. Early initiation of appropriate empirical antimicrobial therapy is critical; however, rising antimicrobial resistance poses a major challenge in clinical management.</w:t>
      </w:r>
    </w:p>
    <w:p w:rsidR="00E66BED" w:rsidRPr="00C61781" w:rsidRDefault="00E66BED" w:rsidP="00C61781">
      <w:pPr>
        <w:spacing w:after="0" w:line="360" w:lineRule="auto"/>
        <w:jc w:val="both"/>
        <w:rPr>
          <w:rFonts w:ascii="Cambria" w:hAnsi="Cambria" w:cs="Times New Roman"/>
          <w:b/>
          <w:bCs/>
          <w:sz w:val="18"/>
          <w:szCs w:val="18"/>
        </w:rPr>
      </w:pPr>
      <w:r w:rsidRPr="00C61781">
        <w:rPr>
          <w:rFonts w:ascii="Cambria" w:hAnsi="Cambria" w:cs="Times New Roman"/>
          <w:b/>
          <w:bCs/>
          <w:sz w:val="18"/>
          <w:szCs w:val="18"/>
        </w:rPr>
        <w:t>Objectives</w:t>
      </w:r>
      <w:r w:rsidR="00C61781" w:rsidRPr="00C61781">
        <w:rPr>
          <w:rFonts w:ascii="Cambria" w:hAnsi="Cambria" w:cs="Times New Roman"/>
          <w:b/>
          <w:bCs/>
          <w:sz w:val="18"/>
          <w:szCs w:val="18"/>
        </w:rPr>
        <w:t xml:space="preserve">- </w:t>
      </w:r>
      <w:r w:rsidRPr="00C61781">
        <w:rPr>
          <w:rFonts w:ascii="Cambria" w:hAnsi="Cambria" w:cs="Times New Roman"/>
          <w:sz w:val="18"/>
          <w:szCs w:val="18"/>
        </w:rPr>
        <w:t>To evaluate the clinical and bacteriological profile of bloodstream infections in hospitalized patients and to analyze antimicrobial susceptibility patterns to guide rational empirical therapy.</w:t>
      </w:r>
    </w:p>
    <w:p w:rsidR="00E66BED" w:rsidRPr="00C61781" w:rsidRDefault="00E66BED" w:rsidP="00C61781">
      <w:pPr>
        <w:spacing w:after="0" w:line="360" w:lineRule="auto"/>
        <w:jc w:val="both"/>
        <w:rPr>
          <w:rFonts w:ascii="Cambria" w:hAnsi="Cambria" w:cs="Times New Roman"/>
          <w:b/>
          <w:bCs/>
          <w:sz w:val="18"/>
          <w:szCs w:val="18"/>
        </w:rPr>
      </w:pPr>
      <w:r w:rsidRPr="00C61781">
        <w:rPr>
          <w:rFonts w:ascii="Cambria" w:hAnsi="Cambria" w:cs="Times New Roman"/>
          <w:b/>
          <w:bCs/>
          <w:sz w:val="18"/>
          <w:szCs w:val="18"/>
        </w:rPr>
        <w:t>Methods</w:t>
      </w:r>
      <w:r w:rsidR="00C61781" w:rsidRPr="00C61781">
        <w:rPr>
          <w:rFonts w:ascii="Cambria" w:hAnsi="Cambria" w:cs="Times New Roman"/>
          <w:b/>
          <w:bCs/>
          <w:sz w:val="18"/>
          <w:szCs w:val="18"/>
        </w:rPr>
        <w:t xml:space="preserve">- </w:t>
      </w:r>
      <w:r w:rsidRPr="00C61781">
        <w:rPr>
          <w:rFonts w:ascii="Cambria" w:hAnsi="Cambria" w:cs="Times New Roman"/>
          <w:sz w:val="18"/>
          <w:szCs w:val="18"/>
        </w:rPr>
        <w:t>A cross-sectional study was conducted over a period of six months, including 310 hospitalized patients with suspected bloodstream infections. Blood cultures were processed using standard microbiological techniques, and antibiotic susceptibility testing was performed. Clinical data were correlated with microbiological findings, and statistical analysis was performed using chi-square test.</w:t>
      </w:r>
    </w:p>
    <w:p w:rsidR="00E66BED" w:rsidRPr="00C61781" w:rsidRDefault="00E66BED" w:rsidP="00C61781">
      <w:pPr>
        <w:spacing w:after="0" w:line="360" w:lineRule="auto"/>
        <w:jc w:val="both"/>
        <w:rPr>
          <w:rFonts w:ascii="Cambria" w:hAnsi="Cambria" w:cs="Times New Roman"/>
          <w:b/>
          <w:bCs/>
          <w:sz w:val="18"/>
          <w:szCs w:val="18"/>
        </w:rPr>
      </w:pPr>
      <w:r w:rsidRPr="00C61781">
        <w:rPr>
          <w:rFonts w:ascii="Cambria" w:hAnsi="Cambria" w:cs="Times New Roman"/>
          <w:b/>
          <w:bCs/>
          <w:sz w:val="18"/>
          <w:szCs w:val="18"/>
        </w:rPr>
        <w:t>Results</w:t>
      </w:r>
      <w:r w:rsidR="00C61781" w:rsidRPr="00C61781">
        <w:rPr>
          <w:rFonts w:ascii="Cambria" w:hAnsi="Cambria" w:cs="Times New Roman"/>
          <w:b/>
          <w:bCs/>
          <w:sz w:val="18"/>
          <w:szCs w:val="18"/>
        </w:rPr>
        <w:t xml:space="preserve">- </w:t>
      </w:r>
      <w:r w:rsidRPr="00C61781">
        <w:rPr>
          <w:rFonts w:ascii="Cambria" w:hAnsi="Cambria" w:cs="Times New Roman"/>
          <w:sz w:val="18"/>
          <w:szCs w:val="18"/>
        </w:rPr>
        <w:t xml:space="preserve">Out of 310 blood culture samples, 106 (34.2%) were positive. Gram-negative bacilli were the predominant pathogens (57.5%), with </w:t>
      </w:r>
      <w:r w:rsidRPr="00C61781">
        <w:rPr>
          <w:rFonts w:ascii="Cambria" w:hAnsi="Cambria" w:cs="Times New Roman"/>
          <w:i/>
          <w:iCs/>
          <w:sz w:val="18"/>
          <w:szCs w:val="18"/>
        </w:rPr>
        <w:t>Klebsiella pneumoniae</w:t>
      </w:r>
      <w:r w:rsidRPr="00C61781">
        <w:rPr>
          <w:rFonts w:ascii="Cambria" w:hAnsi="Cambria" w:cs="Times New Roman"/>
          <w:sz w:val="18"/>
          <w:szCs w:val="18"/>
        </w:rPr>
        <w:t xml:space="preserve"> and </w:t>
      </w:r>
      <w:r w:rsidRPr="00C61781">
        <w:rPr>
          <w:rFonts w:ascii="Cambria" w:hAnsi="Cambria" w:cs="Times New Roman"/>
          <w:i/>
          <w:iCs/>
          <w:sz w:val="18"/>
          <w:szCs w:val="18"/>
        </w:rPr>
        <w:t>Escherichia coli</w:t>
      </w:r>
      <w:r w:rsidRPr="00C61781">
        <w:rPr>
          <w:rFonts w:ascii="Cambria" w:hAnsi="Cambria" w:cs="Times New Roman"/>
          <w:sz w:val="18"/>
          <w:szCs w:val="18"/>
        </w:rPr>
        <w:t xml:space="preserve"> being the most common isolates. Among gram-positive cocci, </w:t>
      </w:r>
      <w:r w:rsidRPr="00C61781">
        <w:rPr>
          <w:rFonts w:ascii="Cambria" w:hAnsi="Cambria" w:cs="Times New Roman"/>
          <w:i/>
          <w:iCs/>
          <w:sz w:val="18"/>
          <w:szCs w:val="18"/>
        </w:rPr>
        <w:t>Staphylococcus aureus</w:t>
      </w:r>
      <w:r w:rsidRPr="00C61781">
        <w:rPr>
          <w:rFonts w:ascii="Cambria" w:hAnsi="Cambria" w:cs="Times New Roman"/>
          <w:sz w:val="18"/>
          <w:szCs w:val="18"/>
        </w:rPr>
        <w:t xml:space="preserve"> was the leading pathogen, with 42.9% identified as methicillin-resistant (MRSA). High resistance was observed to third-generation cephalosporins and fluoroquinolones, while amikacin and carbapenems demonstrated high sensitivity among gram-negative isolates. All MRSA isolates were sensitive to vancomycin and linezolid. Multidrug resistance was significantly associated with prior ICU admission (p = 0.01).</w:t>
      </w:r>
    </w:p>
    <w:p w:rsidR="00E66BED" w:rsidRPr="00C61781" w:rsidRDefault="00E66BED" w:rsidP="00C61781">
      <w:pPr>
        <w:spacing w:after="0" w:line="360" w:lineRule="auto"/>
        <w:jc w:val="both"/>
        <w:rPr>
          <w:rFonts w:ascii="Cambria" w:hAnsi="Cambria" w:cs="Times New Roman"/>
          <w:b/>
          <w:bCs/>
          <w:sz w:val="18"/>
          <w:szCs w:val="18"/>
        </w:rPr>
      </w:pPr>
      <w:r w:rsidRPr="00C61781">
        <w:rPr>
          <w:rFonts w:ascii="Cambria" w:hAnsi="Cambria" w:cs="Times New Roman"/>
          <w:b/>
          <w:bCs/>
          <w:sz w:val="18"/>
          <w:szCs w:val="18"/>
        </w:rPr>
        <w:t>Conclusion</w:t>
      </w:r>
      <w:r w:rsidR="00C61781" w:rsidRPr="00C61781">
        <w:rPr>
          <w:rFonts w:ascii="Cambria" w:hAnsi="Cambria" w:cs="Times New Roman"/>
          <w:b/>
          <w:bCs/>
          <w:sz w:val="18"/>
          <w:szCs w:val="18"/>
        </w:rPr>
        <w:t xml:space="preserve">- </w:t>
      </w:r>
      <w:r w:rsidRPr="00C61781">
        <w:rPr>
          <w:rFonts w:ascii="Cambria" w:hAnsi="Cambria" w:cs="Times New Roman"/>
          <w:sz w:val="18"/>
          <w:szCs w:val="18"/>
        </w:rPr>
        <w:t>Bloodstream infections in hospitalized patients are predominantly caused by gram-negative organisms with significant antimicrobial resistance. The high prevalence of multidrug-resistant pathogens, particularly in ICU settings, underscores the need for judicious empirical antibiotic selection based on local antibiogram data and strict implementation of antimicrobial stewardship strategies to improve patient outcomes.</w:t>
      </w:r>
    </w:p>
    <w:p w:rsidR="00D279A7" w:rsidRPr="00C61781" w:rsidRDefault="00D279A7" w:rsidP="00C61781">
      <w:pPr>
        <w:spacing w:after="0" w:line="360" w:lineRule="auto"/>
        <w:jc w:val="both"/>
        <w:rPr>
          <w:rFonts w:ascii="Cambria" w:hAnsi="Cambria" w:cs="Times New Roman"/>
          <w:sz w:val="18"/>
          <w:szCs w:val="18"/>
        </w:rPr>
      </w:pPr>
      <w:r w:rsidRPr="00C61781">
        <w:rPr>
          <w:rFonts w:ascii="Cambria" w:hAnsi="Cambria" w:cs="Times New Roman"/>
          <w:b/>
          <w:bCs/>
          <w:sz w:val="18"/>
          <w:szCs w:val="18"/>
        </w:rPr>
        <w:t>Keywords:</w:t>
      </w:r>
      <w:r w:rsidR="00C61781" w:rsidRPr="00C61781">
        <w:rPr>
          <w:rFonts w:ascii="Cambria" w:hAnsi="Cambria" w:cs="Times New Roman"/>
          <w:sz w:val="18"/>
          <w:szCs w:val="18"/>
        </w:rPr>
        <w:t xml:space="preserve"> </w:t>
      </w:r>
      <w:r w:rsidR="00E66BED" w:rsidRPr="00C61781">
        <w:rPr>
          <w:rFonts w:ascii="Cambria" w:hAnsi="Cambria" w:cs="Times New Roman"/>
          <w:sz w:val="18"/>
          <w:szCs w:val="18"/>
        </w:rPr>
        <w:t>Bloodstream infections, Sepsis, Antimicrobial resistance, Gram-negative bacteremia, MRSA, Empirical antibiotic therapy</w:t>
      </w:r>
    </w:p>
    <w:p w:rsidR="00C61781" w:rsidRDefault="00C61781" w:rsidP="00C61781">
      <w:pPr>
        <w:spacing w:after="0" w:line="360" w:lineRule="auto"/>
        <w:jc w:val="both"/>
        <w:rPr>
          <w:rFonts w:ascii="Times New Roman" w:hAnsi="Times New Roman" w:cs="Times New Roman"/>
          <w:b/>
          <w:bCs/>
          <w:sz w:val="20"/>
          <w:szCs w:val="20"/>
        </w:rPr>
      </w:pPr>
    </w:p>
    <w:p w:rsidR="00D279A7" w:rsidRPr="0024594D" w:rsidRDefault="00D279A7"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Introduction</w:t>
      </w:r>
    </w:p>
    <w:p w:rsidR="00A14F4A" w:rsidRPr="0024594D" w:rsidRDefault="00A14F4A"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Bloodstream infections (BSIs) represent one of the most serious clinical conditions encountered in hospitalized patients and are a leading cause of sepsis and septic shock worldwide (1). They are associated with high morbidity, mortality, and prolonged hospital stay, particularly among critically ill and immunocompromised individuals (2). Early recognition and prompt initiation of appropriate antimicrobial therapy are crucial in reducing adverse outcomes; however, delays in diagnosis or inappropriate empirical treatment significantly increase mortality (3).</w:t>
      </w:r>
    </w:p>
    <w:p w:rsidR="00A14F4A" w:rsidRPr="0024594D" w:rsidRDefault="00A14F4A"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In recent years, there has been a notable shift in the epidemiology of bloodstream infections, with gram-negative organisms emerging as the predominant pathogens in many tertiary care settings (4). Common causative agents </w:t>
      </w:r>
      <w:r w:rsidRPr="0024594D">
        <w:rPr>
          <w:rFonts w:ascii="Times New Roman" w:hAnsi="Times New Roman" w:cs="Times New Roman"/>
          <w:sz w:val="20"/>
          <w:szCs w:val="20"/>
        </w:rPr>
        <w:lastRenderedPageBreak/>
        <w:t xml:space="preserve">include </w:t>
      </w:r>
      <w:r w:rsidRPr="0024594D">
        <w:rPr>
          <w:rFonts w:ascii="Times New Roman" w:hAnsi="Times New Roman" w:cs="Times New Roman"/>
          <w:i/>
          <w:iCs/>
          <w:sz w:val="20"/>
          <w:szCs w:val="20"/>
        </w:rPr>
        <w:t>Klebsiella pneumoniae</w:t>
      </w:r>
      <w:r w:rsidRPr="0024594D">
        <w:rPr>
          <w:rFonts w:ascii="Times New Roman" w:hAnsi="Times New Roman" w:cs="Times New Roman"/>
          <w:sz w:val="20"/>
          <w:szCs w:val="20"/>
        </w:rPr>
        <w:t xml:space="preserve">, </w:t>
      </w:r>
      <w:r w:rsidRPr="0024594D">
        <w:rPr>
          <w:rFonts w:ascii="Times New Roman" w:hAnsi="Times New Roman" w:cs="Times New Roman"/>
          <w:i/>
          <w:iCs/>
          <w:sz w:val="20"/>
          <w:szCs w:val="20"/>
        </w:rPr>
        <w:t>Escherichia coli</w:t>
      </w:r>
      <w:r w:rsidRPr="0024594D">
        <w:rPr>
          <w:rFonts w:ascii="Times New Roman" w:hAnsi="Times New Roman" w:cs="Times New Roman"/>
          <w:sz w:val="20"/>
          <w:szCs w:val="20"/>
        </w:rPr>
        <w:t xml:space="preserve">, and </w:t>
      </w:r>
      <w:r w:rsidRPr="0024594D">
        <w:rPr>
          <w:rFonts w:ascii="Times New Roman" w:hAnsi="Times New Roman" w:cs="Times New Roman"/>
          <w:i/>
          <w:iCs/>
          <w:sz w:val="20"/>
          <w:szCs w:val="20"/>
        </w:rPr>
        <w:t>Pseudomonas aeruginosa</w:t>
      </w:r>
      <w:r w:rsidRPr="0024594D">
        <w:rPr>
          <w:rFonts w:ascii="Times New Roman" w:hAnsi="Times New Roman" w:cs="Times New Roman"/>
          <w:sz w:val="20"/>
          <w:szCs w:val="20"/>
        </w:rPr>
        <w:t xml:space="preserve">, while gram-positive organisms such as </w:t>
      </w:r>
      <w:r w:rsidRPr="0024594D">
        <w:rPr>
          <w:rFonts w:ascii="Times New Roman" w:hAnsi="Times New Roman" w:cs="Times New Roman"/>
          <w:i/>
          <w:iCs/>
          <w:sz w:val="20"/>
          <w:szCs w:val="20"/>
        </w:rPr>
        <w:t>Staphylococcus aureus</w:t>
      </w:r>
      <w:r w:rsidRPr="0024594D">
        <w:rPr>
          <w:rFonts w:ascii="Times New Roman" w:hAnsi="Times New Roman" w:cs="Times New Roman"/>
          <w:sz w:val="20"/>
          <w:szCs w:val="20"/>
        </w:rPr>
        <w:t>, including methicillin-resistant strains (MRSA), continue to contribute significantly to disease burden (5).</w:t>
      </w:r>
    </w:p>
    <w:p w:rsidR="00A14F4A" w:rsidRPr="0024594D" w:rsidRDefault="00A14F4A"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The emergence and rapid spread of antimicrobial resistance among these pathogens have become a major global health concern. Resistance to commonly used empirical agents such as third-generation cephalosporins and fluoroquinolones has been increasingly reported, limiting therapeutic options (6). The widespread and often inappropriate use of antibiotics has further accelerated the development of multidrug-resistant (MDR) organisms, particularly in intensive care units (ICUs), where patients are exposed to invasive procedures and prolonged hospital stays (7).</w:t>
      </w:r>
    </w:p>
    <w:p w:rsidR="00A14F4A" w:rsidRPr="0024594D" w:rsidRDefault="00A14F4A"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Understanding the local microbiological profile and antimicrobial susceptibility patterns is essential for guiding empirical therapy and improving patient outcomes (8). Therefore, this study was undertaken to evaluate the clinical profile, etiological spectrum, and antibiotic resistance patterns of bloodstream infections in hospitalized patients, with a focus on their implications for empirical therapy and clinical decision-making.</w:t>
      </w:r>
    </w:p>
    <w:p w:rsidR="00D279A7" w:rsidRPr="0024594D" w:rsidRDefault="00D279A7"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Materials and Methods</w:t>
      </w:r>
    </w:p>
    <w:p w:rsidR="00E66BED" w:rsidRPr="0024594D" w:rsidRDefault="00E66BED"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This hospital-based cross-sectional observational study was conducted in the Department of Medicine,  at a tertiary care teaching hospital over a 6-month period. The study included patients admitted to medical wards and intensive care units (ICUs) with clinical suspicion of bloodstream infection or sepsis.</w:t>
      </w:r>
    </w:p>
    <w:p w:rsidR="00E66BED" w:rsidRPr="0024594D" w:rsidRDefault="00E66BED"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Study Population</w:t>
      </w:r>
    </w:p>
    <w:p w:rsidR="00E66BED" w:rsidRPr="0024594D" w:rsidRDefault="00E66BED"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All hospitalized patients presenting with clinical features suggestive of sepsis, such as fever, chills, hypotension, tachycardia, altered sensorium, or evidence of organ dysfunction, were considered for inclusion. Patients already receiving systemic antibiotics for more than 48 hours prior to admission were excluded to avoid confounding microbiological results.</w:t>
      </w:r>
    </w:p>
    <w:p w:rsidR="00E66BED" w:rsidRPr="0024594D" w:rsidRDefault="00E66BED"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Clinical Assessment</w:t>
      </w:r>
    </w:p>
    <w:p w:rsidR="00E66BED" w:rsidRPr="0024594D" w:rsidRDefault="00E66BED"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A detailed clinical evaluation was performed for each patient, including demographic details, presenting complaints, comorbidities (such as diabetes mellitus, chronic kidney disease, malignancy), history of prior hospitalization or ICU stay, and use of invasive devices. Severity of illness was assessed clinically, and patients were categorized based on ward or ICU admission status.</w:t>
      </w:r>
    </w:p>
    <w:p w:rsidR="00E66BED" w:rsidRPr="0024594D" w:rsidRDefault="00E66BED"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Sample Collection and Processing</w:t>
      </w:r>
    </w:p>
    <w:p w:rsidR="00E66BED" w:rsidRPr="0024594D" w:rsidRDefault="00E66BED"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Blood samples were collected aseptically at the time of initial clinical suspicion of sepsis, preferably before initiation of empirical antibiotic therapy. Approximately 8–10 mL of blood was collected from adult patients and 2–5 mL from pediatric patients and sent for culture and sensitivity. Standard microbiological techniques were used for isolation and identification of bacterial pathogens. Antibiotic susceptibility testing was performed and Multidrug resistance (MDR) was defined as resistance to three or more antimicrobial classes.</w:t>
      </w:r>
    </w:p>
    <w:p w:rsidR="00E66BED" w:rsidRPr="0024594D" w:rsidRDefault="00E66BED"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Data Collection and Outcome Measures</w:t>
      </w:r>
    </w:p>
    <w:p w:rsidR="00E66BED" w:rsidRPr="0024594D" w:rsidRDefault="00E66BED"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Clinical and microbiological data were recorded in a structured proforma. The primary outcomes assessed included the spectrum of causative organisms and their antimicrobial resistance patterns. Secondary outcomes included the association of multidrug resistance with clinical factors such as ICU admission and comorbid conditions.</w:t>
      </w:r>
    </w:p>
    <w:p w:rsidR="00C61781" w:rsidRDefault="00C61781" w:rsidP="00C61781">
      <w:pPr>
        <w:spacing w:after="0" w:line="360" w:lineRule="auto"/>
        <w:jc w:val="both"/>
        <w:rPr>
          <w:rFonts w:ascii="Times New Roman" w:hAnsi="Times New Roman" w:cs="Times New Roman"/>
          <w:b/>
          <w:bCs/>
          <w:sz w:val="20"/>
          <w:szCs w:val="20"/>
        </w:rPr>
      </w:pPr>
    </w:p>
    <w:p w:rsidR="00C61781" w:rsidRDefault="00C61781" w:rsidP="00C61781">
      <w:pPr>
        <w:spacing w:after="0" w:line="360" w:lineRule="auto"/>
        <w:jc w:val="both"/>
        <w:rPr>
          <w:rFonts w:ascii="Times New Roman" w:hAnsi="Times New Roman" w:cs="Times New Roman"/>
          <w:b/>
          <w:bCs/>
          <w:sz w:val="20"/>
          <w:szCs w:val="20"/>
        </w:rPr>
      </w:pPr>
    </w:p>
    <w:p w:rsidR="00E66BED" w:rsidRPr="0024594D" w:rsidRDefault="00E66BED"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Statistical Analysis</w:t>
      </w:r>
    </w:p>
    <w:p w:rsidR="00E66BED" w:rsidRPr="0024594D" w:rsidRDefault="00E66BED"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Data were entered and analyzed using statistical software. Descriptive statistics were used to summarize patient characteristics and microbiological findings. Categorical variables were analyzed using the chi-square test, and a p-value of less than 0.05 was considered statistically significant.</w:t>
      </w:r>
    </w:p>
    <w:p w:rsidR="00D279A7" w:rsidRPr="0024594D" w:rsidRDefault="00D279A7"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Results</w:t>
      </w:r>
    </w:p>
    <w:p w:rsidR="00D279A7" w:rsidRPr="0024594D" w:rsidRDefault="00D279A7"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Out of 310 blood samples processed, 106 (34.2%) showed significant bacterial growth. Of these, 61 (57.5%) were gram-negative bacilli, and 45 (42.5%) were gram-positive cocci. No fungal isolates were detected during the study period.</w:t>
      </w:r>
    </w:p>
    <w:p w:rsidR="00DF54E5" w:rsidRPr="0024594D" w:rsidRDefault="00DF54E5"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A total of 310 patients with clinical suspicion of bloodstream infection were included in the study. The majority of patients belonged to the 18–60 years age group (60.0%), with a male predominance (58.7%). Fever was the most common presenting complaint, observed in 86.5% of patients, followed by chills/rigors (69.0%) and tachycardia (61.3%). Hypotension was noted in 31.6% of cases, </w:t>
      </w:r>
      <w:r w:rsidR="001C2C0B" w:rsidRPr="0024594D">
        <w:rPr>
          <w:rFonts w:ascii="Times New Roman" w:hAnsi="Times New Roman" w:cs="Times New Roman"/>
          <w:sz w:val="20"/>
          <w:szCs w:val="20"/>
        </w:rPr>
        <w:t xml:space="preserve">and altered sensorium </w:t>
      </w:r>
      <w:r w:rsidRPr="0024594D">
        <w:rPr>
          <w:rFonts w:ascii="Times New Roman" w:hAnsi="Times New Roman" w:cs="Times New Roman"/>
          <w:sz w:val="20"/>
          <w:szCs w:val="20"/>
        </w:rPr>
        <w:t>in 23.2%, indicating significant systemic involvement in a substantial proportion of patients. Among comorbid conditions, diabetes mellitus was the most prevalent (33.5%), followed by chronic kidney disease (15.5%). Approximately 40.6% of patients required ICU admission, reflecting the severity of illness in the study population.</w:t>
      </w:r>
    </w:p>
    <w:p w:rsidR="00DF54E5" w:rsidRPr="0024594D" w:rsidRDefault="00DF54E5"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Out of the 310 blood cultures processed, 106 (34.2%) yielded significant bacterial growth. Among these culture-positive cases, 45.3% were diagnosed with sepsis, 32.1% with severe sepsis, and 22.6% progressed to septic shock. Organ dysfunction was commonly observed, with respiratory failure (39.6%) and renal dysfunction (35.8%) being the most frequent complications. A considerable number of patients required advanced supportive care, including mechanical ventilation (34.0%) and vasopressor support (26.4%). The overall mortality rate among culture-positive patients was 22.6%, while 64.2% recovered, highlighting the serious clinical implications of bloodstream infections.</w:t>
      </w:r>
    </w:p>
    <w:p w:rsidR="00DF54E5" w:rsidRPr="0024594D" w:rsidRDefault="00DF54E5"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The microbiological profile revealed a predominance of gram-negative organisms (57.5%), with </w:t>
      </w:r>
      <w:r w:rsidRPr="0024594D">
        <w:rPr>
          <w:rFonts w:ascii="Times New Roman" w:hAnsi="Times New Roman" w:cs="Times New Roman"/>
          <w:i/>
          <w:iCs/>
          <w:sz w:val="20"/>
          <w:szCs w:val="20"/>
        </w:rPr>
        <w:t>Klebsiella pneumoniae</w:t>
      </w:r>
      <w:r w:rsidRPr="0024594D">
        <w:rPr>
          <w:rFonts w:ascii="Times New Roman" w:hAnsi="Times New Roman" w:cs="Times New Roman"/>
          <w:sz w:val="20"/>
          <w:szCs w:val="20"/>
        </w:rPr>
        <w:t xml:space="preserve"> (25.4%) and </w:t>
      </w:r>
      <w:r w:rsidRPr="0024594D">
        <w:rPr>
          <w:rFonts w:ascii="Times New Roman" w:hAnsi="Times New Roman" w:cs="Times New Roman"/>
          <w:i/>
          <w:iCs/>
          <w:sz w:val="20"/>
          <w:szCs w:val="20"/>
        </w:rPr>
        <w:t>Escherichia coli</w:t>
      </w:r>
      <w:r w:rsidRPr="0024594D">
        <w:rPr>
          <w:rFonts w:ascii="Times New Roman" w:hAnsi="Times New Roman" w:cs="Times New Roman"/>
          <w:sz w:val="20"/>
          <w:szCs w:val="20"/>
        </w:rPr>
        <w:t xml:space="preserve"> (19.8%) being the most common isolates. Among gram-positive organisms, </w:t>
      </w:r>
      <w:r w:rsidRPr="0024594D">
        <w:rPr>
          <w:rFonts w:ascii="Times New Roman" w:hAnsi="Times New Roman" w:cs="Times New Roman"/>
          <w:i/>
          <w:iCs/>
          <w:sz w:val="20"/>
          <w:szCs w:val="20"/>
        </w:rPr>
        <w:t>Staphylococcus aureus</w:t>
      </w:r>
      <w:r w:rsidRPr="0024594D">
        <w:rPr>
          <w:rFonts w:ascii="Times New Roman" w:hAnsi="Times New Roman" w:cs="Times New Roman"/>
          <w:sz w:val="20"/>
          <w:szCs w:val="20"/>
        </w:rPr>
        <w:t xml:space="preserve"> accounted for 26.4% of cases, of which 42.9% were identified as methicillin-resistant (MRSA). Clinically, gram-negative infections were more frequently associated with ICU settings and severe disease, including septic shock, whereas </w:t>
      </w:r>
      <w:r w:rsidRPr="0024594D">
        <w:rPr>
          <w:rFonts w:ascii="Times New Roman" w:hAnsi="Times New Roman" w:cs="Times New Roman"/>
          <w:i/>
          <w:iCs/>
          <w:sz w:val="20"/>
          <w:szCs w:val="20"/>
        </w:rPr>
        <w:t>E. coli</w:t>
      </w:r>
      <w:r w:rsidRPr="0024594D">
        <w:rPr>
          <w:rFonts w:ascii="Times New Roman" w:hAnsi="Times New Roman" w:cs="Times New Roman"/>
          <w:sz w:val="20"/>
          <w:szCs w:val="20"/>
        </w:rPr>
        <w:t xml:space="preserve"> was more commonly associated with ward patients presenting with urosepsis. MRSA and other gram-positive infections were often linked to invasive devices and line-related infections.</w:t>
      </w:r>
    </w:p>
    <w:p w:rsidR="00DF54E5" w:rsidRPr="0024594D" w:rsidRDefault="00DF54E5"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Multidrug resistance (MDR) was identified in 41 (38.7%) isolates. A statistically significant association was observed between MDR and ICU admission (p = 0.01), indicating that critically ill patients are at higher risk of resistant infections. Other significant risk factors included prior hospitalization (p = 0.02), use of invasive devices (p = 0.003), and prior antibiotic exposure (p = 0.001). Although diabetes mellitus was common among patients, its association with MDR was not statistically significant (p = 0.28).</w:t>
      </w:r>
    </w:p>
    <w:p w:rsidR="00DF54E5" w:rsidRPr="0024594D" w:rsidRDefault="00DF54E5" w:rsidP="00C61781">
      <w:pPr>
        <w:spacing w:after="0" w:line="360" w:lineRule="auto"/>
        <w:jc w:val="both"/>
        <w:rPr>
          <w:rFonts w:ascii="Times New Roman" w:hAnsi="Times New Roman" w:cs="Times New Roman"/>
          <w:b/>
          <w:bCs/>
          <w:sz w:val="20"/>
          <w:szCs w:val="20"/>
        </w:rPr>
      </w:pPr>
    </w:p>
    <w:p w:rsidR="00C61781" w:rsidRDefault="00C61781" w:rsidP="00C61781">
      <w:pPr>
        <w:spacing w:after="0" w:line="360" w:lineRule="auto"/>
        <w:jc w:val="both"/>
        <w:rPr>
          <w:rFonts w:ascii="Times New Roman" w:hAnsi="Times New Roman" w:cs="Times New Roman"/>
          <w:b/>
          <w:bCs/>
          <w:sz w:val="20"/>
          <w:szCs w:val="20"/>
        </w:rPr>
      </w:pPr>
    </w:p>
    <w:p w:rsidR="00C61781" w:rsidRDefault="00C61781" w:rsidP="00C61781">
      <w:pPr>
        <w:spacing w:after="0" w:line="360" w:lineRule="auto"/>
        <w:jc w:val="both"/>
        <w:rPr>
          <w:rFonts w:ascii="Times New Roman" w:hAnsi="Times New Roman" w:cs="Times New Roman"/>
          <w:b/>
          <w:bCs/>
          <w:sz w:val="20"/>
          <w:szCs w:val="20"/>
        </w:rPr>
      </w:pPr>
    </w:p>
    <w:p w:rsidR="00C61781" w:rsidRDefault="00C61781" w:rsidP="00C61781">
      <w:pPr>
        <w:spacing w:after="0" w:line="360" w:lineRule="auto"/>
        <w:jc w:val="both"/>
        <w:rPr>
          <w:rFonts w:ascii="Times New Roman" w:hAnsi="Times New Roman" w:cs="Times New Roman"/>
          <w:b/>
          <w:bCs/>
          <w:sz w:val="20"/>
          <w:szCs w:val="20"/>
        </w:rPr>
      </w:pPr>
    </w:p>
    <w:p w:rsidR="00C61781" w:rsidRDefault="00C61781" w:rsidP="00C61781">
      <w:pPr>
        <w:spacing w:after="0" w:line="360" w:lineRule="auto"/>
        <w:jc w:val="both"/>
        <w:rPr>
          <w:rFonts w:ascii="Times New Roman" w:hAnsi="Times New Roman" w:cs="Times New Roman"/>
          <w:b/>
          <w:bCs/>
          <w:sz w:val="20"/>
          <w:szCs w:val="20"/>
        </w:rPr>
      </w:pPr>
    </w:p>
    <w:p w:rsidR="00C61781" w:rsidRDefault="00C61781" w:rsidP="00C61781">
      <w:pPr>
        <w:spacing w:after="0" w:line="360" w:lineRule="auto"/>
        <w:jc w:val="both"/>
        <w:rPr>
          <w:rFonts w:ascii="Times New Roman" w:hAnsi="Times New Roman" w:cs="Times New Roman"/>
          <w:b/>
          <w:bCs/>
          <w:sz w:val="20"/>
          <w:szCs w:val="20"/>
        </w:rPr>
      </w:pPr>
    </w:p>
    <w:p w:rsidR="00DF54E5" w:rsidRPr="0024594D" w:rsidRDefault="00DF54E5"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Table 1: Baseline Clinical Characteristics of Patients with Suspected Bloodstream Infection (n = 310)</w:t>
      </w:r>
    </w:p>
    <w:p w:rsidR="00DF54E5" w:rsidRPr="0024594D" w:rsidRDefault="00DF54E5" w:rsidP="00C61781">
      <w:pPr>
        <w:spacing w:after="0" w:line="360" w:lineRule="auto"/>
        <w:jc w:val="both"/>
        <w:rPr>
          <w:rFonts w:ascii="Times New Roman" w:hAnsi="Times New Roman" w:cs="Times New Roman"/>
          <w:b/>
          <w:bCs/>
          <w:sz w:val="20"/>
          <w:szCs w:val="20"/>
        </w:rPr>
      </w:pPr>
    </w:p>
    <w:tbl>
      <w:tblPr>
        <w:tblStyle w:val="TableGrid"/>
        <w:tblW w:w="8795" w:type="dxa"/>
        <w:tblLook w:val="04A0" w:firstRow="1" w:lastRow="0" w:firstColumn="1" w:lastColumn="0" w:noHBand="0" w:noVBand="1"/>
      </w:tblPr>
      <w:tblGrid>
        <w:gridCol w:w="5876"/>
        <w:gridCol w:w="2919"/>
      </w:tblGrid>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Variable</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Number (%)</w:t>
            </w:r>
          </w:p>
        </w:tc>
      </w:tr>
      <w:tr w:rsidR="00E66BED" w:rsidRPr="0024594D" w:rsidTr="00E66BED">
        <w:trPr>
          <w:trHeight w:val="416"/>
        </w:trPr>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Age Group</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p>
        </w:tc>
      </w:tr>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&lt;18 years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52 (16.8%)</w:t>
            </w:r>
          </w:p>
        </w:tc>
      </w:tr>
      <w:tr w:rsidR="00E66BED" w:rsidRPr="0024594D" w:rsidTr="00E66BED">
        <w:trPr>
          <w:trHeight w:val="416"/>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18–60 years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186 (60.0%)</w:t>
            </w:r>
          </w:p>
        </w:tc>
      </w:tr>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&gt;60 years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72 (23.2%)</w:t>
            </w:r>
          </w:p>
        </w:tc>
      </w:tr>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Gender</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p>
        </w:tc>
      </w:tr>
      <w:tr w:rsidR="00E66BED" w:rsidRPr="0024594D" w:rsidTr="00E66BED">
        <w:trPr>
          <w:trHeight w:val="416"/>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Male</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182 (58.7%)</w:t>
            </w:r>
          </w:p>
        </w:tc>
      </w:tr>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Female</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128 (41.3%)</w:t>
            </w:r>
          </w:p>
        </w:tc>
      </w:tr>
      <w:tr w:rsidR="00E66BED" w:rsidRPr="0024594D" w:rsidTr="00E66BED">
        <w:trPr>
          <w:trHeight w:val="416"/>
        </w:trPr>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Presenting Clinical Features</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p>
        </w:tc>
      </w:tr>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Fever</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268 (86.5%)</w:t>
            </w:r>
          </w:p>
        </w:tc>
      </w:tr>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Chills/rigors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214 (69.0%)</w:t>
            </w:r>
          </w:p>
        </w:tc>
      </w:tr>
      <w:tr w:rsidR="00E66BED" w:rsidRPr="0024594D" w:rsidTr="00E66BED">
        <w:trPr>
          <w:trHeight w:val="416"/>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Hypotension</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98 (31.6%)</w:t>
            </w:r>
          </w:p>
        </w:tc>
      </w:tr>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Altered sensorium</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72 (23.2%)</w:t>
            </w:r>
          </w:p>
        </w:tc>
      </w:tr>
      <w:tr w:rsidR="00E66BED" w:rsidRPr="0024594D" w:rsidTr="00E66BED">
        <w:trPr>
          <w:trHeight w:val="416"/>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Tachycardia</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190 (61.3%)</w:t>
            </w:r>
          </w:p>
        </w:tc>
      </w:tr>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Comorbidities</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p>
        </w:tc>
      </w:tr>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Diabetes mellitus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104 (33.5%)</w:t>
            </w:r>
          </w:p>
        </w:tc>
      </w:tr>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Chronic kidney disease</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48 (15.5%)</w:t>
            </w:r>
          </w:p>
        </w:tc>
      </w:tr>
      <w:tr w:rsidR="00E66BED" w:rsidRPr="0024594D" w:rsidTr="00E66BED">
        <w:trPr>
          <w:trHeight w:val="416"/>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Malignancy</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32 (10.3%)</w:t>
            </w:r>
          </w:p>
        </w:tc>
      </w:tr>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Immunosuppression</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28 (9.0%)</w:t>
            </w:r>
          </w:p>
        </w:tc>
      </w:tr>
      <w:tr w:rsidR="00E66BED" w:rsidRPr="0024594D" w:rsidTr="00E66BED">
        <w:trPr>
          <w:trHeight w:val="416"/>
        </w:trPr>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Hospital Location</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p>
        </w:tc>
      </w:tr>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ICU</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126 (40.6%)</w:t>
            </w:r>
          </w:p>
        </w:tc>
      </w:tr>
      <w:tr w:rsidR="00E66BED" w:rsidRPr="0024594D" w:rsidTr="00E66BED">
        <w:trPr>
          <w:trHeight w:val="425"/>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Ward</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184 (59.4%)</w:t>
            </w:r>
          </w:p>
        </w:tc>
      </w:tr>
    </w:tbl>
    <w:p w:rsidR="00E66BED" w:rsidRPr="0024594D" w:rsidRDefault="00E66BED" w:rsidP="00C61781">
      <w:pPr>
        <w:spacing w:after="0" w:line="360" w:lineRule="auto"/>
        <w:jc w:val="both"/>
        <w:rPr>
          <w:rFonts w:ascii="Times New Roman" w:hAnsi="Times New Roman" w:cs="Times New Roman"/>
          <w:b/>
          <w:bCs/>
          <w:sz w:val="20"/>
          <w:szCs w:val="20"/>
        </w:rPr>
      </w:pPr>
    </w:p>
    <w:p w:rsidR="00E66BED" w:rsidRPr="0024594D" w:rsidRDefault="00E66BED"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Table 2: Clinical Severity and Outcome Profile of Blood Culture Positive Patients (n = 106)</w:t>
      </w:r>
    </w:p>
    <w:tbl>
      <w:tblPr>
        <w:tblStyle w:val="TableGrid"/>
        <w:tblW w:w="9216" w:type="dxa"/>
        <w:tblLook w:val="04A0" w:firstRow="1" w:lastRow="0" w:firstColumn="1" w:lastColumn="0" w:noHBand="0" w:noVBand="1"/>
      </w:tblPr>
      <w:tblGrid>
        <w:gridCol w:w="5985"/>
        <w:gridCol w:w="3231"/>
      </w:tblGrid>
      <w:tr w:rsidR="00E66BED" w:rsidRPr="0024594D" w:rsidTr="00E66BED">
        <w:trPr>
          <w:trHeight w:val="411"/>
        </w:trPr>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Parameter</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Number (%)</w:t>
            </w:r>
          </w:p>
        </w:tc>
      </w:tr>
      <w:tr w:rsidR="00E66BED" w:rsidRPr="0024594D" w:rsidTr="00E66BED">
        <w:trPr>
          <w:trHeight w:val="402"/>
        </w:trPr>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Clinical Diagnosis</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p>
        </w:tc>
      </w:tr>
      <w:tr w:rsidR="00E66BED" w:rsidRPr="0024594D" w:rsidTr="00E66BED">
        <w:trPr>
          <w:trHeight w:val="411"/>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Sepsis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48 (45.3%)</w:t>
            </w:r>
          </w:p>
        </w:tc>
      </w:tr>
      <w:tr w:rsidR="00E66BED" w:rsidRPr="0024594D" w:rsidTr="00E66BED">
        <w:trPr>
          <w:trHeight w:val="402"/>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Severe sepsis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34 (32.1%)</w:t>
            </w:r>
          </w:p>
        </w:tc>
      </w:tr>
      <w:tr w:rsidR="00E66BED" w:rsidRPr="0024594D" w:rsidTr="00E66BED">
        <w:trPr>
          <w:trHeight w:val="411"/>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Septic shock</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24 (22.6%)</w:t>
            </w:r>
          </w:p>
        </w:tc>
      </w:tr>
      <w:tr w:rsidR="00E66BED" w:rsidRPr="0024594D" w:rsidTr="00E66BED">
        <w:trPr>
          <w:trHeight w:val="411"/>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Organ Dysfunction</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p>
        </w:tc>
      </w:tr>
      <w:tr w:rsidR="00E66BED" w:rsidRPr="0024594D" w:rsidTr="00E66BED">
        <w:trPr>
          <w:trHeight w:val="402"/>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Renal dysfunction</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38 (35.8%)</w:t>
            </w:r>
          </w:p>
        </w:tc>
      </w:tr>
      <w:tr w:rsidR="00E66BED" w:rsidRPr="0024594D" w:rsidTr="00E66BED">
        <w:trPr>
          <w:trHeight w:val="411"/>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Respiratory failure</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42 (39.6%)</w:t>
            </w:r>
          </w:p>
        </w:tc>
      </w:tr>
      <w:tr w:rsidR="00E66BED" w:rsidRPr="0024594D" w:rsidTr="00E66BED">
        <w:trPr>
          <w:trHeight w:val="402"/>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Hepatic dysfunction</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18 (17.0%)</w:t>
            </w:r>
          </w:p>
        </w:tc>
      </w:tr>
      <w:tr w:rsidR="00E66BED" w:rsidRPr="0024594D" w:rsidTr="00E66BED">
        <w:trPr>
          <w:trHeight w:val="411"/>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Support Required</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p>
        </w:tc>
      </w:tr>
      <w:tr w:rsidR="00E66BED" w:rsidRPr="0024594D" w:rsidTr="00E66BED">
        <w:trPr>
          <w:trHeight w:val="411"/>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Mechanical ventilation</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36 (34.0%)</w:t>
            </w:r>
          </w:p>
        </w:tc>
      </w:tr>
      <w:tr w:rsidR="00E66BED" w:rsidRPr="0024594D" w:rsidTr="00E66BED">
        <w:trPr>
          <w:trHeight w:val="402"/>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Vasopressor support</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28 (26.4%)</w:t>
            </w:r>
          </w:p>
        </w:tc>
      </w:tr>
      <w:tr w:rsidR="00E66BED" w:rsidRPr="0024594D" w:rsidTr="00E66BED">
        <w:trPr>
          <w:trHeight w:val="411"/>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Outcome</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p>
        </w:tc>
      </w:tr>
      <w:tr w:rsidR="00E66BED" w:rsidRPr="0024594D" w:rsidTr="00E66BED">
        <w:trPr>
          <w:trHeight w:val="402"/>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Recovered</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68 (64.2%)</w:t>
            </w:r>
          </w:p>
        </w:tc>
      </w:tr>
      <w:tr w:rsidR="00E66BED" w:rsidRPr="0024594D" w:rsidTr="00E66BED">
        <w:trPr>
          <w:trHeight w:val="411"/>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Left against medical advice</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14 (13.2%)</w:t>
            </w:r>
          </w:p>
        </w:tc>
      </w:tr>
      <w:tr w:rsidR="00E66BED" w:rsidRPr="0024594D" w:rsidTr="00E66BED">
        <w:trPr>
          <w:trHeight w:val="411"/>
        </w:trPr>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Mortality</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24 (22.6%)</w:t>
            </w:r>
          </w:p>
        </w:tc>
      </w:tr>
    </w:tbl>
    <w:p w:rsidR="00E66BED" w:rsidRPr="0024594D" w:rsidRDefault="00E66BED" w:rsidP="00C61781">
      <w:pPr>
        <w:spacing w:after="0" w:line="360" w:lineRule="auto"/>
        <w:jc w:val="both"/>
        <w:rPr>
          <w:rFonts w:ascii="Times New Roman" w:hAnsi="Times New Roman" w:cs="Times New Roman"/>
          <w:b/>
          <w:bCs/>
          <w:sz w:val="20"/>
          <w:szCs w:val="20"/>
        </w:rPr>
      </w:pPr>
    </w:p>
    <w:p w:rsidR="00E66BED" w:rsidRPr="0024594D" w:rsidRDefault="00E66BED"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Table 3: Distribution of Pathogens and Their Clinical Correlation (n = 106)</w:t>
      </w:r>
    </w:p>
    <w:tbl>
      <w:tblPr>
        <w:tblStyle w:val="TableGrid"/>
        <w:tblW w:w="0" w:type="auto"/>
        <w:tblLook w:val="04A0" w:firstRow="1" w:lastRow="0" w:firstColumn="1" w:lastColumn="0" w:noHBand="0" w:noVBand="1"/>
      </w:tblPr>
      <w:tblGrid>
        <w:gridCol w:w="2278"/>
        <w:gridCol w:w="2116"/>
        <w:gridCol w:w="2372"/>
        <w:gridCol w:w="2327"/>
      </w:tblGrid>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Organism</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Number (%)</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Common Clinical Setting</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Associated Severity</w:t>
            </w:r>
          </w:p>
        </w:tc>
      </w:tr>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i/>
                <w:iCs/>
                <w:sz w:val="20"/>
                <w:szCs w:val="20"/>
              </w:rPr>
              <w:t>Klebsiella pneumoniae</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27 (25.4%)</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ICU, ventilated patients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Severe sepsis/septic shock</w:t>
            </w:r>
          </w:p>
        </w:tc>
      </w:tr>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i/>
                <w:iCs/>
                <w:sz w:val="20"/>
                <w:szCs w:val="20"/>
              </w:rPr>
              <w:t>Escherichia coli</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21 (19.8%)</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Urosepsis, wards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Sepsis</w:t>
            </w:r>
          </w:p>
        </w:tc>
      </w:tr>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i/>
                <w:iCs/>
                <w:sz w:val="20"/>
                <w:szCs w:val="20"/>
              </w:rPr>
              <w:t>Staphylococcus aureus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28 (26.4%)</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Line-related infections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Sepsis/severe sepsis</w:t>
            </w:r>
          </w:p>
        </w:tc>
      </w:tr>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MRSA</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12 (42.9% of S. aureus)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ICU, invasive devices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Severe sepsis</w:t>
            </w:r>
          </w:p>
        </w:tc>
      </w:tr>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i/>
                <w:iCs/>
                <w:sz w:val="20"/>
                <w:szCs w:val="20"/>
              </w:rPr>
              <w:t>Pseudomonas aeruginosa</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9 (8.5%)</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ICU, ventilator-associated</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Septic shock</w:t>
            </w:r>
          </w:p>
        </w:tc>
      </w:tr>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i/>
                <w:iCs/>
                <w:sz w:val="20"/>
                <w:szCs w:val="20"/>
              </w:rPr>
              <w:t>Acinetobacter baumannii</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4 (3.8%)</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ICU, prolonged stay</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Severe sepsis</w:t>
            </w:r>
          </w:p>
        </w:tc>
      </w:tr>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i/>
                <w:iCs/>
                <w:sz w:val="20"/>
                <w:szCs w:val="20"/>
              </w:rPr>
              <w:t>Enterococcus faecalis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7 (6.6%)</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Post-surgical/urinary</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Sepsis</w:t>
            </w:r>
          </w:p>
        </w:tc>
      </w:tr>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Others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10 (9.4%)</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Mixed</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Variable</w:t>
            </w:r>
          </w:p>
        </w:tc>
      </w:tr>
    </w:tbl>
    <w:p w:rsidR="00E66BED" w:rsidRPr="0024594D" w:rsidRDefault="00E66BED" w:rsidP="00C61781">
      <w:pPr>
        <w:spacing w:after="0" w:line="360" w:lineRule="auto"/>
        <w:jc w:val="both"/>
        <w:rPr>
          <w:rFonts w:ascii="Times New Roman" w:hAnsi="Times New Roman" w:cs="Times New Roman"/>
          <w:b/>
          <w:bCs/>
          <w:sz w:val="20"/>
          <w:szCs w:val="20"/>
        </w:rPr>
      </w:pPr>
    </w:p>
    <w:p w:rsidR="00E66BED" w:rsidRPr="0024594D" w:rsidRDefault="00E66BED"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Table 4: Risk Factors Associated with Multidrug Resistance (MDR) (n = 106)</w:t>
      </w:r>
    </w:p>
    <w:tbl>
      <w:tblPr>
        <w:tblStyle w:val="TableGrid"/>
        <w:tblW w:w="0" w:type="auto"/>
        <w:tblLook w:val="04A0" w:firstRow="1" w:lastRow="0" w:firstColumn="1" w:lastColumn="0" w:noHBand="0" w:noVBand="1"/>
      </w:tblPr>
      <w:tblGrid>
        <w:gridCol w:w="2166"/>
        <w:gridCol w:w="2537"/>
        <w:gridCol w:w="2486"/>
        <w:gridCol w:w="850"/>
      </w:tblGrid>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Risk Factor</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MDR Present n (%) (n=41)</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MDR Absent n (%) (n=65)</w:t>
            </w:r>
          </w:p>
        </w:tc>
        <w:tc>
          <w:tcPr>
            <w:tcW w:w="0" w:type="auto"/>
            <w:hideMark/>
          </w:tcPr>
          <w:p w:rsidR="00E66BED" w:rsidRPr="0024594D" w:rsidRDefault="00E66BED" w:rsidP="00C61781">
            <w:pPr>
              <w:spacing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p-value</w:t>
            </w:r>
          </w:p>
        </w:tc>
      </w:tr>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ICU Admission</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28 (68.3%)</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18 (27.7%)</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0.01</w:t>
            </w:r>
          </w:p>
        </w:tc>
      </w:tr>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Prior Hospitalization</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24 (58.5%)</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20 (30.8%)</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0.02</w:t>
            </w:r>
          </w:p>
        </w:tc>
      </w:tr>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Diabetes Mellitus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18 (43.9%)</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22 (33.8%)</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0.28</w:t>
            </w:r>
          </w:p>
        </w:tc>
      </w:tr>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Use of Invasive Devices</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30 (73.2%)</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26 (40.0%)</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0.003</w:t>
            </w:r>
          </w:p>
        </w:tc>
      </w:tr>
      <w:tr w:rsidR="00E66BED" w:rsidRPr="0024594D" w:rsidTr="00E66BED">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Prior Antibiotic Use</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32 (78.0%)</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30 (46.2%)</w:t>
            </w:r>
          </w:p>
        </w:tc>
        <w:tc>
          <w:tcPr>
            <w:tcW w:w="0" w:type="auto"/>
            <w:hideMark/>
          </w:tcPr>
          <w:p w:rsidR="00E66BED" w:rsidRPr="0024594D" w:rsidRDefault="00E66BED" w:rsidP="00C61781">
            <w:pPr>
              <w:spacing w:line="360" w:lineRule="auto"/>
              <w:jc w:val="both"/>
              <w:rPr>
                <w:rFonts w:ascii="Times New Roman" w:hAnsi="Times New Roman" w:cs="Times New Roman"/>
                <w:sz w:val="20"/>
                <w:szCs w:val="20"/>
              </w:rPr>
            </w:pPr>
            <w:r w:rsidRPr="0024594D">
              <w:rPr>
                <w:rFonts w:ascii="Times New Roman" w:hAnsi="Times New Roman" w:cs="Times New Roman"/>
                <w:sz w:val="20"/>
                <w:szCs w:val="20"/>
              </w:rPr>
              <w:t>0.001</w:t>
            </w:r>
          </w:p>
        </w:tc>
      </w:tr>
    </w:tbl>
    <w:p w:rsidR="00E66BED" w:rsidRPr="0024594D" w:rsidRDefault="00E66BED" w:rsidP="00C61781">
      <w:pPr>
        <w:spacing w:after="0" w:line="360" w:lineRule="auto"/>
        <w:jc w:val="both"/>
        <w:rPr>
          <w:rFonts w:ascii="Times New Roman" w:hAnsi="Times New Roman" w:cs="Times New Roman"/>
          <w:b/>
          <w:bCs/>
          <w:sz w:val="20"/>
          <w:szCs w:val="20"/>
        </w:rPr>
      </w:pPr>
    </w:p>
    <w:p w:rsidR="00D279A7" w:rsidRPr="0024594D" w:rsidRDefault="00D279A7"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Discussion</w:t>
      </w:r>
    </w:p>
    <w:p w:rsidR="00A14F4A" w:rsidRPr="0024594D" w:rsidRDefault="00A14F4A"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Bloodstream infections continue to pose a significant challenge in clinical practice, particularly in hospitalized and critically ill patients. In the present study, the blood culture positivity rate was 34.2%, which is consistent with previous reports showing positivity rates ranging from 20% to 40% depending on patient population and diagnostic practices (9,10). This underscores the ongoing burden of BSIs in tertiary care settings.</w:t>
      </w:r>
    </w:p>
    <w:p w:rsidR="00A14F4A" w:rsidRPr="0024594D" w:rsidRDefault="00A14F4A"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The predominance of gram-negative bacilli (57.5%) in this study, with </w:t>
      </w:r>
      <w:r w:rsidRPr="0024594D">
        <w:rPr>
          <w:rFonts w:ascii="Times New Roman" w:hAnsi="Times New Roman" w:cs="Times New Roman"/>
          <w:i/>
          <w:iCs/>
          <w:sz w:val="20"/>
          <w:szCs w:val="20"/>
        </w:rPr>
        <w:t>Klebsiella pneumoniae</w:t>
      </w:r>
      <w:r w:rsidRPr="0024594D">
        <w:rPr>
          <w:rFonts w:ascii="Times New Roman" w:hAnsi="Times New Roman" w:cs="Times New Roman"/>
          <w:sz w:val="20"/>
          <w:szCs w:val="20"/>
        </w:rPr>
        <w:t xml:space="preserve"> and </w:t>
      </w:r>
      <w:r w:rsidRPr="0024594D">
        <w:rPr>
          <w:rFonts w:ascii="Times New Roman" w:hAnsi="Times New Roman" w:cs="Times New Roman"/>
          <w:i/>
          <w:iCs/>
          <w:sz w:val="20"/>
          <w:szCs w:val="20"/>
        </w:rPr>
        <w:t>Escherichia coli</w:t>
      </w:r>
      <w:r w:rsidRPr="0024594D">
        <w:rPr>
          <w:rFonts w:ascii="Times New Roman" w:hAnsi="Times New Roman" w:cs="Times New Roman"/>
          <w:sz w:val="20"/>
          <w:szCs w:val="20"/>
        </w:rPr>
        <w:t xml:space="preserve"> as the leading pathogens, aligns with global trends indicating a shift toward gram-negative bacteremia (4,11). Gram-negative infections are often associated with severe clinical manifestations, including septic shock, due to endotoxin-mediated inflammatory responses, contributing to higher mortality rates (2).</w:t>
      </w:r>
    </w:p>
    <w:p w:rsidR="00A14F4A" w:rsidRPr="0024594D" w:rsidRDefault="00A14F4A"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Among gram-positive organisms, </w:t>
      </w:r>
      <w:r w:rsidRPr="0024594D">
        <w:rPr>
          <w:rFonts w:ascii="Times New Roman" w:hAnsi="Times New Roman" w:cs="Times New Roman"/>
          <w:i/>
          <w:iCs/>
          <w:sz w:val="20"/>
          <w:szCs w:val="20"/>
        </w:rPr>
        <w:t>Staphylococcus aureus</w:t>
      </w:r>
      <w:r w:rsidRPr="0024594D">
        <w:rPr>
          <w:rFonts w:ascii="Times New Roman" w:hAnsi="Times New Roman" w:cs="Times New Roman"/>
          <w:sz w:val="20"/>
          <w:szCs w:val="20"/>
        </w:rPr>
        <w:t xml:space="preserve"> accounted for a significant proportion of cases, with a high prevalence of MRSA (42.9%). Similar findings have been reported in earlier studies, emphasizing the role of MRSA in hospital-acquired infections, especially in patients with invasive devices and prolonged hospital stay (5,12). The preserved susceptibility of MRSA to vancomycin and linezolid in our study supports their continued use as effective therapeutic agents, although careful stewardship is necessary.</w:t>
      </w:r>
    </w:p>
    <w:p w:rsidR="00A14F4A" w:rsidRPr="0024594D" w:rsidRDefault="00A14F4A"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A major concern identified in this study is the high level of resistance to commonly used empirical antibiotics, particularly third-generation cephalosporins and fluoroquinolones. This observation is consistent with global reports highlighting the increasing burden of antimicrobial resistance driven by inappropriate antibiotic use (6,7). The relatively higher sensitivity to amikacin and carbapenems suggests that these agents remain effective for severe infections; however, their use should be guided by local antibiogram data to prevent further resistance.</w:t>
      </w:r>
    </w:p>
    <w:p w:rsidR="00A14F4A" w:rsidRPr="0024594D" w:rsidRDefault="00A14F4A"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The association between multidrug resistance (MDR) and ICU admission observed in this study is clinically significant. ICU patients are at higher risk of acquiring resistant infections due to multiple factors, including invasive procedures, prior antibiotic exposure, and prolonged hospitalization. Similar associations have been reported in earlier studies, identifying ICU stay as a key risk factor for MDR infections (7,11). Additionally, prior antibiotic use and invasive device utilization were also significantly associated with MDR, reinforcing the importance of infection control practices.</w:t>
      </w:r>
    </w:p>
    <w:p w:rsidR="00A14F4A" w:rsidRPr="0024594D" w:rsidRDefault="00A14F4A"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The clinical severity observed in this study, with a substantial proportion of patients progressing to severe sepsis and septic shock and an overall mortality rate of 22.6%, reflects the serious nature of bloodstream infections. These findings are comparable to earlier studies that have reported high mortality rates associated with sepsis, particularly in ICU settings (2,3). Early diagnosis, appropriate empirical therapy, and timely de-escalation based on culture results remain critical in improving patient outcomes.</w:t>
      </w:r>
    </w:p>
    <w:p w:rsidR="00A14F4A" w:rsidRPr="0024594D" w:rsidRDefault="00A14F4A"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In summary, the findings of this study highlight the changing epidemiology of bloodstream infections, the growing challenge of antimicrobial resistance, and the importance of individualized, risk-based empirical therapy. Integration of microbiological data with clinical decision-making and strict implementation of antimicrobial stewardship programs are essential to optimize patient care and reduce mortality.</w:t>
      </w:r>
    </w:p>
    <w:p w:rsidR="00D279A7" w:rsidRPr="0024594D" w:rsidRDefault="00D279A7"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Conclusion</w:t>
      </w:r>
    </w:p>
    <w:p w:rsidR="00D279A7" w:rsidRPr="0024594D" w:rsidRDefault="00A14F4A" w:rsidP="00C61781">
      <w:p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In conclusion, the present study highlights the predominance of gram-negative pathogens and the growing challenge of antimicrobial resistance in bloodstream infections. The strong association of MDR with ICU admission and prior antibiotic exposure emphasizes the need for targeted empirical therapy, robust infection control measures, and effective antimicrobial stewardship programs to improve clinical outcomes.</w:t>
      </w:r>
      <w:r w:rsidR="00D279A7" w:rsidRPr="0024594D">
        <w:rPr>
          <w:rFonts w:ascii="Times New Roman" w:hAnsi="Times New Roman" w:cs="Times New Roman"/>
          <w:sz w:val="20"/>
          <w:szCs w:val="20"/>
        </w:rPr>
        <w:t>guided by local data and CLSI-compliant protocols to curb resistance and improve outcomes.</w:t>
      </w:r>
    </w:p>
    <w:p w:rsidR="00A14F4A" w:rsidRPr="0024594D" w:rsidRDefault="00A14F4A" w:rsidP="00C61781">
      <w:pPr>
        <w:spacing w:after="0" w:line="360" w:lineRule="auto"/>
        <w:jc w:val="both"/>
        <w:rPr>
          <w:rFonts w:ascii="Times New Roman" w:hAnsi="Times New Roman" w:cs="Times New Roman"/>
          <w:sz w:val="20"/>
          <w:szCs w:val="20"/>
        </w:rPr>
      </w:pPr>
    </w:p>
    <w:p w:rsidR="00A14F4A" w:rsidRPr="0024594D" w:rsidRDefault="00A14F4A" w:rsidP="00C61781">
      <w:pPr>
        <w:spacing w:after="0" w:line="360" w:lineRule="auto"/>
        <w:jc w:val="both"/>
        <w:rPr>
          <w:rFonts w:ascii="Times New Roman" w:hAnsi="Times New Roman" w:cs="Times New Roman"/>
          <w:b/>
          <w:bCs/>
          <w:sz w:val="20"/>
          <w:szCs w:val="20"/>
        </w:rPr>
      </w:pPr>
      <w:r w:rsidRPr="0024594D">
        <w:rPr>
          <w:rFonts w:ascii="Times New Roman" w:hAnsi="Times New Roman" w:cs="Times New Roman"/>
          <w:b/>
          <w:bCs/>
          <w:sz w:val="20"/>
          <w:szCs w:val="20"/>
        </w:rPr>
        <w:t xml:space="preserve">References </w:t>
      </w:r>
    </w:p>
    <w:p w:rsidR="00A14F4A" w:rsidRPr="0024594D" w:rsidRDefault="00A14F4A" w:rsidP="00C61781">
      <w:pPr>
        <w:numPr>
          <w:ilvl w:val="0"/>
          <w:numId w:val="1"/>
        </w:num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Weinstein MP, Towns ML, Quartey SM, Mirrett S, Reimer LG, Parmigiani G, et al. The clinical significance of positive blood cultures in the 1990s: a prospective comprehensive evaluation of the microbiology, epidemiology, and outcome of bacteremia and fungemia in adults. </w:t>
      </w:r>
      <w:r w:rsidRPr="0024594D">
        <w:rPr>
          <w:rFonts w:ascii="Times New Roman" w:hAnsi="Times New Roman" w:cs="Times New Roman"/>
          <w:i/>
          <w:iCs/>
          <w:sz w:val="20"/>
          <w:szCs w:val="20"/>
        </w:rPr>
        <w:t>Clin Infect Dis</w:t>
      </w:r>
      <w:r w:rsidRPr="0024594D">
        <w:rPr>
          <w:rFonts w:ascii="Times New Roman" w:hAnsi="Times New Roman" w:cs="Times New Roman"/>
          <w:sz w:val="20"/>
          <w:szCs w:val="20"/>
        </w:rPr>
        <w:t xml:space="preserve">. 1997;24(4):584–602. </w:t>
      </w:r>
    </w:p>
    <w:p w:rsidR="00A14F4A" w:rsidRPr="0024594D" w:rsidRDefault="00A14F4A" w:rsidP="00C61781">
      <w:pPr>
        <w:numPr>
          <w:ilvl w:val="0"/>
          <w:numId w:val="1"/>
        </w:num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Angus DC, Linde-Zwirble WT, Lidicker J, Clermont G, Carcillo J, Pinsky MR. Epidemiology of severe sepsis in the United States: analysis of incidence, outcome, and associated costs of care. </w:t>
      </w:r>
      <w:r w:rsidRPr="0024594D">
        <w:rPr>
          <w:rFonts w:ascii="Times New Roman" w:hAnsi="Times New Roman" w:cs="Times New Roman"/>
          <w:i/>
          <w:iCs/>
          <w:sz w:val="20"/>
          <w:szCs w:val="20"/>
        </w:rPr>
        <w:t>Crit Care Med</w:t>
      </w:r>
      <w:r w:rsidRPr="0024594D">
        <w:rPr>
          <w:rFonts w:ascii="Times New Roman" w:hAnsi="Times New Roman" w:cs="Times New Roman"/>
          <w:sz w:val="20"/>
          <w:szCs w:val="20"/>
        </w:rPr>
        <w:t xml:space="preserve">. 2001;29(7):1303–1310. </w:t>
      </w:r>
    </w:p>
    <w:p w:rsidR="00A14F4A" w:rsidRPr="0024594D" w:rsidRDefault="00A14F4A" w:rsidP="00C61781">
      <w:pPr>
        <w:numPr>
          <w:ilvl w:val="0"/>
          <w:numId w:val="1"/>
        </w:num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Martin GS, Mannino DM, Eaton S, Moss M. The epidemiology of sepsis in the United States from 1979 through 2000. </w:t>
      </w:r>
      <w:r w:rsidRPr="0024594D">
        <w:rPr>
          <w:rFonts w:ascii="Times New Roman" w:hAnsi="Times New Roman" w:cs="Times New Roman"/>
          <w:i/>
          <w:iCs/>
          <w:sz w:val="20"/>
          <w:szCs w:val="20"/>
        </w:rPr>
        <w:t>N Engl J Med</w:t>
      </w:r>
      <w:r w:rsidRPr="0024594D">
        <w:rPr>
          <w:rFonts w:ascii="Times New Roman" w:hAnsi="Times New Roman" w:cs="Times New Roman"/>
          <w:sz w:val="20"/>
          <w:szCs w:val="20"/>
        </w:rPr>
        <w:t xml:space="preserve">. 2003;348(16):1546–1554. </w:t>
      </w:r>
    </w:p>
    <w:p w:rsidR="00A14F4A" w:rsidRPr="0024594D" w:rsidRDefault="00A14F4A" w:rsidP="00C61781">
      <w:pPr>
        <w:numPr>
          <w:ilvl w:val="0"/>
          <w:numId w:val="1"/>
        </w:num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Diekema DJ, Beekmann SE, Chapin KC, Morel KA, Munson E, Doern GV. Epidemiology and outcome of nosocomial and community-onset bloodstream infection. </w:t>
      </w:r>
      <w:r w:rsidRPr="0024594D">
        <w:rPr>
          <w:rFonts w:ascii="Times New Roman" w:hAnsi="Times New Roman" w:cs="Times New Roman"/>
          <w:i/>
          <w:iCs/>
          <w:sz w:val="20"/>
          <w:szCs w:val="20"/>
        </w:rPr>
        <w:t>Clin Infect Dis</w:t>
      </w:r>
      <w:r w:rsidRPr="0024594D">
        <w:rPr>
          <w:rFonts w:ascii="Times New Roman" w:hAnsi="Times New Roman" w:cs="Times New Roman"/>
          <w:sz w:val="20"/>
          <w:szCs w:val="20"/>
        </w:rPr>
        <w:t xml:space="preserve">. 2003;36(9):1103–1110. </w:t>
      </w:r>
    </w:p>
    <w:p w:rsidR="00A14F4A" w:rsidRPr="0024594D" w:rsidRDefault="00A14F4A" w:rsidP="00C61781">
      <w:pPr>
        <w:numPr>
          <w:ilvl w:val="0"/>
          <w:numId w:val="1"/>
        </w:num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Klevens RM, Morrison MA, Nadle J, Petit S, Gershman K, Ray S, et al. Invasive methicillin-resistant </w:t>
      </w:r>
      <w:r w:rsidRPr="0024594D">
        <w:rPr>
          <w:rFonts w:ascii="Times New Roman" w:hAnsi="Times New Roman" w:cs="Times New Roman"/>
          <w:i/>
          <w:iCs/>
          <w:sz w:val="20"/>
          <w:szCs w:val="20"/>
        </w:rPr>
        <w:t>Staphylococcus aureus</w:t>
      </w:r>
      <w:r w:rsidRPr="0024594D">
        <w:rPr>
          <w:rFonts w:ascii="Times New Roman" w:hAnsi="Times New Roman" w:cs="Times New Roman"/>
          <w:sz w:val="20"/>
          <w:szCs w:val="20"/>
        </w:rPr>
        <w:t xml:space="preserve"> infections in the United States. </w:t>
      </w:r>
      <w:r w:rsidRPr="0024594D">
        <w:rPr>
          <w:rFonts w:ascii="Times New Roman" w:hAnsi="Times New Roman" w:cs="Times New Roman"/>
          <w:i/>
          <w:iCs/>
          <w:sz w:val="20"/>
          <w:szCs w:val="20"/>
        </w:rPr>
        <w:t>JAMA</w:t>
      </w:r>
      <w:r w:rsidRPr="0024594D">
        <w:rPr>
          <w:rFonts w:ascii="Times New Roman" w:hAnsi="Times New Roman" w:cs="Times New Roman"/>
          <w:sz w:val="20"/>
          <w:szCs w:val="20"/>
        </w:rPr>
        <w:t xml:space="preserve">. 2007;298(15):1763–1771. </w:t>
      </w:r>
    </w:p>
    <w:p w:rsidR="00A14F4A" w:rsidRPr="0024594D" w:rsidRDefault="00A14F4A" w:rsidP="00C61781">
      <w:pPr>
        <w:numPr>
          <w:ilvl w:val="0"/>
          <w:numId w:val="1"/>
        </w:num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Paterson DL. Resistance in gram-negative bacteria: Enterobacteriaceae. </w:t>
      </w:r>
      <w:r w:rsidRPr="0024594D">
        <w:rPr>
          <w:rFonts w:ascii="Times New Roman" w:hAnsi="Times New Roman" w:cs="Times New Roman"/>
          <w:i/>
          <w:iCs/>
          <w:sz w:val="20"/>
          <w:szCs w:val="20"/>
        </w:rPr>
        <w:t>Clin Infect Dis</w:t>
      </w:r>
      <w:r w:rsidRPr="0024594D">
        <w:rPr>
          <w:rFonts w:ascii="Times New Roman" w:hAnsi="Times New Roman" w:cs="Times New Roman"/>
          <w:sz w:val="20"/>
          <w:szCs w:val="20"/>
        </w:rPr>
        <w:t xml:space="preserve">. 2006;43(Suppl 2):S43–S48. </w:t>
      </w:r>
    </w:p>
    <w:p w:rsidR="00A14F4A" w:rsidRPr="0024594D" w:rsidRDefault="00A14F4A" w:rsidP="00C61781">
      <w:pPr>
        <w:numPr>
          <w:ilvl w:val="0"/>
          <w:numId w:val="1"/>
        </w:num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Levy SB, Marshall B. Antibacterial resistance worldwide: causes, challenges and responses. </w:t>
      </w:r>
      <w:r w:rsidRPr="0024594D">
        <w:rPr>
          <w:rFonts w:ascii="Times New Roman" w:hAnsi="Times New Roman" w:cs="Times New Roman"/>
          <w:i/>
          <w:iCs/>
          <w:sz w:val="20"/>
          <w:szCs w:val="20"/>
        </w:rPr>
        <w:t>Nat Med</w:t>
      </w:r>
      <w:r w:rsidRPr="0024594D">
        <w:rPr>
          <w:rFonts w:ascii="Times New Roman" w:hAnsi="Times New Roman" w:cs="Times New Roman"/>
          <w:sz w:val="20"/>
          <w:szCs w:val="20"/>
        </w:rPr>
        <w:t xml:space="preserve">. 2004;10(12 Suppl):S122–S129. </w:t>
      </w:r>
    </w:p>
    <w:p w:rsidR="00A14F4A" w:rsidRPr="0024594D" w:rsidRDefault="00A14F4A" w:rsidP="00C61781">
      <w:pPr>
        <w:numPr>
          <w:ilvl w:val="0"/>
          <w:numId w:val="1"/>
        </w:num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Karlowsky JA, Jones ME, Thornsberry C, Evangelista AT, Yee YC, Sahm DF. Trends in antimicrobial susceptibilities among Enterobacteriaceae isolated from hospitalized patients in the United States from 1998 to 2001. </w:t>
      </w:r>
      <w:r w:rsidRPr="0024594D">
        <w:rPr>
          <w:rFonts w:ascii="Times New Roman" w:hAnsi="Times New Roman" w:cs="Times New Roman"/>
          <w:i/>
          <w:iCs/>
          <w:sz w:val="20"/>
          <w:szCs w:val="20"/>
        </w:rPr>
        <w:t>Antimicrob Agents Chemother</w:t>
      </w:r>
      <w:r w:rsidRPr="0024594D">
        <w:rPr>
          <w:rFonts w:ascii="Times New Roman" w:hAnsi="Times New Roman" w:cs="Times New Roman"/>
          <w:sz w:val="20"/>
          <w:szCs w:val="20"/>
        </w:rPr>
        <w:t xml:space="preserve">. 2004;48(5):1672–1680. </w:t>
      </w:r>
    </w:p>
    <w:p w:rsidR="00A14F4A" w:rsidRPr="0024594D" w:rsidRDefault="00A14F4A" w:rsidP="00C61781">
      <w:pPr>
        <w:numPr>
          <w:ilvl w:val="0"/>
          <w:numId w:val="1"/>
        </w:num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Richards MJ, Edwards JR, Culver DH, Gaynes RP. Nosocomial infections in combined medical-surgical intensive care units in the United States. </w:t>
      </w:r>
      <w:r w:rsidRPr="0024594D">
        <w:rPr>
          <w:rFonts w:ascii="Times New Roman" w:hAnsi="Times New Roman" w:cs="Times New Roman"/>
          <w:i/>
          <w:iCs/>
          <w:sz w:val="20"/>
          <w:szCs w:val="20"/>
        </w:rPr>
        <w:t>Crit Care Med</w:t>
      </w:r>
      <w:r w:rsidRPr="0024594D">
        <w:rPr>
          <w:rFonts w:ascii="Times New Roman" w:hAnsi="Times New Roman" w:cs="Times New Roman"/>
          <w:sz w:val="20"/>
          <w:szCs w:val="20"/>
        </w:rPr>
        <w:t xml:space="preserve">. 2000;28(5):887–892. </w:t>
      </w:r>
    </w:p>
    <w:p w:rsidR="00A14F4A" w:rsidRPr="0024594D" w:rsidRDefault="00A14F4A" w:rsidP="00C61781">
      <w:pPr>
        <w:numPr>
          <w:ilvl w:val="0"/>
          <w:numId w:val="1"/>
        </w:num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Vincent JL, Rello J, Marshall J, Silva E, Anzueto A, Martin CD, et al. International study of the prevalence and outcomes of infection in intensive care units. </w:t>
      </w:r>
      <w:r w:rsidRPr="0024594D">
        <w:rPr>
          <w:rFonts w:ascii="Times New Roman" w:hAnsi="Times New Roman" w:cs="Times New Roman"/>
          <w:i/>
          <w:iCs/>
          <w:sz w:val="20"/>
          <w:szCs w:val="20"/>
        </w:rPr>
        <w:t>JAMA</w:t>
      </w:r>
      <w:r w:rsidRPr="0024594D">
        <w:rPr>
          <w:rFonts w:ascii="Times New Roman" w:hAnsi="Times New Roman" w:cs="Times New Roman"/>
          <w:sz w:val="20"/>
          <w:szCs w:val="20"/>
        </w:rPr>
        <w:t xml:space="preserve">. 2009;302(21):2323–2329. </w:t>
      </w:r>
    </w:p>
    <w:p w:rsidR="00A14F4A" w:rsidRPr="0024594D" w:rsidRDefault="00A14F4A" w:rsidP="00C61781">
      <w:pPr>
        <w:numPr>
          <w:ilvl w:val="0"/>
          <w:numId w:val="1"/>
        </w:num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Shorr AF, Tabak YP, Killian AD, Gupta V, Liu LZ, Kollef MH. Healthcare-associated bloodstream infection: a distinct entity? Insights from a large U.S. database. </w:t>
      </w:r>
      <w:r w:rsidRPr="0024594D">
        <w:rPr>
          <w:rFonts w:ascii="Times New Roman" w:hAnsi="Times New Roman" w:cs="Times New Roman"/>
          <w:i/>
          <w:iCs/>
          <w:sz w:val="20"/>
          <w:szCs w:val="20"/>
        </w:rPr>
        <w:t>Chest</w:t>
      </w:r>
      <w:r w:rsidRPr="0024594D">
        <w:rPr>
          <w:rFonts w:ascii="Times New Roman" w:hAnsi="Times New Roman" w:cs="Times New Roman"/>
          <w:sz w:val="20"/>
          <w:szCs w:val="20"/>
        </w:rPr>
        <w:t xml:space="preserve">. 2006;129(6):1432–1440. </w:t>
      </w:r>
    </w:p>
    <w:p w:rsidR="00A14F4A" w:rsidRPr="0024594D" w:rsidRDefault="00A14F4A" w:rsidP="00C61781">
      <w:pPr>
        <w:numPr>
          <w:ilvl w:val="0"/>
          <w:numId w:val="1"/>
        </w:numPr>
        <w:spacing w:after="0" w:line="360" w:lineRule="auto"/>
        <w:jc w:val="both"/>
        <w:rPr>
          <w:rFonts w:ascii="Times New Roman" w:hAnsi="Times New Roman" w:cs="Times New Roman"/>
          <w:sz w:val="20"/>
          <w:szCs w:val="20"/>
        </w:rPr>
      </w:pPr>
      <w:r w:rsidRPr="0024594D">
        <w:rPr>
          <w:rFonts w:ascii="Times New Roman" w:hAnsi="Times New Roman" w:cs="Times New Roman"/>
          <w:sz w:val="20"/>
          <w:szCs w:val="20"/>
        </w:rPr>
        <w:t xml:space="preserve">Annane D, Bellissant E, Cavaillon JM. Septic shock. </w:t>
      </w:r>
      <w:r w:rsidRPr="0024594D">
        <w:rPr>
          <w:rFonts w:ascii="Times New Roman" w:hAnsi="Times New Roman" w:cs="Times New Roman"/>
          <w:i/>
          <w:iCs/>
          <w:sz w:val="20"/>
          <w:szCs w:val="20"/>
        </w:rPr>
        <w:t>Lancet</w:t>
      </w:r>
      <w:r w:rsidRPr="0024594D">
        <w:rPr>
          <w:rFonts w:ascii="Times New Roman" w:hAnsi="Times New Roman" w:cs="Times New Roman"/>
          <w:sz w:val="20"/>
          <w:szCs w:val="20"/>
        </w:rPr>
        <w:t xml:space="preserve">. 2005;365(9453):63–78. </w:t>
      </w:r>
    </w:p>
    <w:p w:rsidR="00A14F4A" w:rsidRPr="0024594D" w:rsidRDefault="00A14F4A" w:rsidP="00C61781">
      <w:pPr>
        <w:spacing w:after="0" w:line="360" w:lineRule="auto"/>
        <w:jc w:val="both"/>
        <w:rPr>
          <w:rFonts w:ascii="Times New Roman" w:hAnsi="Times New Roman" w:cs="Times New Roman"/>
          <w:sz w:val="20"/>
          <w:szCs w:val="20"/>
        </w:rPr>
      </w:pPr>
    </w:p>
    <w:p w:rsidR="00BA6FFA" w:rsidRPr="0024594D" w:rsidRDefault="00BA6FFA" w:rsidP="00C61781">
      <w:pPr>
        <w:spacing w:after="0" w:line="360" w:lineRule="auto"/>
        <w:jc w:val="both"/>
        <w:rPr>
          <w:rFonts w:ascii="Times New Roman" w:hAnsi="Times New Roman" w:cs="Times New Roman"/>
          <w:sz w:val="20"/>
          <w:szCs w:val="20"/>
        </w:rPr>
      </w:pPr>
    </w:p>
    <w:sectPr w:rsidR="00BA6FFA" w:rsidRPr="0024594D" w:rsidSect="00C61781">
      <w:headerReference w:type="default" r:id="rId8"/>
      <w:footerReference w:type="default" r:id="rId9"/>
      <w:pgSz w:w="11906" w:h="16838"/>
      <w:pgMar w:top="1440" w:right="1440" w:bottom="1440" w:left="1440" w:header="708" w:footer="708" w:gutter="0"/>
      <w:pgNumType w:start="9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A82" w:rsidRDefault="00D46A82" w:rsidP="00C61781">
      <w:pPr>
        <w:spacing w:after="0" w:line="240" w:lineRule="auto"/>
      </w:pPr>
      <w:r>
        <w:separator/>
      </w:r>
    </w:p>
  </w:endnote>
  <w:endnote w:type="continuationSeparator" w:id="0">
    <w:p w:rsidR="00D46A82" w:rsidRDefault="00D46A82" w:rsidP="00C6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53742"/>
      <w:docPartObj>
        <w:docPartGallery w:val="Page Numbers (Bottom of Page)"/>
        <w:docPartUnique/>
      </w:docPartObj>
    </w:sdtPr>
    <w:sdtEndPr>
      <w:rPr>
        <w:noProof/>
      </w:rPr>
    </w:sdtEndPr>
    <w:sdtContent>
      <w:p w:rsidR="00C61781" w:rsidRDefault="00C61781">
        <w:pPr>
          <w:pStyle w:val="Footer"/>
          <w:jc w:val="right"/>
        </w:pPr>
        <w:r>
          <w:fldChar w:fldCharType="begin"/>
        </w:r>
        <w:r>
          <w:instrText xml:space="preserve"> PAGE   \* MERGEFORMAT </w:instrText>
        </w:r>
        <w:r>
          <w:fldChar w:fldCharType="separate"/>
        </w:r>
        <w:r w:rsidR="00D46A82">
          <w:rPr>
            <w:noProof/>
          </w:rPr>
          <w:t>949</w:t>
        </w:r>
        <w:r>
          <w:rPr>
            <w:noProof/>
          </w:rPr>
          <w:fldChar w:fldCharType="end"/>
        </w:r>
      </w:p>
    </w:sdtContent>
  </w:sdt>
  <w:p w:rsidR="00C61781" w:rsidRPr="00C61781" w:rsidRDefault="00C61781" w:rsidP="00C61781">
    <w:pPr>
      <w:tabs>
        <w:tab w:val="center" w:pos="4513"/>
        <w:tab w:val="right" w:pos="9026"/>
      </w:tabs>
      <w:spacing w:after="0" w:line="240" w:lineRule="auto"/>
      <w:jc w:val="center"/>
      <w:rPr>
        <w:rFonts w:ascii="Cambria" w:eastAsia="Times New Roman" w:hAnsi="Cambria" w:cs="Times New Roman"/>
        <w:kern w:val="0"/>
        <w:lang w:val="en-US" w:eastAsia="en-IN"/>
      </w:rPr>
    </w:pPr>
    <w:r w:rsidRPr="00C61781">
      <w:rPr>
        <w:rFonts w:ascii="Cambria" w:eastAsia="Times New Roman" w:hAnsi="Cambria" w:cs="Times New Roman"/>
        <w:kern w:val="0"/>
        <w:lang w:val="en-US" w:eastAsia="en-IN"/>
      </w:rPr>
      <w:t>www.ijbamr.com   P ISSN: 2250-284X , E ISSN : 2250-2858</w:t>
    </w:r>
  </w:p>
  <w:p w:rsidR="00C61781" w:rsidRDefault="00C617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A82" w:rsidRDefault="00D46A82" w:rsidP="00C61781">
      <w:pPr>
        <w:spacing w:after="0" w:line="240" w:lineRule="auto"/>
      </w:pPr>
      <w:r>
        <w:separator/>
      </w:r>
    </w:p>
  </w:footnote>
  <w:footnote w:type="continuationSeparator" w:id="0">
    <w:p w:rsidR="00D46A82" w:rsidRDefault="00D46A82" w:rsidP="00C61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781" w:rsidRPr="00C61781" w:rsidRDefault="00C61781" w:rsidP="00C61781">
    <w:pPr>
      <w:tabs>
        <w:tab w:val="center" w:pos="4513"/>
        <w:tab w:val="right" w:pos="9026"/>
      </w:tabs>
      <w:spacing w:after="0" w:line="240" w:lineRule="auto"/>
      <w:jc w:val="center"/>
      <w:rPr>
        <w:rFonts w:ascii="Times New Roman" w:eastAsia="Calibri" w:hAnsi="Times New Roman" w:cs="Times New Roman"/>
        <w:kern w:val="0"/>
        <w:sz w:val="20"/>
        <w:szCs w:val="20"/>
        <w:lang w:eastAsia="en-IN"/>
      </w:rPr>
    </w:pPr>
    <w:r w:rsidRPr="00C61781">
      <w:rPr>
        <w:rFonts w:ascii="Times New Roman" w:eastAsia="Calibri" w:hAnsi="Times New Roman" w:cs="Times New Roman"/>
        <w:kern w:val="0"/>
        <w:sz w:val="20"/>
        <w:szCs w:val="20"/>
        <w:lang w:eastAsia="en-IN"/>
      </w:rPr>
      <w:t>Indian Journal of Basic and Applied Medical Research; March 2016: Vol.-5, Issue- 2, 94</w:t>
    </w:r>
    <w:r w:rsidR="00CB5CF4">
      <w:rPr>
        <w:rFonts w:ascii="Times New Roman" w:eastAsia="Calibri" w:hAnsi="Times New Roman" w:cs="Times New Roman"/>
        <w:kern w:val="0"/>
        <w:sz w:val="20"/>
        <w:szCs w:val="20"/>
        <w:lang w:eastAsia="en-IN"/>
      </w:rPr>
      <w:t>9- 955</w:t>
    </w:r>
    <w:r w:rsidRPr="00C61781">
      <w:rPr>
        <w:rFonts w:ascii="Times New Roman" w:eastAsia="Calibri" w:hAnsi="Times New Roman" w:cs="Times New Roman"/>
        <w:kern w:val="0"/>
        <w:sz w:val="20"/>
        <w:szCs w:val="20"/>
        <w:lang w:eastAsia="en-I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A154E"/>
    <w:multiLevelType w:val="multilevel"/>
    <w:tmpl w:val="F73C7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F2F66"/>
    <w:rsid w:val="000E10EF"/>
    <w:rsid w:val="000F2F66"/>
    <w:rsid w:val="001C2C0B"/>
    <w:rsid w:val="0024594D"/>
    <w:rsid w:val="0036245B"/>
    <w:rsid w:val="003E0BBE"/>
    <w:rsid w:val="00445101"/>
    <w:rsid w:val="005011FA"/>
    <w:rsid w:val="00712F6D"/>
    <w:rsid w:val="00785065"/>
    <w:rsid w:val="007A13D7"/>
    <w:rsid w:val="00817883"/>
    <w:rsid w:val="00954BC2"/>
    <w:rsid w:val="00962BDB"/>
    <w:rsid w:val="00A14F4A"/>
    <w:rsid w:val="00AD62A5"/>
    <w:rsid w:val="00B62DFE"/>
    <w:rsid w:val="00BA6FFA"/>
    <w:rsid w:val="00C1212F"/>
    <w:rsid w:val="00C35B6F"/>
    <w:rsid w:val="00C52A50"/>
    <w:rsid w:val="00C61781"/>
    <w:rsid w:val="00CB5CF4"/>
    <w:rsid w:val="00CD6338"/>
    <w:rsid w:val="00D279A7"/>
    <w:rsid w:val="00D46A82"/>
    <w:rsid w:val="00DF54E5"/>
    <w:rsid w:val="00E6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883"/>
  </w:style>
  <w:style w:type="paragraph" w:styleId="Heading1">
    <w:name w:val="heading 1"/>
    <w:basedOn w:val="Normal"/>
    <w:next w:val="Normal"/>
    <w:link w:val="Heading1Char"/>
    <w:uiPriority w:val="9"/>
    <w:qFormat/>
    <w:rsid w:val="000F2F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2F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2F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2F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2F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2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F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F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2F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F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F66"/>
    <w:rPr>
      <w:rFonts w:eastAsiaTheme="majorEastAsia" w:cstheme="majorBidi"/>
      <w:color w:val="272727" w:themeColor="text1" w:themeTint="D8"/>
    </w:rPr>
  </w:style>
  <w:style w:type="paragraph" w:styleId="Title">
    <w:name w:val="Title"/>
    <w:basedOn w:val="Normal"/>
    <w:next w:val="Normal"/>
    <w:link w:val="TitleChar"/>
    <w:uiPriority w:val="10"/>
    <w:qFormat/>
    <w:rsid w:val="000F2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F66"/>
    <w:pPr>
      <w:spacing w:before="160"/>
      <w:jc w:val="center"/>
    </w:pPr>
    <w:rPr>
      <w:i/>
      <w:iCs/>
      <w:color w:val="404040" w:themeColor="text1" w:themeTint="BF"/>
    </w:rPr>
  </w:style>
  <w:style w:type="character" w:customStyle="1" w:styleId="QuoteChar">
    <w:name w:val="Quote Char"/>
    <w:basedOn w:val="DefaultParagraphFont"/>
    <w:link w:val="Quote"/>
    <w:uiPriority w:val="29"/>
    <w:rsid w:val="000F2F66"/>
    <w:rPr>
      <w:i/>
      <w:iCs/>
      <w:color w:val="404040" w:themeColor="text1" w:themeTint="BF"/>
    </w:rPr>
  </w:style>
  <w:style w:type="paragraph" w:styleId="ListParagraph">
    <w:name w:val="List Paragraph"/>
    <w:basedOn w:val="Normal"/>
    <w:uiPriority w:val="34"/>
    <w:qFormat/>
    <w:rsid w:val="000F2F66"/>
    <w:pPr>
      <w:ind w:left="720"/>
      <w:contextualSpacing/>
    </w:pPr>
  </w:style>
  <w:style w:type="character" w:styleId="IntenseEmphasis">
    <w:name w:val="Intense Emphasis"/>
    <w:basedOn w:val="DefaultParagraphFont"/>
    <w:uiPriority w:val="21"/>
    <w:qFormat/>
    <w:rsid w:val="000F2F66"/>
    <w:rPr>
      <w:i/>
      <w:iCs/>
      <w:color w:val="2F5496" w:themeColor="accent1" w:themeShade="BF"/>
    </w:rPr>
  </w:style>
  <w:style w:type="paragraph" w:styleId="IntenseQuote">
    <w:name w:val="Intense Quote"/>
    <w:basedOn w:val="Normal"/>
    <w:next w:val="Normal"/>
    <w:link w:val="IntenseQuoteChar"/>
    <w:uiPriority w:val="30"/>
    <w:qFormat/>
    <w:rsid w:val="000F2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2F66"/>
    <w:rPr>
      <w:i/>
      <w:iCs/>
      <w:color w:val="2F5496" w:themeColor="accent1" w:themeShade="BF"/>
    </w:rPr>
  </w:style>
  <w:style w:type="character" w:styleId="IntenseReference">
    <w:name w:val="Intense Reference"/>
    <w:basedOn w:val="DefaultParagraphFont"/>
    <w:uiPriority w:val="32"/>
    <w:qFormat/>
    <w:rsid w:val="000F2F66"/>
    <w:rPr>
      <w:b/>
      <w:bCs/>
      <w:smallCaps/>
      <w:color w:val="2F5496" w:themeColor="accent1" w:themeShade="BF"/>
      <w:spacing w:val="5"/>
    </w:rPr>
  </w:style>
  <w:style w:type="table" w:styleId="TableGrid">
    <w:name w:val="Table Grid"/>
    <w:basedOn w:val="TableNormal"/>
    <w:uiPriority w:val="39"/>
    <w:rsid w:val="00712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6BED"/>
    <w:rPr>
      <w:rFonts w:ascii="Times New Roman" w:hAnsi="Times New Roman" w:cs="Times New Roman"/>
      <w:sz w:val="24"/>
      <w:szCs w:val="24"/>
    </w:rPr>
  </w:style>
  <w:style w:type="paragraph" w:styleId="Header">
    <w:name w:val="header"/>
    <w:basedOn w:val="Normal"/>
    <w:link w:val="HeaderChar"/>
    <w:uiPriority w:val="99"/>
    <w:unhideWhenUsed/>
    <w:rsid w:val="00C61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781"/>
  </w:style>
  <w:style w:type="paragraph" w:styleId="Footer">
    <w:name w:val="footer"/>
    <w:basedOn w:val="Normal"/>
    <w:link w:val="FooterChar"/>
    <w:uiPriority w:val="99"/>
    <w:unhideWhenUsed/>
    <w:rsid w:val="00C61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781"/>
  </w:style>
  <w:style w:type="paragraph" w:styleId="BalloonText">
    <w:name w:val="Balloon Text"/>
    <w:basedOn w:val="Normal"/>
    <w:link w:val="BalloonTextChar"/>
    <w:uiPriority w:val="99"/>
    <w:semiHidden/>
    <w:unhideWhenUsed/>
    <w:rsid w:val="00C61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7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19612">
      <w:bodyDiv w:val="1"/>
      <w:marLeft w:val="0"/>
      <w:marRight w:val="0"/>
      <w:marTop w:val="0"/>
      <w:marBottom w:val="0"/>
      <w:divBdr>
        <w:top w:val="none" w:sz="0" w:space="0" w:color="auto"/>
        <w:left w:val="none" w:sz="0" w:space="0" w:color="auto"/>
        <w:bottom w:val="none" w:sz="0" w:space="0" w:color="auto"/>
        <w:right w:val="none" w:sz="0" w:space="0" w:color="auto"/>
      </w:divBdr>
      <w:divsChild>
        <w:div w:id="154228877">
          <w:marLeft w:val="0"/>
          <w:marRight w:val="0"/>
          <w:marTop w:val="0"/>
          <w:marBottom w:val="0"/>
          <w:divBdr>
            <w:top w:val="none" w:sz="0" w:space="0" w:color="auto"/>
            <w:left w:val="none" w:sz="0" w:space="0" w:color="auto"/>
            <w:bottom w:val="none" w:sz="0" w:space="0" w:color="auto"/>
            <w:right w:val="none" w:sz="0" w:space="0" w:color="auto"/>
          </w:divBdr>
          <w:divsChild>
            <w:div w:id="627783237">
              <w:marLeft w:val="0"/>
              <w:marRight w:val="0"/>
              <w:marTop w:val="0"/>
              <w:marBottom w:val="0"/>
              <w:divBdr>
                <w:top w:val="none" w:sz="0" w:space="0" w:color="auto"/>
                <w:left w:val="none" w:sz="0" w:space="0" w:color="auto"/>
                <w:bottom w:val="none" w:sz="0" w:space="0" w:color="auto"/>
                <w:right w:val="none" w:sz="0" w:space="0" w:color="auto"/>
              </w:divBdr>
            </w:div>
          </w:divsChild>
        </w:div>
        <w:div w:id="1174221405">
          <w:marLeft w:val="0"/>
          <w:marRight w:val="0"/>
          <w:marTop w:val="0"/>
          <w:marBottom w:val="0"/>
          <w:divBdr>
            <w:top w:val="none" w:sz="0" w:space="0" w:color="auto"/>
            <w:left w:val="none" w:sz="0" w:space="0" w:color="auto"/>
            <w:bottom w:val="none" w:sz="0" w:space="0" w:color="auto"/>
            <w:right w:val="none" w:sz="0" w:space="0" w:color="auto"/>
          </w:divBdr>
          <w:divsChild>
            <w:div w:id="1612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0620">
      <w:bodyDiv w:val="1"/>
      <w:marLeft w:val="0"/>
      <w:marRight w:val="0"/>
      <w:marTop w:val="0"/>
      <w:marBottom w:val="0"/>
      <w:divBdr>
        <w:top w:val="none" w:sz="0" w:space="0" w:color="auto"/>
        <w:left w:val="none" w:sz="0" w:space="0" w:color="auto"/>
        <w:bottom w:val="none" w:sz="0" w:space="0" w:color="auto"/>
        <w:right w:val="none" w:sz="0" w:space="0" w:color="auto"/>
      </w:divBdr>
      <w:divsChild>
        <w:div w:id="307130536">
          <w:marLeft w:val="0"/>
          <w:marRight w:val="0"/>
          <w:marTop w:val="0"/>
          <w:marBottom w:val="0"/>
          <w:divBdr>
            <w:top w:val="none" w:sz="0" w:space="0" w:color="auto"/>
            <w:left w:val="none" w:sz="0" w:space="0" w:color="auto"/>
            <w:bottom w:val="none" w:sz="0" w:space="0" w:color="auto"/>
            <w:right w:val="none" w:sz="0" w:space="0" w:color="auto"/>
          </w:divBdr>
          <w:divsChild>
            <w:div w:id="308293335">
              <w:marLeft w:val="0"/>
              <w:marRight w:val="0"/>
              <w:marTop w:val="0"/>
              <w:marBottom w:val="0"/>
              <w:divBdr>
                <w:top w:val="none" w:sz="0" w:space="0" w:color="auto"/>
                <w:left w:val="none" w:sz="0" w:space="0" w:color="auto"/>
                <w:bottom w:val="none" w:sz="0" w:space="0" w:color="auto"/>
                <w:right w:val="none" w:sz="0" w:space="0" w:color="auto"/>
              </w:divBdr>
            </w:div>
          </w:divsChild>
        </w:div>
        <w:div w:id="1724404036">
          <w:marLeft w:val="0"/>
          <w:marRight w:val="0"/>
          <w:marTop w:val="0"/>
          <w:marBottom w:val="0"/>
          <w:divBdr>
            <w:top w:val="none" w:sz="0" w:space="0" w:color="auto"/>
            <w:left w:val="none" w:sz="0" w:space="0" w:color="auto"/>
            <w:bottom w:val="none" w:sz="0" w:space="0" w:color="auto"/>
            <w:right w:val="none" w:sz="0" w:space="0" w:color="auto"/>
          </w:divBdr>
          <w:divsChild>
            <w:div w:id="94222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Nandkishor Bankar</dc:creator>
  <cp:lastModifiedBy>RDRL</cp:lastModifiedBy>
  <cp:revision>8</cp:revision>
  <cp:lastPrinted>2026-04-15T07:15:00Z</cp:lastPrinted>
  <dcterms:created xsi:type="dcterms:W3CDTF">2026-04-14T10:44:00Z</dcterms:created>
  <dcterms:modified xsi:type="dcterms:W3CDTF">2026-04-15T07:16:00Z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d47d3d98-90c2-4119-9abb-a94e796cf208</vt:lpwstr>
  </property>
</Properties>
</file>