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11" w:rsidRPr="00725DAE" w:rsidRDefault="00725DAE" w:rsidP="00725DAE">
      <w:pPr>
        <w:widowControl w:val="0"/>
        <w:autoSpaceDE w:val="0"/>
        <w:autoSpaceDN w:val="0"/>
        <w:adjustRightInd w:val="0"/>
        <w:spacing w:line="360" w:lineRule="auto"/>
        <w:rPr>
          <w:rFonts w:asciiTheme="majorHAnsi" w:hAnsiTheme="majorHAnsi"/>
          <w:b/>
        </w:rPr>
      </w:pPr>
      <w:r w:rsidRPr="00725DAE">
        <w:rPr>
          <w:rFonts w:asciiTheme="majorHAnsi" w:hAnsiTheme="majorHAnsi"/>
          <w:b/>
          <w:highlight w:val="lightGray"/>
        </w:rPr>
        <w:t>Original a</w:t>
      </w:r>
      <w:r w:rsidR="00D05E11" w:rsidRPr="00725DAE">
        <w:rPr>
          <w:rFonts w:asciiTheme="majorHAnsi" w:hAnsiTheme="majorHAnsi"/>
          <w:b/>
          <w:highlight w:val="lightGray"/>
        </w:rPr>
        <w:t>rticle</w:t>
      </w:r>
    </w:p>
    <w:p w:rsidR="00F2750F" w:rsidRPr="00725DAE" w:rsidRDefault="00F2750F" w:rsidP="00725DAE">
      <w:pPr>
        <w:widowControl w:val="0"/>
        <w:autoSpaceDE w:val="0"/>
        <w:autoSpaceDN w:val="0"/>
        <w:adjustRightInd w:val="0"/>
        <w:spacing w:line="360" w:lineRule="auto"/>
        <w:rPr>
          <w:rFonts w:asciiTheme="majorHAnsi" w:hAnsiTheme="majorHAnsi"/>
          <w:b/>
          <w:color w:val="0070C0"/>
          <w:sz w:val="28"/>
          <w:szCs w:val="28"/>
        </w:rPr>
      </w:pPr>
      <w:r w:rsidRPr="00725DAE">
        <w:rPr>
          <w:rFonts w:asciiTheme="majorHAnsi" w:hAnsiTheme="majorHAnsi"/>
          <w:b/>
          <w:color w:val="0070C0"/>
          <w:sz w:val="28"/>
          <w:szCs w:val="28"/>
        </w:rPr>
        <w:t xml:space="preserve">Comparison </w:t>
      </w:r>
      <w:r w:rsidR="00D05E11" w:rsidRPr="00725DAE">
        <w:rPr>
          <w:rFonts w:asciiTheme="majorHAnsi" w:hAnsiTheme="majorHAnsi"/>
          <w:b/>
          <w:color w:val="0070C0"/>
          <w:sz w:val="28"/>
          <w:szCs w:val="28"/>
        </w:rPr>
        <w:t xml:space="preserve">of the Effect of Pioglitazone and Metformin on </w:t>
      </w:r>
      <w:r w:rsidRPr="00725DAE">
        <w:rPr>
          <w:rFonts w:asciiTheme="majorHAnsi" w:hAnsiTheme="majorHAnsi"/>
          <w:b/>
          <w:color w:val="0070C0"/>
          <w:sz w:val="28"/>
          <w:szCs w:val="28"/>
        </w:rPr>
        <w:t xml:space="preserve">HOMA IR </w:t>
      </w:r>
      <w:r w:rsidR="00D05E11" w:rsidRPr="00725DAE">
        <w:rPr>
          <w:rFonts w:asciiTheme="majorHAnsi" w:hAnsiTheme="majorHAnsi"/>
          <w:b/>
          <w:color w:val="0070C0"/>
          <w:sz w:val="28"/>
          <w:szCs w:val="28"/>
        </w:rPr>
        <w:t xml:space="preserve">In Patient </w:t>
      </w:r>
      <w:proofErr w:type="gramStart"/>
      <w:r w:rsidR="00D05E11" w:rsidRPr="00725DAE">
        <w:rPr>
          <w:rFonts w:asciiTheme="majorHAnsi" w:hAnsiTheme="majorHAnsi"/>
          <w:b/>
          <w:color w:val="0070C0"/>
          <w:sz w:val="28"/>
          <w:szCs w:val="28"/>
        </w:rPr>
        <w:t xml:space="preserve">of  </w:t>
      </w:r>
      <w:proofErr w:type="spellStart"/>
      <w:r w:rsidR="00D05E11" w:rsidRPr="00725DAE">
        <w:rPr>
          <w:rFonts w:asciiTheme="majorHAnsi" w:hAnsiTheme="majorHAnsi"/>
          <w:b/>
          <w:color w:val="0070C0"/>
          <w:sz w:val="28"/>
          <w:szCs w:val="28"/>
        </w:rPr>
        <w:t>Prediabetes</w:t>
      </w:r>
      <w:proofErr w:type="spellEnd"/>
      <w:proofErr w:type="gramEnd"/>
    </w:p>
    <w:p w:rsidR="00D05E11" w:rsidRPr="00725DAE" w:rsidRDefault="00D05E11" w:rsidP="00725DAE">
      <w:pPr>
        <w:widowControl w:val="0"/>
        <w:autoSpaceDE w:val="0"/>
        <w:autoSpaceDN w:val="0"/>
        <w:adjustRightInd w:val="0"/>
        <w:spacing w:line="360" w:lineRule="auto"/>
        <w:jc w:val="both"/>
        <w:rPr>
          <w:rFonts w:asciiTheme="majorHAnsi" w:hAnsiTheme="majorHAnsi"/>
          <w:b/>
          <w:sz w:val="20"/>
          <w:szCs w:val="20"/>
        </w:rPr>
      </w:pPr>
      <w:r w:rsidRPr="00725DAE">
        <w:rPr>
          <w:rFonts w:asciiTheme="majorHAnsi" w:hAnsiTheme="majorHAnsi"/>
          <w:b/>
          <w:sz w:val="20"/>
          <w:szCs w:val="20"/>
        </w:rPr>
        <w:t xml:space="preserve">Dr. </w:t>
      </w:r>
      <w:proofErr w:type="spellStart"/>
      <w:r w:rsidRPr="00725DAE">
        <w:rPr>
          <w:rFonts w:asciiTheme="majorHAnsi" w:hAnsiTheme="majorHAnsi"/>
          <w:b/>
          <w:sz w:val="20"/>
          <w:szCs w:val="20"/>
        </w:rPr>
        <w:t>Sayed</w:t>
      </w:r>
      <w:proofErr w:type="spellEnd"/>
      <w:r w:rsidRPr="00725DAE">
        <w:rPr>
          <w:rFonts w:asciiTheme="majorHAnsi" w:hAnsiTheme="majorHAnsi"/>
          <w:b/>
          <w:sz w:val="20"/>
          <w:szCs w:val="20"/>
        </w:rPr>
        <w:t xml:space="preserve"> </w:t>
      </w:r>
      <w:proofErr w:type="spellStart"/>
      <w:r w:rsidRPr="00725DAE">
        <w:rPr>
          <w:rFonts w:asciiTheme="majorHAnsi" w:hAnsiTheme="majorHAnsi"/>
          <w:b/>
          <w:sz w:val="20"/>
          <w:szCs w:val="20"/>
        </w:rPr>
        <w:t>Asif</w:t>
      </w:r>
      <w:proofErr w:type="spellEnd"/>
      <w:r w:rsidRPr="00725DAE">
        <w:rPr>
          <w:rFonts w:asciiTheme="majorHAnsi" w:hAnsiTheme="majorHAnsi"/>
          <w:b/>
          <w:sz w:val="20"/>
          <w:szCs w:val="20"/>
        </w:rPr>
        <w:t xml:space="preserve"> Umar</w:t>
      </w:r>
      <w:r w:rsidRPr="00725DAE">
        <w:rPr>
          <w:rFonts w:asciiTheme="majorHAnsi" w:hAnsiTheme="majorHAnsi"/>
          <w:b/>
          <w:sz w:val="20"/>
          <w:szCs w:val="20"/>
          <w:vertAlign w:val="superscript"/>
        </w:rPr>
        <w:t>1</w:t>
      </w:r>
      <w:r w:rsidRPr="00725DAE">
        <w:rPr>
          <w:rFonts w:asciiTheme="majorHAnsi" w:hAnsiTheme="majorHAnsi"/>
          <w:b/>
          <w:sz w:val="20"/>
          <w:szCs w:val="20"/>
        </w:rPr>
        <w:t xml:space="preserve">, </w:t>
      </w:r>
      <w:r w:rsidR="009843AB" w:rsidRPr="00725DAE">
        <w:rPr>
          <w:rFonts w:asciiTheme="majorHAnsi" w:hAnsiTheme="majorHAnsi"/>
          <w:b/>
          <w:sz w:val="20"/>
          <w:szCs w:val="20"/>
        </w:rPr>
        <w:t xml:space="preserve">Dr. </w:t>
      </w:r>
      <w:r w:rsidR="00DE6D80" w:rsidRPr="00725DAE">
        <w:rPr>
          <w:rFonts w:asciiTheme="majorHAnsi" w:hAnsiTheme="majorHAnsi"/>
          <w:b/>
          <w:sz w:val="20"/>
          <w:szCs w:val="20"/>
        </w:rPr>
        <w:t>Deepak Bhosle</w:t>
      </w:r>
      <w:r w:rsidR="00021EA2" w:rsidRPr="00725DAE">
        <w:rPr>
          <w:rFonts w:asciiTheme="majorHAnsi" w:hAnsiTheme="majorHAnsi"/>
          <w:b/>
          <w:sz w:val="20"/>
          <w:szCs w:val="20"/>
          <w:vertAlign w:val="superscript"/>
        </w:rPr>
        <w:t>2</w:t>
      </w:r>
      <w:proofErr w:type="gramStart"/>
      <w:r w:rsidR="00021EA2" w:rsidRPr="00725DAE">
        <w:rPr>
          <w:rFonts w:asciiTheme="majorHAnsi" w:hAnsiTheme="majorHAnsi"/>
          <w:b/>
          <w:sz w:val="20"/>
          <w:szCs w:val="20"/>
        </w:rPr>
        <w:t>,Dr</w:t>
      </w:r>
      <w:proofErr w:type="gramEnd"/>
      <w:r w:rsidR="00021EA2" w:rsidRPr="00725DAE">
        <w:rPr>
          <w:rFonts w:asciiTheme="majorHAnsi" w:hAnsiTheme="majorHAnsi"/>
          <w:b/>
          <w:sz w:val="20"/>
          <w:szCs w:val="20"/>
        </w:rPr>
        <w:t xml:space="preserve"> </w:t>
      </w:r>
      <w:proofErr w:type="spellStart"/>
      <w:r w:rsidR="00021EA2" w:rsidRPr="00725DAE">
        <w:rPr>
          <w:rFonts w:asciiTheme="majorHAnsi" w:hAnsiTheme="majorHAnsi"/>
          <w:b/>
          <w:sz w:val="20"/>
          <w:szCs w:val="20"/>
        </w:rPr>
        <w:t>Abhijeet</w:t>
      </w:r>
      <w:proofErr w:type="spellEnd"/>
      <w:r w:rsidR="00021EA2" w:rsidRPr="00725DAE">
        <w:rPr>
          <w:rFonts w:asciiTheme="majorHAnsi" w:hAnsiTheme="majorHAnsi"/>
          <w:b/>
          <w:sz w:val="20"/>
          <w:szCs w:val="20"/>
        </w:rPr>
        <w:t xml:space="preserve"> bhagat</w:t>
      </w:r>
      <w:r w:rsidR="00021EA2" w:rsidRPr="00725DAE">
        <w:rPr>
          <w:rFonts w:asciiTheme="majorHAnsi" w:hAnsiTheme="majorHAnsi"/>
          <w:b/>
          <w:sz w:val="20"/>
          <w:szCs w:val="20"/>
          <w:vertAlign w:val="superscript"/>
        </w:rPr>
        <w:t>3</w:t>
      </w:r>
    </w:p>
    <w:p w:rsidR="00725DAE" w:rsidRDefault="00725DAE" w:rsidP="00725DAE">
      <w:pPr>
        <w:widowControl w:val="0"/>
        <w:autoSpaceDE w:val="0"/>
        <w:autoSpaceDN w:val="0"/>
        <w:adjustRightInd w:val="0"/>
        <w:spacing w:line="360" w:lineRule="auto"/>
        <w:jc w:val="both"/>
        <w:rPr>
          <w:rFonts w:asciiTheme="majorHAnsi" w:hAnsiTheme="majorHAnsi"/>
          <w:sz w:val="20"/>
          <w:szCs w:val="20"/>
          <w:vertAlign w:val="superscript"/>
        </w:rPr>
      </w:pPr>
    </w:p>
    <w:p w:rsidR="009843AB" w:rsidRPr="00725DAE" w:rsidRDefault="009843AB" w:rsidP="00725DAE">
      <w:pPr>
        <w:widowControl w:val="0"/>
        <w:autoSpaceDE w:val="0"/>
        <w:autoSpaceDN w:val="0"/>
        <w:adjustRightInd w:val="0"/>
        <w:spacing w:line="360" w:lineRule="auto"/>
        <w:jc w:val="both"/>
        <w:rPr>
          <w:rFonts w:asciiTheme="majorHAnsi" w:hAnsiTheme="majorHAnsi"/>
          <w:sz w:val="18"/>
          <w:szCs w:val="18"/>
        </w:rPr>
      </w:pPr>
      <w:r w:rsidRPr="00725DAE">
        <w:rPr>
          <w:rFonts w:asciiTheme="majorHAnsi" w:hAnsiTheme="majorHAnsi"/>
          <w:sz w:val="18"/>
          <w:szCs w:val="18"/>
          <w:vertAlign w:val="superscript"/>
        </w:rPr>
        <w:t>1</w:t>
      </w:r>
      <w:r w:rsidR="00D05E11" w:rsidRPr="00725DAE">
        <w:rPr>
          <w:rFonts w:asciiTheme="majorHAnsi" w:hAnsiTheme="majorHAnsi"/>
          <w:sz w:val="18"/>
          <w:szCs w:val="18"/>
        </w:rPr>
        <w:t xml:space="preserve">Associate Professor, Dept. of Pharmacology, </w:t>
      </w:r>
      <w:r w:rsidRPr="00725DAE">
        <w:rPr>
          <w:rFonts w:asciiTheme="majorHAnsi" w:hAnsiTheme="majorHAnsi"/>
          <w:sz w:val="18"/>
          <w:szCs w:val="18"/>
        </w:rPr>
        <w:t xml:space="preserve">JIIU’s IIMSR Medical College, </w:t>
      </w:r>
      <w:proofErr w:type="spellStart"/>
      <w:r w:rsidRPr="00725DAE">
        <w:rPr>
          <w:rFonts w:asciiTheme="majorHAnsi" w:hAnsiTheme="majorHAnsi"/>
          <w:sz w:val="18"/>
          <w:szCs w:val="18"/>
        </w:rPr>
        <w:t>Badnapur</w:t>
      </w:r>
      <w:proofErr w:type="spellEnd"/>
      <w:r w:rsidRPr="00725DAE">
        <w:rPr>
          <w:rFonts w:asciiTheme="majorHAnsi" w:hAnsiTheme="majorHAnsi"/>
          <w:sz w:val="18"/>
          <w:szCs w:val="18"/>
        </w:rPr>
        <w:t xml:space="preserve"> Dist. </w:t>
      </w:r>
      <w:proofErr w:type="spellStart"/>
      <w:r w:rsidRPr="00725DAE">
        <w:rPr>
          <w:rFonts w:asciiTheme="majorHAnsi" w:hAnsiTheme="majorHAnsi"/>
          <w:sz w:val="18"/>
          <w:szCs w:val="18"/>
        </w:rPr>
        <w:t>Jalna</w:t>
      </w:r>
      <w:proofErr w:type="spellEnd"/>
      <w:r w:rsidRPr="00725DAE">
        <w:rPr>
          <w:rFonts w:asciiTheme="majorHAnsi" w:hAnsiTheme="majorHAnsi"/>
          <w:sz w:val="18"/>
          <w:szCs w:val="18"/>
        </w:rPr>
        <w:t>, Maharashtra</w:t>
      </w:r>
    </w:p>
    <w:p w:rsidR="00021EA2" w:rsidRPr="00725DAE" w:rsidRDefault="009843AB" w:rsidP="00725DAE">
      <w:pPr>
        <w:widowControl w:val="0"/>
        <w:autoSpaceDE w:val="0"/>
        <w:autoSpaceDN w:val="0"/>
        <w:adjustRightInd w:val="0"/>
        <w:spacing w:line="360" w:lineRule="auto"/>
        <w:jc w:val="both"/>
        <w:rPr>
          <w:rFonts w:asciiTheme="majorHAnsi" w:hAnsiTheme="majorHAnsi"/>
          <w:sz w:val="18"/>
          <w:szCs w:val="18"/>
        </w:rPr>
      </w:pPr>
      <w:r w:rsidRPr="00725DAE">
        <w:rPr>
          <w:rFonts w:asciiTheme="majorHAnsi" w:hAnsiTheme="majorHAnsi"/>
          <w:sz w:val="18"/>
          <w:szCs w:val="18"/>
          <w:vertAlign w:val="superscript"/>
        </w:rPr>
        <w:t>2</w:t>
      </w:r>
      <w:r w:rsidRPr="00725DAE">
        <w:rPr>
          <w:rFonts w:asciiTheme="majorHAnsi" w:hAnsiTheme="majorHAnsi"/>
          <w:sz w:val="18"/>
          <w:szCs w:val="18"/>
        </w:rPr>
        <w:t xml:space="preserve">Professor &amp; Head, </w:t>
      </w:r>
      <w:r w:rsidR="00DE6D80" w:rsidRPr="00725DAE">
        <w:rPr>
          <w:rFonts w:asciiTheme="majorHAnsi" w:hAnsiTheme="majorHAnsi"/>
          <w:sz w:val="18"/>
          <w:szCs w:val="18"/>
        </w:rPr>
        <w:t>Dept. of Pharmacology</w:t>
      </w:r>
      <w:r w:rsidR="00D05E11" w:rsidRPr="00725DAE">
        <w:rPr>
          <w:rFonts w:asciiTheme="majorHAnsi" w:hAnsiTheme="majorHAnsi"/>
          <w:sz w:val="18"/>
          <w:szCs w:val="18"/>
        </w:rPr>
        <w:t>,</w:t>
      </w:r>
      <w:r w:rsidRPr="00725DAE">
        <w:rPr>
          <w:rFonts w:asciiTheme="majorHAnsi" w:hAnsiTheme="majorHAnsi"/>
          <w:sz w:val="18"/>
          <w:szCs w:val="18"/>
        </w:rPr>
        <w:t xml:space="preserve"> </w:t>
      </w:r>
      <w:r w:rsidR="00DE6D80" w:rsidRPr="00725DAE">
        <w:rPr>
          <w:rFonts w:asciiTheme="majorHAnsi" w:hAnsiTheme="majorHAnsi"/>
          <w:sz w:val="18"/>
          <w:szCs w:val="18"/>
        </w:rPr>
        <w:t xml:space="preserve">MGM </w:t>
      </w:r>
      <w:r w:rsidRPr="00725DAE">
        <w:rPr>
          <w:rFonts w:asciiTheme="majorHAnsi" w:hAnsiTheme="majorHAnsi"/>
          <w:sz w:val="18"/>
          <w:szCs w:val="18"/>
        </w:rPr>
        <w:t>Medical</w:t>
      </w:r>
      <w:r w:rsidR="00DE6D80" w:rsidRPr="00725DAE">
        <w:rPr>
          <w:rFonts w:asciiTheme="majorHAnsi" w:hAnsiTheme="majorHAnsi"/>
          <w:sz w:val="18"/>
          <w:szCs w:val="18"/>
        </w:rPr>
        <w:t xml:space="preserve"> College, Aurangabad</w:t>
      </w:r>
      <w:r w:rsidRPr="00725DAE">
        <w:rPr>
          <w:rFonts w:asciiTheme="majorHAnsi" w:hAnsiTheme="majorHAnsi"/>
          <w:sz w:val="18"/>
          <w:szCs w:val="18"/>
        </w:rPr>
        <w:t>, Maharashtra</w:t>
      </w:r>
    </w:p>
    <w:p w:rsidR="00D05E11" w:rsidRPr="00725DAE" w:rsidRDefault="00021EA2" w:rsidP="00725DAE">
      <w:pPr>
        <w:widowControl w:val="0"/>
        <w:autoSpaceDE w:val="0"/>
        <w:autoSpaceDN w:val="0"/>
        <w:adjustRightInd w:val="0"/>
        <w:spacing w:line="360" w:lineRule="auto"/>
        <w:jc w:val="both"/>
        <w:rPr>
          <w:rFonts w:asciiTheme="majorHAnsi" w:hAnsiTheme="majorHAnsi"/>
          <w:sz w:val="18"/>
          <w:szCs w:val="18"/>
          <w:vertAlign w:val="superscript"/>
        </w:rPr>
      </w:pPr>
      <w:r w:rsidRPr="00725DAE">
        <w:rPr>
          <w:rFonts w:asciiTheme="majorHAnsi" w:hAnsiTheme="majorHAnsi"/>
          <w:sz w:val="18"/>
          <w:szCs w:val="18"/>
        </w:rPr>
        <w:t xml:space="preserve"> </w:t>
      </w:r>
      <w:r w:rsidRPr="00725DAE">
        <w:rPr>
          <w:rFonts w:asciiTheme="majorHAnsi" w:hAnsiTheme="majorHAnsi"/>
          <w:sz w:val="18"/>
          <w:szCs w:val="18"/>
          <w:vertAlign w:val="superscript"/>
        </w:rPr>
        <w:t>3</w:t>
      </w:r>
      <w:r w:rsidRPr="00725DAE">
        <w:rPr>
          <w:rFonts w:asciiTheme="majorHAnsi" w:hAnsiTheme="majorHAnsi"/>
          <w:sz w:val="18"/>
          <w:szCs w:val="18"/>
        </w:rPr>
        <w:t>Assistan professor department of pharmacology GMC Aurangabad</w:t>
      </w:r>
    </w:p>
    <w:p w:rsidR="009843AB" w:rsidRPr="00725DAE" w:rsidRDefault="009843AB" w:rsidP="00725DAE">
      <w:pPr>
        <w:widowControl w:val="0"/>
        <w:autoSpaceDE w:val="0"/>
        <w:autoSpaceDN w:val="0"/>
        <w:adjustRightInd w:val="0"/>
        <w:spacing w:line="360" w:lineRule="auto"/>
        <w:jc w:val="both"/>
        <w:rPr>
          <w:rFonts w:asciiTheme="majorHAnsi" w:hAnsiTheme="majorHAnsi"/>
          <w:sz w:val="18"/>
          <w:szCs w:val="18"/>
        </w:rPr>
      </w:pPr>
      <w:r w:rsidRPr="00725DAE">
        <w:rPr>
          <w:rFonts w:asciiTheme="majorHAnsi" w:hAnsiTheme="majorHAnsi"/>
          <w:sz w:val="18"/>
          <w:szCs w:val="18"/>
        </w:rPr>
        <w:t xml:space="preserve">Corresponding author: Dr. </w:t>
      </w:r>
      <w:proofErr w:type="spellStart"/>
      <w:r w:rsidRPr="00725DAE">
        <w:rPr>
          <w:rFonts w:asciiTheme="majorHAnsi" w:hAnsiTheme="majorHAnsi"/>
          <w:sz w:val="18"/>
          <w:szCs w:val="18"/>
        </w:rPr>
        <w:t>Sayed</w:t>
      </w:r>
      <w:proofErr w:type="spellEnd"/>
      <w:r w:rsidRPr="00725DAE">
        <w:rPr>
          <w:rFonts w:asciiTheme="majorHAnsi" w:hAnsiTheme="majorHAnsi"/>
          <w:sz w:val="18"/>
          <w:szCs w:val="18"/>
        </w:rPr>
        <w:t xml:space="preserve"> </w:t>
      </w:r>
      <w:proofErr w:type="spellStart"/>
      <w:r w:rsidRPr="00725DAE">
        <w:rPr>
          <w:rFonts w:asciiTheme="majorHAnsi" w:hAnsiTheme="majorHAnsi"/>
          <w:sz w:val="18"/>
          <w:szCs w:val="18"/>
        </w:rPr>
        <w:t>Asif</w:t>
      </w:r>
      <w:proofErr w:type="spellEnd"/>
      <w:r w:rsidRPr="00725DAE">
        <w:rPr>
          <w:rFonts w:asciiTheme="majorHAnsi" w:hAnsiTheme="majorHAnsi"/>
          <w:sz w:val="18"/>
          <w:szCs w:val="18"/>
        </w:rPr>
        <w:t xml:space="preserve"> Umar</w:t>
      </w:r>
    </w:p>
    <w:p w:rsidR="009843AB" w:rsidRPr="00725DAE" w:rsidRDefault="009843AB" w:rsidP="00725DAE">
      <w:pPr>
        <w:widowControl w:val="0"/>
        <w:autoSpaceDE w:val="0"/>
        <w:autoSpaceDN w:val="0"/>
        <w:adjustRightInd w:val="0"/>
        <w:spacing w:line="360" w:lineRule="auto"/>
        <w:jc w:val="both"/>
        <w:rPr>
          <w:sz w:val="20"/>
          <w:szCs w:val="20"/>
        </w:rPr>
      </w:pPr>
      <w:r w:rsidRPr="00725DAE">
        <w:rPr>
          <w:rFonts w:asciiTheme="majorHAnsi" w:hAnsiTheme="majorHAnsi"/>
          <w:sz w:val="18"/>
          <w:szCs w:val="18"/>
        </w:rPr>
        <w:t xml:space="preserve">Associate Professor, Dept. of Pharmacology, JIIU’s IIMSR Medical College, </w:t>
      </w:r>
      <w:proofErr w:type="spellStart"/>
      <w:r w:rsidRPr="00725DAE">
        <w:rPr>
          <w:rFonts w:asciiTheme="majorHAnsi" w:hAnsiTheme="majorHAnsi"/>
          <w:sz w:val="18"/>
          <w:szCs w:val="18"/>
        </w:rPr>
        <w:t>Badnapur</w:t>
      </w:r>
      <w:proofErr w:type="spellEnd"/>
      <w:r w:rsidRPr="00725DAE">
        <w:rPr>
          <w:rFonts w:asciiTheme="majorHAnsi" w:hAnsiTheme="majorHAnsi"/>
          <w:sz w:val="18"/>
          <w:szCs w:val="18"/>
        </w:rPr>
        <w:t xml:space="preserve"> Dist. </w:t>
      </w:r>
      <w:proofErr w:type="spellStart"/>
      <w:r w:rsidRPr="00725DAE">
        <w:rPr>
          <w:rFonts w:asciiTheme="majorHAnsi" w:hAnsiTheme="majorHAnsi"/>
          <w:sz w:val="18"/>
          <w:szCs w:val="18"/>
        </w:rPr>
        <w:t>Jalna</w:t>
      </w:r>
      <w:proofErr w:type="spellEnd"/>
      <w:r w:rsidRPr="00725DAE">
        <w:rPr>
          <w:rFonts w:asciiTheme="majorHAnsi" w:hAnsiTheme="majorHAnsi"/>
          <w:sz w:val="18"/>
          <w:szCs w:val="18"/>
        </w:rPr>
        <w:t xml:space="preserve">, </w:t>
      </w:r>
      <w:proofErr w:type="gramStart"/>
      <w:r w:rsidRPr="00725DAE">
        <w:rPr>
          <w:rFonts w:asciiTheme="majorHAnsi" w:hAnsiTheme="majorHAnsi"/>
          <w:sz w:val="18"/>
          <w:szCs w:val="18"/>
        </w:rPr>
        <w:t>Maharashtra</w:t>
      </w:r>
      <w:proofErr w:type="gramEnd"/>
      <w:r w:rsidRPr="00725DAE">
        <w:rPr>
          <w:sz w:val="18"/>
          <w:szCs w:val="18"/>
        </w:rPr>
        <w:t xml:space="preserve">   </w:t>
      </w:r>
      <w:r w:rsidRPr="00725DAE">
        <w:rPr>
          <w:sz w:val="18"/>
          <w:szCs w:val="18"/>
        </w:rPr>
        <w:tab/>
      </w:r>
      <w:r w:rsidRPr="00725DAE">
        <w:rPr>
          <w:sz w:val="20"/>
          <w:szCs w:val="20"/>
        </w:rPr>
        <w:tab/>
      </w:r>
      <w:r w:rsidRPr="00725DAE">
        <w:rPr>
          <w:sz w:val="20"/>
          <w:szCs w:val="20"/>
        </w:rPr>
        <w:tab/>
      </w:r>
      <w:r w:rsidRPr="00725DAE">
        <w:rPr>
          <w:sz w:val="20"/>
          <w:szCs w:val="20"/>
        </w:rPr>
        <w:tab/>
      </w:r>
      <w:r w:rsidRPr="00725DAE">
        <w:rPr>
          <w:sz w:val="20"/>
          <w:szCs w:val="20"/>
        </w:rPr>
        <w:tab/>
      </w:r>
      <w:r w:rsidRPr="00725DAE">
        <w:rPr>
          <w:sz w:val="20"/>
          <w:szCs w:val="20"/>
        </w:rPr>
        <w:tab/>
        <w:t xml:space="preserve"> </w:t>
      </w:r>
    </w:p>
    <w:p w:rsidR="00725DAE" w:rsidRPr="00725DAE" w:rsidRDefault="00725DAE" w:rsidP="00725DAE">
      <w:pPr>
        <w:spacing w:line="360" w:lineRule="auto"/>
        <w:jc w:val="both"/>
        <w:rPr>
          <w:b/>
          <w:bCs/>
          <w:sz w:val="20"/>
          <w:szCs w:val="20"/>
        </w:rPr>
      </w:pPr>
      <w:r w:rsidRPr="00725DAE">
        <w:rPr>
          <w:b/>
          <w:bCs/>
          <w:sz w:val="20"/>
          <w:szCs w:val="20"/>
        </w:rPr>
        <w:t>Abstract:</w:t>
      </w:r>
      <w:r>
        <w:rPr>
          <w:b/>
          <w:bCs/>
          <w:sz w:val="20"/>
          <w:szCs w:val="20"/>
        </w:rPr>
        <w:t xml:space="preserve"> </w:t>
      </w:r>
    </w:p>
    <w:p w:rsidR="00725DAE" w:rsidRDefault="00725DAE" w:rsidP="00725DAE">
      <w:pPr>
        <w:spacing w:line="360" w:lineRule="auto"/>
        <w:jc w:val="both"/>
        <w:rPr>
          <w:b/>
          <w:bCs/>
          <w:color w:val="000000"/>
          <w:sz w:val="18"/>
          <w:szCs w:val="18"/>
        </w:rPr>
      </w:pPr>
      <w:r w:rsidRPr="00725DAE">
        <w:rPr>
          <w:b/>
          <w:sz w:val="18"/>
          <w:szCs w:val="18"/>
        </w:rPr>
        <w:t>Introduction:</w:t>
      </w:r>
      <w:r>
        <w:rPr>
          <w:sz w:val="18"/>
          <w:szCs w:val="18"/>
        </w:rPr>
        <w:t xml:space="preserve"> </w:t>
      </w:r>
      <w:proofErr w:type="spellStart"/>
      <w:r w:rsidR="009843AB" w:rsidRPr="00725DAE">
        <w:rPr>
          <w:sz w:val="18"/>
          <w:szCs w:val="18"/>
        </w:rPr>
        <w:t>Prediabetes</w:t>
      </w:r>
      <w:proofErr w:type="spellEnd"/>
      <w:r w:rsidR="009843AB" w:rsidRPr="00725DAE">
        <w:rPr>
          <w:sz w:val="18"/>
          <w:szCs w:val="18"/>
        </w:rPr>
        <w:t xml:space="preserve">, typically defined as blood glucose levels above normal but below </w:t>
      </w:r>
      <w:proofErr w:type="gramStart"/>
      <w:r w:rsidR="009843AB" w:rsidRPr="00725DAE">
        <w:rPr>
          <w:sz w:val="18"/>
          <w:szCs w:val="18"/>
        </w:rPr>
        <w:t>the  thresholds</w:t>
      </w:r>
      <w:proofErr w:type="gramEnd"/>
      <w:r w:rsidR="009843AB" w:rsidRPr="00725DAE">
        <w:rPr>
          <w:sz w:val="18"/>
          <w:szCs w:val="18"/>
        </w:rPr>
        <w:t xml:space="preserve"> of diagnosis of diabetes, is a risk state that defines a high chance of developing diabetes. . The homeostasis model assessment of insulin resistance (HOMA-IR), calculated from fasting plasma glucose level and fasting plasma insulin, is a simple method for evaluation of insulin sensitivity and correlates with the results of glucose clamp test in subjects with  diabetes without significant </w:t>
      </w:r>
      <w:proofErr w:type="spellStart"/>
      <w:r w:rsidR="009843AB" w:rsidRPr="00725DAE">
        <w:rPr>
          <w:sz w:val="18"/>
          <w:szCs w:val="18"/>
        </w:rPr>
        <w:t>hyperglycemia</w:t>
      </w:r>
      <w:proofErr w:type="spellEnd"/>
      <w:r w:rsidR="009843AB" w:rsidRPr="00725DAE">
        <w:rPr>
          <w:sz w:val="18"/>
          <w:szCs w:val="18"/>
        </w:rPr>
        <w:t xml:space="preserve"> Hence  in the present study we   plan  to compare  the effect of pioglitazone and metformin on HOMA –IR IN  obese </w:t>
      </w:r>
      <w:proofErr w:type="spellStart"/>
      <w:r w:rsidR="009843AB" w:rsidRPr="00725DAE">
        <w:rPr>
          <w:sz w:val="18"/>
          <w:szCs w:val="18"/>
        </w:rPr>
        <w:t>prediabetic</w:t>
      </w:r>
      <w:proofErr w:type="spellEnd"/>
      <w:r w:rsidR="009843AB" w:rsidRPr="00725DAE">
        <w:rPr>
          <w:sz w:val="18"/>
          <w:szCs w:val="18"/>
        </w:rPr>
        <w:t xml:space="preserve"> </w:t>
      </w:r>
      <w:proofErr w:type="spellStart"/>
      <w:r w:rsidR="009843AB" w:rsidRPr="00725DAE">
        <w:rPr>
          <w:sz w:val="18"/>
          <w:szCs w:val="18"/>
        </w:rPr>
        <w:t>patients.AIMS</w:t>
      </w:r>
      <w:proofErr w:type="spellEnd"/>
      <w:r w:rsidR="009843AB" w:rsidRPr="00725DAE">
        <w:rPr>
          <w:sz w:val="18"/>
          <w:szCs w:val="18"/>
        </w:rPr>
        <w:t xml:space="preserve"> Comparison of the effect of pioglitazone and metformin on HOMA IR in patient of  </w:t>
      </w:r>
      <w:proofErr w:type="spellStart"/>
      <w:r w:rsidR="009843AB" w:rsidRPr="00725DAE">
        <w:rPr>
          <w:sz w:val="18"/>
          <w:szCs w:val="18"/>
        </w:rPr>
        <w:t>prediabetes</w:t>
      </w:r>
      <w:proofErr w:type="spellEnd"/>
      <w:r w:rsidR="009843AB" w:rsidRPr="00725DAE">
        <w:rPr>
          <w:sz w:val="18"/>
          <w:szCs w:val="18"/>
        </w:rPr>
        <w:t>.</w:t>
      </w:r>
      <w:r w:rsidR="009843AB" w:rsidRPr="00725DAE">
        <w:rPr>
          <w:b/>
          <w:bCs/>
          <w:color w:val="000000"/>
          <w:sz w:val="18"/>
          <w:szCs w:val="18"/>
        </w:rPr>
        <w:t xml:space="preserve"> </w:t>
      </w:r>
    </w:p>
    <w:p w:rsidR="00725DAE" w:rsidRDefault="00725DAE" w:rsidP="00725DAE">
      <w:pPr>
        <w:spacing w:line="360" w:lineRule="auto"/>
        <w:jc w:val="both"/>
        <w:rPr>
          <w:b/>
          <w:sz w:val="18"/>
          <w:szCs w:val="18"/>
        </w:rPr>
      </w:pPr>
      <w:proofErr w:type="gramStart"/>
      <w:r>
        <w:rPr>
          <w:b/>
          <w:bCs/>
          <w:color w:val="000000"/>
          <w:sz w:val="18"/>
          <w:szCs w:val="18"/>
        </w:rPr>
        <w:t>O</w:t>
      </w:r>
      <w:r w:rsidR="00531D3C" w:rsidRPr="00725DAE">
        <w:rPr>
          <w:b/>
          <w:bCs/>
          <w:color w:val="000000"/>
          <w:sz w:val="18"/>
          <w:szCs w:val="18"/>
        </w:rPr>
        <w:t>bjectives</w:t>
      </w:r>
      <w:r w:rsidR="009843AB" w:rsidRPr="00725DAE">
        <w:rPr>
          <w:b/>
          <w:bCs/>
          <w:color w:val="000000"/>
          <w:sz w:val="18"/>
          <w:szCs w:val="18"/>
        </w:rPr>
        <w:t xml:space="preserve"> </w:t>
      </w:r>
      <w:r>
        <w:rPr>
          <w:b/>
          <w:bCs/>
          <w:color w:val="000000"/>
          <w:sz w:val="18"/>
          <w:szCs w:val="18"/>
        </w:rPr>
        <w:t>:</w:t>
      </w:r>
      <w:proofErr w:type="gramEnd"/>
      <w:r>
        <w:rPr>
          <w:b/>
          <w:bCs/>
          <w:color w:val="000000"/>
          <w:sz w:val="18"/>
          <w:szCs w:val="18"/>
        </w:rPr>
        <w:t xml:space="preserve"> </w:t>
      </w:r>
      <w:r w:rsidR="009843AB" w:rsidRPr="00725DAE">
        <w:rPr>
          <w:sz w:val="18"/>
          <w:szCs w:val="18"/>
        </w:rPr>
        <w:t xml:space="preserve">To study the effect  of </w:t>
      </w:r>
      <w:r w:rsidR="00D35A9E" w:rsidRPr="00725DAE">
        <w:rPr>
          <w:sz w:val="18"/>
          <w:szCs w:val="18"/>
        </w:rPr>
        <w:t xml:space="preserve">Metformin and </w:t>
      </w:r>
      <w:r w:rsidR="009843AB" w:rsidRPr="00725DAE">
        <w:rPr>
          <w:sz w:val="18"/>
          <w:szCs w:val="18"/>
        </w:rPr>
        <w:t>pioglitazone on HOMA IR</w:t>
      </w:r>
      <w:r w:rsidR="00D35A9E" w:rsidRPr="00725DAE">
        <w:rPr>
          <w:sz w:val="18"/>
          <w:szCs w:val="18"/>
        </w:rPr>
        <w:t xml:space="preserve"> and HbA1c. Patient reported ADR of pioglitazone and </w:t>
      </w:r>
      <w:proofErr w:type="gramStart"/>
      <w:r w:rsidR="00D35A9E" w:rsidRPr="00725DAE">
        <w:rPr>
          <w:sz w:val="18"/>
          <w:szCs w:val="18"/>
        </w:rPr>
        <w:t>metformin</w:t>
      </w:r>
      <w:r>
        <w:rPr>
          <w:b/>
          <w:sz w:val="18"/>
          <w:szCs w:val="18"/>
        </w:rPr>
        <w:t xml:space="preserve"> .</w:t>
      </w:r>
      <w:proofErr w:type="gramEnd"/>
      <w:r>
        <w:rPr>
          <w:b/>
          <w:sz w:val="18"/>
          <w:szCs w:val="18"/>
        </w:rPr>
        <w:t xml:space="preserve"> </w:t>
      </w:r>
    </w:p>
    <w:p w:rsidR="00725DAE" w:rsidRDefault="00725DAE" w:rsidP="00725DAE">
      <w:pPr>
        <w:spacing w:line="360" w:lineRule="auto"/>
        <w:jc w:val="both"/>
        <w:rPr>
          <w:b/>
          <w:sz w:val="18"/>
          <w:szCs w:val="18"/>
        </w:rPr>
      </w:pPr>
      <w:r>
        <w:rPr>
          <w:b/>
          <w:sz w:val="18"/>
          <w:szCs w:val="18"/>
        </w:rPr>
        <w:t>R</w:t>
      </w:r>
      <w:r w:rsidRPr="00725DAE">
        <w:rPr>
          <w:b/>
          <w:sz w:val="18"/>
          <w:szCs w:val="18"/>
        </w:rPr>
        <w:t>esults</w:t>
      </w:r>
      <w:r w:rsidRPr="00725DAE">
        <w:rPr>
          <w:sz w:val="18"/>
          <w:szCs w:val="18"/>
        </w:rPr>
        <w:t>:</w:t>
      </w:r>
      <w:r>
        <w:rPr>
          <w:sz w:val="18"/>
          <w:szCs w:val="18"/>
        </w:rPr>
        <w:t xml:space="preserve"> </w:t>
      </w:r>
      <w:r w:rsidR="00531D3C" w:rsidRPr="00725DAE">
        <w:rPr>
          <w:sz w:val="18"/>
          <w:szCs w:val="18"/>
        </w:rPr>
        <w:t xml:space="preserve">There was a statistically HIGHLY significant decrease in HOMA –IR and HbA1c    levels in Group I (Metformin), and </w:t>
      </w:r>
      <w:proofErr w:type="spellStart"/>
      <w:r w:rsidR="00531D3C" w:rsidRPr="00725DAE">
        <w:rPr>
          <w:sz w:val="18"/>
          <w:szCs w:val="18"/>
        </w:rPr>
        <w:t>groupll</w:t>
      </w:r>
      <w:proofErr w:type="spellEnd"/>
      <w:r w:rsidR="00531D3C" w:rsidRPr="00725DAE">
        <w:rPr>
          <w:sz w:val="18"/>
          <w:szCs w:val="18"/>
        </w:rPr>
        <w:t xml:space="preserve"> pioglitazone after 6 months of </w:t>
      </w:r>
      <w:proofErr w:type="gramStart"/>
      <w:r w:rsidR="00531D3C" w:rsidRPr="00725DAE">
        <w:rPr>
          <w:sz w:val="18"/>
          <w:szCs w:val="18"/>
        </w:rPr>
        <w:t>treatment  as</w:t>
      </w:r>
      <w:proofErr w:type="gramEnd"/>
      <w:r w:rsidR="00531D3C" w:rsidRPr="00725DAE">
        <w:rPr>
          <w:sz w:val="18"/>
          <w:szCs w:val="18"/>
        </w:rPr>
        <w:t xml:space="preserve"> compared to baseline</w:t>
      </w:r>
      <w:r>
        <w:rPr>
          <w:b/>
          <w:sz w:val="18"/>
          <w:szCs w:val="18"/>
        </w:rPr>
        <w:t>.</w:t>
      </w:r>
    </w:p>
    <w:p w:rsidR="00D35A9E" w:rsidRPr="00725DAE" w:rsidRDefault="00725DAE" w:rsidP="00725DAE">
      <w:pPr>
        <w:spacing w:line="360" w:lineRule="auto"/>
        <w:jc w:val="both"/>
        <w:rPr>
          <w:color w:val="000000" w:themeColor="text1"/>
          <w:sz w:val="18"/>
          <w:szCs w:val="18"/>
        </w:rPr>
      </w:pPr>
      <w:r>
        <w:rPr>
          <w:b/>
          <w:sz w:val="18"/>
          <w:szCs w:val="18"/>
        </w:rPr>
        <w:t>C</w:t>
      </w:r>
      <w:r w:rsidRPr="00725DAE">
        <w:rPr>
          <w:b/>
          <w:sz w:val="18"/>
          <w:szCs w:val="18"/>
        </w:rPr>
        <w:t>onclusion:</w:t>
      </w:r>
      <w:r>
        <w:rPr>
          <w:b/>
          <w:sz w:val="18"/>
          <w:szCs w:val="18"/>
        </w:rPr>
        <w:t xml:space="preserve"> </w:t>
      </w:r>
      <w:r w:rsidR="00531D3C" w:rsidRPr="00725DAE">
        <w:rPr>
          <w:color w:val="000000" w:themeColor="text1"/>
          <w:sz w:val="18"/>
          <w:szCs w:val="18"/>
        </w:rPr>
        <w:t>Our study showed pioglitazone was superior in reducing HOMA-IR when compared with metformin</w:t>
      </w:r>
    </w:p>
    <w:p w:rsidR="00725DAE" w:rsidRPr="00725DAE" w:rsidRDefault="00725DAE" w:rsidP="00725DAE">
      <w:pPr>
        <w:spacing w:line="360" w:lineRule="auto"/>
        <w:jc w:val="both"/>
        <w:rPr>
          <w:sz w:val="20"/>
          <w:szCs w:val="20"/>
        </w:rPr>
      </w:pPr>
    </w:p>
    <w:p w:rsidR="00F2750F" w:rsidRPr="00725DAE" w:rsidRDefault="00F2750F" w:rsidP="00725DAE">
      <w:pPr>
        <w:autoSpaceDE w:val="0"/>
        <w:autoSpaceDN w:val="0"/>
        <w:adjustRightInd w:val="0"/>
        <w:spacing w:line="360" w:lineRule="auto"/>
        <w:jc w:val="both"/>
        <w:rPr>
          <w:b/>
          <w:bCs/>
          <w:color w:val="009A00"/>
          <w:sz w:val="20"/>
          <w:szCs w:val="20"/>
        </w:rPr>
      </w:pPr>
      <w:r w:rsidRPr="00725DAE">
        <w:rPr>
          <w:b/>
          <w:bCs/>
          <w:color w:val="000000" w:themeColor="text1"/>
          <w:sz w:val="20"/>
          <w:szCs w:val="20"/>
        </w:rPr>
        <w:t>Introduction</w:t>
      </w:r>
    </w:p>
    <w:p w:rsidR="00F2750F" w:rsidRPr="00725DAE" w:rsidRDefault="00F2750F" w:rsidP="00725DAE">
      <w:pPr>
        <w:autoSpaceDE w:val="0"/>
        <w:autoSpaceDN w:val="0"/>
        <w:adjustRightInd w:val="0"/>
        <w:spacing w:line="360" w:lineRule="auto"/>
        <w:jc w:val="both"/>
        <w:rPr>
          <w:sz w:val="20"/>
          <w:szCs w:val="20"/>
        </w:rPr>
      </w:pPr>
      <w:proofErr w:type="spellStart"/>
      <w:r w:rsidRPr="00725DAE">
        <w:rPr>
          <w:sz w:val="20"/>
          <w:szCs w:val="20"/>
        </w:rPr>
        <w:t>Prediabetes</w:t>
      </w:r>
      <w:proofErr w:type="spellEnd"/>
      <w:r w:rsidRPr="00725DAE">
        <w:rPr>
          <w:sz w:val="20"/>
          <w:szCs w:val="20"/>
        </w:rPr>
        <w:t xml:space="preserve">, typically defined as blood glucose levels above normal but below </w:t>
      </w:r>
      <w:proofErr w:type="gramStart"/>
      <w:r w:rsidRPr="00725DAE">
        <w:rPr>
          <w:sz w:val="20"/>
          <w:szCs w:val="20"/>
        </w:rPr>
        <w:t>the  thresholds</w:t>
      </w:r>
      <w:proofErr w:type="gramEnd"/>
      <w:r w:rsidRPr="00725DAE">
        <w:rPr>
          <w:sz w:val="20"/>
          <w:szCs w:val="20"/>
        </w:rPr>
        <w:t xml:space="preserve"> of diagnosis of diabetes, is a risk state that defines a high chance of developing diabetes. According to the World Health Organization (WHO), high risk for developing diabetes relates to two distinct states, impaired fasting glucose (IFG) defined as fasting plasma glucose (FPG) of 110-125mg/dl  (in the absence of impaired glucose tolerance – IGT) and IGT defined as </w:t>
      </w:r>
      <w:proofErr w:type="spellStart"/>
      <w:r w:rsidRPr="00725DAE">
        <w:rPr>
          <w:sz w:val="20"/>
          <w:szCs w:val="20"/>
        </w:rPr>
        <w:t>postload</w:t>
      </w:r>
      <w:proofErr w:type="spellEnd"/>
      <w:r w:rsidRPr="00725DAE">
        <w:rPr>
          <w:sz w:val="20"/>
          <w:szCs w:val="20"/>
        </w:rPr>
        <w:t xml:space="preserve"> plasma glucose of 140-199mg/dl  based on 2-h oral glucose tolerance test (OGTT) or a combination of both.</w:t>
      </w:r>
      <w:r w:rsidRPr="00725DAE">
        <w:rPr>
          <w:sz w:val="20"/>
          <w:szCs w:val="20"/>
          <w:vertAlign w:val="superscript"/>
        </w:rPr>
        <w:t>1</w:t>
      </w:r>
      <w:r w:rsidRPr="00725DAE">
        <w:rPr>
          <w:sz w:val="20"/>
          <w:szCs w:val="20"/>
        </w:rPr>
        <w:t xml:space="preserve"> The American Diabetes Association (ADA), although applying the same thresholds for IGT, uses a lower cut-off value for IFG (FPG 100-125 mg/dl) and has additionally introduced </w:t>
      </w:r>
      <w:proofErr w:type="spellStart"/>
      <w:r w:rsidRPr="00725DAE">
        <w:rPr>
          <w:sz w:val="20"/>
          <w:szCs w:val="20"/>
        </w:rPr>
        <w:t>haemoglobin</w:t>
      </w:r>
      <w:proofErr w:type="spellEnd"/>
      <w:r w:rsidRPr="00725DAE">
        <w:rPr>
          <w:sz w:val="20"/>
          <w:szCs w:val="20"/>
        </w:rPr>
        <w:t xml:space="preserve"> A1c levels of 5.7–6.4% as a new category of high diabetes risk.</w:t>
      </w:r>
      <w:r w:rsidRPr="00725DAE">
        <w:rPr>
          <w:sz w:val="20"/>
          <w:szCs w:val="20"/>
          <w:vertAlign w:val="superscript"/>
        </w:rPr>
        <w:t>2</w:t>
      </w:r>
    </w:p>
    <w:p w:rsidR="00F2750F" w:rsidRPr="00725DAE" w:rsidRDefault="00F2750F" w:rsidP="00725DAE">
      <w:pPr>
        <w:autoSpaceDE w:val="0"/>
        <w:autoSpaceDN w:val="0"/>
        <w:adjustRightInd w:val="0"/>
        <w:spacing w:line="360" w:lineRule="auto"/>
        <w:jc w:val="both"/>
        <w:rPr>
          <w:sz w:val="20"/>
          <w:szCs w:val="20"/>
        </w:rPr>
      </w:pPr>
      <w:r w:rsidRPr="00725DAE">
        <w:rPr>
          <w:sz w:val="20"/>
          <w:szCs w:val="20"/>
        </w:rPr>
        <w:tab/>
        <w:t xml:space="preserve">The term </w:t>
      </w:r>
      <w:proofErr w:type="spellStart"/>
      <w:r w:rsidRPr="00725DAE">
        <w:rPr>
          <w:sz w:val="20"/>
          <w:szCs w:val="20"/>
        </w:rPr>
        <w:t>prediabetes</w:t>
      </w:r>
      <w:proofErr w:type="spellEnd"/>
      <w:r w:rsidRPr="00725DAE">
        <w:rPr>
          <w:sz w:val="20"/>
          <w:szCs w:val="20"/>
        </w:rPr>
        <w:t xml:space="preserve"> itself has been </w:t>
      </w:r>
      <w:proofErr w:type="spellStart"/>
      <w:r w:rsidRPr="00725DAE">
        <w:rPr>
          <w:sz w:val="20"/>
          <w:szCs w:val="20"/>
        </w:rPr>
        <w:t>critised</w:t>
      </w:r>
      <w:proofErr w:type="spellEnd"/>
      <w:r w:rsidRPr="00725DAE">
        <w:rPr>
          <w:sz w:val="20"/>
          <w:szCs w:val="20"/>
        </w:rPr>
        <w:t xml:space="preserve"> on the basis </w:t>
      </w:r>
      <w:proofErr w:type="gramStart"/>
      <w:r w:rsidRPr="00725DAE">
        <w:rPr>
          <w:sz w:val="20"/>
          <w:szCs w:val="20"/>
        </w:rPr>
        <w:t>that  many</w:t>
      </w:r>
      <w:proofErr w:type="gramEnd"/>
      <w:r w:rsidRPr="00725DAE">
        <w:rPr>
          <w:sz w:val="20"/>
          <w:szCs w:val="20"/>
        </w:rPr>
        <w:t xml:space="preserve"> people with </w:t>
      </w:r>
      <w:proofErr w:type="spellStart"/>
      <w:r w:rsidRPr="00725DAE">
        <w:rPr>
          <w:sz w:val="20"/>
          <w:szCs w:val="20"/>
        </w:rPr>
        <w:t>prediabetes</w:t>
      </w:r>
      <w:proofErr w:type="spellEnd"/>
      <w:r w:rsidRPr="00725DAE">
        <w:rPr>
          <w:sz w:val="20"/>
          <w:szCs w:val="20"/>
        </w:rPr>
        <w:t xml:space="preserve"> do not progress to diabetes,  the term may imply that no intervention is necessary as no disease is present, and finally  diabetes risk does not necessarily differ between people with </w:t>
      </w:r>
      <w:proofErr w:type="spellStart"/>
      <w:r w:rsidRPr="00725DAE">
        <w:rPr>
          <w:sz w:val="20"/>
          <w:szCs w:val="20"/>
        </w:rPr>
        <w:t>prediabetes</w:t>
      </w:r>
      <w:proofErr w:type="spellEnd"/>
      <w:r w:rsidRPr="00725DAE">
        <w:rPr>
          <w:sz w:val="20"/>
          <w:szCs w:val="20"/>
        </w:rPr>
        <w:t xml:space="preserve"> and those with a combination of other diabetes risk factors. Indeed, the WHO used the term ‘</w:t>
      </w:r>
      <w:r w:rsidRPr="00725DAE">
        <w:rPr>
          <w:i/>
          <w:iCs/>
          <w:sz w:val="20"/>
          <w:szCs w:val="20"/>
        </w:rPr>
        <w:t xml:space="preserve">Intermediate </w:t>
      </w:r>
      <w:proofErr w:type="spellStart"/>
      <w:r w:rsidRPr="00725DAE">
        <w:rPr>
          <w:i/>
          <w:iCs/>
          <w:sz w:val="20"/>
          <w:szCs w:val="20"/>
        </w:rPr>
        <w:t>Hyperglycaemia</w:t>
      </w:r>
      <w:proofErr w:type="spellEnd"/>
      <w:r w:rsidRPr="00725DAE">
        <w:rPr>
          <w:sz w:val="20"/>
          <w:szCs w:val="20"/>
        </w:rPr>
        <w:t>’ and an International Expert Committee convened by the ADA the ‘</w:t>
      </w:r>
      <w:r w:rsidRPr="00725DAE">
        <w:rPr>
          <w:i/>
          <w:iCs/>
          <w:sz w:val="20"/>
          <w:szCs w:val="20"/>
        </w:rPr>
        <w:t>High Risk State of Developing Diabetes</w:t>
      </w:r>
      <w:r w:rsidRPr="00725DAE">
        <w:rPr>
          <w:sz w:val="20"/>
          <w:szCs w:val="20"/>
        </w:rPr>
        <w:t>’ rather than ‘prediabetes’.</w:t>
      </w:r>
      <w:r w:rsidRPr="00725DAE">
        <w:rPr>
          <w:sz w:val="20"/>
          <w:szCs w:val="20"/>
          <w:vertAlign w:val="superscript"/>
        </w:rPr>
        <w:t>3</w:t>
      </w:r>
      <w:r w:rsidR="00725DAE" w:rsidRPr="00725DAE">
        <w:rPr>
          <w:sz w:val="20"/>
          <w:szCs w:val="20"/>
        </w:rPr>
        <w:t xml:space="preserve"> </w:t>
      </w:r>
    </w:p>
    <w:p w:rsidR="00F2750F" w:rsidRPr="00725DAE" w:rsidRDefault="00F2750F" w:rsidP="00725DAE">
      <w:pPr>
        <w:autoSpaceDE w:val="0"/>
        <w:autoSpaceDN w:val="0"/>
        <w:adjustRightInd w:val="0"/>
        <w:spacing w:line="360" w:lineRule="auto"/>
        <w:jc w:val="both"/>
        <w:rPr>
          <w:sz w:val="20"/>
          <w:szCs w:val="20"/>
        </w:rPr>
      </w:pPr>
      <w:r w:rsidRPr="00725DAE">
        <w:rPr>
          <w:sz w:val="20"/>
          <w:szCs w:val="20"/>
        </w:rPr>
        <w:lastRenderedPageBreak/>
        <w:tab/>
        <w:t xml:space="preserve">Evaluation of insulin resistance or sensitivity and β-cell function is important for understanding the disease status and selection of pharmacologic treatment. The gold standard of evaluation of insulin sensitivity is glucose clamp test. However, the test is limited to research use and is difficult to perform at every medical institution. Although there are also other tests, they are often complex or inadequate. Homeostasis model assessment, first described by Matthews </w:t>
      </w:r>
      <w:r w:rsidRPr="00725DAE">
        <w:rPr>
          <w:i/>
          <w:iCs/>
          <w:sz w:val="20"/>
          <w:szCs w:val="20"/>
        </w:rPr>
        <w:t xml:space="preserve">et al., </w:t>
      </w:r>
      <w:r w:rsidRPr="00725DAE">
        <w:rPr>
          <w:sz w:val="20"/>
          <w:szCs w:val="20"/>
        </w:rPr>
        <w:t xml:space="preserve">is </w:t>
      </w:r>
      <w:proofErr w:type="gramStart"/>
      <w:r w:rsidRPr="00725DAE">
        <w:rPr>
          <w:sz w:val="20"/>
          <w:szCs w:val="20"/>
        </w:rPr>
        <w:t>hypothetical  method</w:t>
      </w:r>
      <w:proofErr w:type="gramEnd"/>
      <w:r w:rsidRPr="00725DAE">
        <w:rPr>
          <w:sz w:val="20"/>
          <w:szCs w:val="20"/>
        </w:rPr>
        <w:t xml:space="preserve"> for estimating insulin sensitivity. This model is based on the theory of a feedback loop between β cells and the liver. The homeostasis model assessment of insulin resistance (HOMA-IR), calculated from fasting plasma glucose level and fasting plasma insulin, is a simple method for evaluation of insulin sensitivity and correlates with the results of glucose clamp test in subjects </w:t>
      </w:r>
      <w:proofErr w:type="gramStart"/>
      <w:r w:rsidRPr="00725DAE">
        <w:rPr>
          <w:sz w:val="20"/>
          <w:szCs w:val="20"/>
        </w:rPr>
        <w:t>with  diabetes</w:t>
      </w:r>
      <w:proofErr w:type="gramEnd"/>
      <w:r w:rsidRPr="00725DAE">
        <w:rPr>
          <w:sz w:val="20"/>
          <w:szCs w:val="20"/>
        </w:rPr>
        <w:t xml:space="preserve"> without significant hyperglycemia.</w:t>
      </w:r>
      <w:r w:rsidR="00531D3C" w:rsidRPr="00725DAE">
        <w:rPr>
          <w:sz w:val="20"/>
          <w:szCs w:val="20"/>
          <w:vertAlign w:val="superscript"/>
        </w:rPr>
        <w:t>4-</w:t>
      </w:r>
      <w:r w:rsidRPr="00725DAE">
        <w:rPr>
          <w:sz w:val="20"/>
          <w:szCs w:val="20"/>
          <w:vertAlign w:val="superscript"/>
        </w:rPr>
        <w:t>11</w:t>
      </w:r>
      <w:r w:rsidRPr="00725DAE">
        <w:rPr>
          <w:sz w:val="20"/>
          <w:szCs w:val="20"/>
        </w:rPr>
        <w:t xml:space="preserve"> </w:t>
      </w:r>
    </w:p>
    <w:p w:rsidR="00F2750F" w:rsidRPr="00725DAE" w:rsidRDefault="00F2750F" w:rsidP="00725DAE">
      <w:pPr>
        <w:autoSpaceDE w:val="0"/>
        <w:autoSpaceDN w:val="0"/>
        <w:adjustRightInd w:val="0"/>
        <w:spacing w:line="360" w:lineRule="auto"/>
        <w:jc w:val="both"/>
        <w:rPr>
          <w:sz w:val="20"/>
          <w:szCs w:val="20"/>
        </w:rPr>
      </w:pPr>
      <w:r w:rsidRPr="00725DAE">
        <w:rPr>
          <w:sz w:val="20"/>
          <w:szCs w:val="20"/>
        </w:rPr>
        <w:tab/>
        <w:t xml:space="preserve">The use of metformin to treat </w:t>
      </w:r>
      <w:proofErr w:type="spellStart"/>
      <w:r w:rsidRPr="00725DAE">
        <w:rPr>
          <w:sz w:val="20"/>
          <w:szCs w:val="20"/>
        </w:rPr>
        <w:t>prediabetic</w:t>
      </w:r>
      <w:proofErr w:type="spellEnd"/>
      <w:r w:rsidRPr="00725DAE">
        <w:rPr>
          <w:sz w:val="20"/>
          <w:szCs w:val="20"/>
        </w:rPr>
        <w:t xml:space="preserve"> patients is based on the results of the US Diabetes Prevention Program. Randomized, controlled trial studies have shown improvement in fasting serum glucose, fasting insulin, and homeostasis model assessment-estimated insulin resistance (HOMA-IR</w:t>
      </w:r>
      <w:proofErr w:type="gramStart"/>
      <w:r w:rsidRPr="00725DAE">
        <w:rPr>
          <w:sz w:val="20"/>
          <w:szCs w:val="20"/>
        </w:rPr>
        <w:t>)  on</w:t>
      </w:r>
      <w:proofErr w:type="gramEnd"/>
      <w:r w:rsidRPr="00725DAE">
        <w:rPr>
          <w:sz w:val="20"/>
          <w:szCs w:val="20"/>
        </w:rPr>
        <w:t xml:space="preserve"> metformin therapy  associated with insulin resistance. According to many studies the major effect of metformin may be through inhibition of appetite probably by increasing the levels of GLP- 1 and by interacting with signaling </w:t>
      </w:r>
      <w:proofErr w:type="gramStart"/>
      <w:r w:rsidRPr="00725DAE">
        <w:rPr>
          <w:sz w:val="20"/>
          <w:szCs w:val="20"/>
        </w:rPr>
        <w:t>of  hormones</w:t>
      </w:r>
      <w:proofErr w:type="gramEnd"/>
      <w:r w:rsidRPr="00725DAE">
        <w:rPr>
          <w:sz w:val="20"/>
          <w:szCs w:val="20"/>
        </w:rPr>
        <w:t xml:space="preserve"> such as ghrelin, </w:t>
      </w:r>
      <w:proofErr w:type="spellStart"/>
      <w:r w:rsidRPr="00725DAE">
        <w:rPr>
          <w:sz w:val="20"/>
          <w:szCs w:val="20"/>
        </w:rPr>
        <w:t>leptin</w:t>
      </w:r>
      <w:proofErr w:type="spellEnd"/>
      <w:r w:rsidRPr="00725DAE">
        <w:rPr>
          <w:sz w:val="20"/>
          <w:szCs w:val="20"/>
        </w:rPr>
        <w:t xml:space="preserve"> and insulin leading to  reduction of excessive weight gain having favorable effect on HOMA IR, and glycemic control.</w:t>
      </w:r>
      <w:r w:rsidRPr="00725DAE">
        <w:rPr>
          <w:sz w:val="20"/>
          <w:szCs w:val="20"/>
          <w:vertAlign w:val="superscript"/>
        </w:rPr>
        <w:t>12</w:t>
      </w: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ab/>
      </w:r>
      <w:proofErr w:type="spellStart"/>
      <w:r w:rsidRPr="00725DAE">
        <w:rPr>
          <w:sz w:val="20"/>
          <w:szCs w:val="20"/>
        </w:rPr>
        <w:t>Thiazolidinediones</w:t>
      </w:r>
      <w:proofErr w:type="spellEnd"/>
      <w:r w:rsidRPr="00725DAE">
        <w:rPr>
          <w:sz w:val="20"/>
          <w:szCs w:val="20"/>
        </w:rPr>
        <w:t xml:space="preserve">, including </w:t>
      </w:r>
      <w:proofErr w:type="spellStart"/>
      <w:r w:rsidRPr="00725DAE">
        <w:rPr>
          <w:sz w:val="20"/>
          <w:szCs w:val="20"/>
        </w:rPr>
        <w:t>troglitazone</w:t>
      </w:r>
      <w:proofErr w:type="spellEnd"/>
      <w:r w:rsidRPr="00725DAE">
        <w:rPr>
          <w:sz w:val="20"/>
          <w:szCs w:val="20"/>
        </w:rPr>
        <w:t>, rosiglitazone, and pioglitazone have consistently been shown to be twice as effective as metformin in preventing IGT/IFG conversion to type 2 diabetes and in inducing reversion to normal glucose tolerance. Presently pioglitazone is the only drug approved while Rosiglitazone is banned because of increased cardiovascular risk.</w:t>
      </w:r>
      <w:r w:rsidRPr="00725DAE">
        <w:rPr>
          <w:sz w:val="20"/>
          <w:szCs w:val="20"/>
        </w:rPr>
        <w:tab/>
      </w:r>
      <w:proofErr w:type="gramStart"/>
      <w:r w:rsidRPr="00725DAE">
        <w:rPr>
          <w:sz w:val="20"/>
          <w:szCs w:val="20"/>
        </w:rPr>
        <w:t>Hence  in</w:t>
      </w:r>
      <w:proofErr w:type="gramEnd"/>
      <w:r w:rsidRPr="00725DAE">
        <w:rPr>
          <w:sz w:val="20"/>
          <w:szCs w:val="20"/>
        </w:rPr>
        <w:t xml:space="preserve"> the present study we   plan  to compare  the effect of pioglitazone and metformin on HOMA –IR IN  obese </w:t>
      </w:r>
      <w:proofErr w:type="spellStart"/>
      <w:r w:rsidRPr="00725DAE">
        <w:rPr>
          <w:sz w:val="20"/>
          <w:szCs w:val="20"/>
        </w:rPr>
        <w:t>prediabetic</w:t>
      </w:r>
      <w:proofErr w:type="spellEnd"/>
      <w:r w:rsidRPr="00725DAE">
        <w:rPr>
          <w:sz w:val="20"/>
          <w:szCs w:val="20"/>
        </w:rPr>
        <w:t xml:space="preserve"> patients. </w:t>
      </w:r>
    </w:p>
    <w:p w:rsidR="00F2750F" w:rsidRPr="00725DAE" w:rsidRDefault="00F2750F" w:rsidP="00725DAE">
      <w:pPr>
        <w:autoSpaceDE w:val="0"/>
        <w:autoSpaceDN w:val="0"/>
        <w:adjustRightInd w:val="0"/>
        <w:spacing w:line="360" w:lineRule="auto"/>
        <w:jc w:val="both"/>
        <w:rPr>
          <w:sz w:val="20"/>
          <w:szCs w:val="20"/>
        </w:rPr>
      </w:pPr>
      <w:r w:rsidRPr="00725DAE">
        <w:rPr>
          <w:b/>
          <w:bCs/>
          <w:color w:val="000000"/>
          <w:sz w:val="20"/>
          <w:szCs w:val="20"/>
        </w:rPr>
        <w:t>AIMS OF STUDY:</w:t>
      </w:r>
    </w:p>
    <w:p w:rsidR="00725DAE" w:rsidRPr="00725DAE" w:rsidRDefault="00F2750F" w:rsidP="00725DAE">
      <w:pPr>
        <w:widowControl w:val="0"/>
        <w:autoSpaceDE w:val="0"/>
        <w:autoSpaceDN w:val="0"/>
        <w:adjustRightInd w:val="0"/>
        <w:spacing w:line="360" w:lineRule="auto"/>
        <w:jc w:val="both"/>
        <w:rPr>
          <w:b/>
          <w:bCs/>
          <w:color w:val="000000"/>
          <w:sz w:val="20"/>
          <w:szCs w:val="20"/>
        </w:rPr>
      </w:pPr>
      <w:r w:rsidRPr="00725DAE">
        <w:rPr>
          <w:sz w:val="20"/>
          <w:szCs w:val="20"/>
        </w:rPr>
        <w:t xml:space="preserve">Comparison of the effect of pioglitazone and metformin on HOMA IR in patient </w:t>
      </w:r>
      <w:proofErr w:type="gramStart"/>
      <w:r w:rsidRPr="00725DAE">
        <w:rPr>
          <w:sz w:val="20"/>
          <w:szCs w:val="20"/>
        </w:rPr>
        <w:t xml:space="preserve">of  </w:t>
      </w:r>
      <w:proofErr w:type="spellStart"/>
      <w:r w:rsidRPr="00725DAE">
        <w:rPr>
          <w:sz w:val="20"/>
          <w:szCs w:val="20"/>
        </w:rPr>
        <w:t>prediabetes</w:t>
      </w:r>
      <w:proofErr w:type="spellEnd"/>
      <w:proofErr w:type="gramEnd"/>
      <w:r w:rsidRPr="00725DAE">
        <w:rPr>
          <w:sz w:val="20"/>
          <w:szCs w:val="20"/>
        </w:rPr>
        <w:t>.</w:t>
      </w:r>
    </w:p>
    <w:p w:rsidR="00F2750F" w:rsidRPr="00725DAE" w:rsidRDefault="00725DAE" w:rsidP="00725DAE">
      <w:pPr>
        <w:widowControl w:val="0"/>
        <w:autoSpaceDE w:val="0"/>
        <w:autoSpaceDN w:val="0"/>
        <w:adjustRightInd w:val="0"/>
        <w:spacing w:line="360" w:lineRule="auto"/>
        <w:jc w:val="both"/>
        <w:rPr>
          <w:b/>
          <w:bCs/>
          <w:color w:val="000000"/>
          <w:sz w:val="20"/>
          <w:szCs w:val="20"/>
        </w:rPr>
      </w:pPr>
      <w:r w:rsidRPr="00725DAE">
        <w:rPr>
          <w:b/>
          <w:bCs/>
          <w:color w:val="000000"/>
          <w:sz w:val="20"/>
          <w:szCs w:val="20"/>
        </w:rPr>
        <w:t xml:space="preserve"> OBJECTIVES OF STUDY</w:t>
      </w:r>
    </w:p>
    <w:p w:rsidR="00F2750F" w:rsidRPr="00725DAE" w:rsidRDefault="00F2750F" w:rsidP="00725DAE">
      <w:pPr>
        <w:pStyle w:val="ListParagraph"/>
        <w:numPr>
          <w:ilvl w:val="0"/>
          <w:numId w:val="1"/>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 xml:space="preserve">To study the </w:t>
      </w:r>
      <w:proofErr w:type="gramStart"/>
      <w:r w:rsidRPr="00725DAE">
        <w:rPr>
          <w:rFonts w:ascii="Times New Roman" w:hAnsi="Times New Roman" w:cs="Times New Roman"/>
          <w:sz w:val="20"/>
          <w:szCs w:val="20"/>
        </w:rPr>
        <w:t>effect  of</w:t>
      </w:r>
      <w:proofErr w:type="gramEnd"/>
      <w:r w:rsidRPr="00725DAE">
        <w:rPr>
          <w:rFonts w:ascii="Times New Roman" w:hAnsi="Times New Roman" w:cs="Times New Roman"/>
          <w:sz w:val="20"/>
          <w:szCs w:val="20"/>
        </w:rPr>
        <w:t xml:space="preserve"> pioglitazone on HOMA IR.</w:t>
      </w:r>
    </w:p>
    <w:p w:rsidR="00F2750F" w:rsidRPr="00725DAE" w:rsidRDefault="00F2750F" w:rsidP="00725DAE">
      <w:pPr>
        <w:pStyle w:val="ListParagraph"/>
        <w:numPr>
          <w:ilvl w:val="0"/>
          <w:numId w:val="1"/>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To study the effect  of Metformin  on HOMA IR</w:t>
      </w:r>
    </w:p>
    <w:p w:rsidR="00F2750F" w:rsidRPr="00725DAE" w:rsidRDefault="00F2750F" w:rsidP="00725DAE">
      <w:pPr>
        <w:pStyle w:val="ListParagraph"/>
        <w:numPr>
          <w:ilvl w:val="0"/>
          <w:numId w:val="1"/>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 xml:space="preserve">To study the </w:t>
      </w:r>
      <w:proofErr w:type="gramStart"/>
      <w:r w:rsidRPr="00725DAE">
        <w:rPr>
          <w:rFonts w:ascii="Times New Roman" w:hAnsi="Times New Roman" w:cs="Times New Roman"/>
          <w:sz w:val="20"/>
          <w:szCs w:val="20"/>
        </w:rPr>
        <w:t>effect  of</w:t>
      </w:r>
      <w:proofErr w:type="gramEnd"/>
      <w:r w:rsidRPr="00725DAE">
        <w:rPr>
          <w:rFonts w:ascii="Times New Roman" w:hAnsi="Times New Roman" w:cs="Times New Roman"/>
          <w:sz w:val="20"/>
          <w:szCs w:val="20"/>
        </w:rPr>
        <w:t xml:space="preserve"> pioglitazone on HbA1c.</w:t>
      </w:r>
    </w:p>
    <w:p w:rsidR="00F2750F" w:rsidRPr="00725DAE" w:rsidRDefault="00F2750F" w:rsidP="00725DAE">
      <w:pPr>
        <w:pStyle w:val="ListParagraph"/>
        <w:numPr>
          <w:ilvl w:val="0"/>
          <w:numId w:val="1"/>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 xml:space="preserve">To study the </w:t>
      </w:r>
      <w:proofErr w:type="gramStart"/>
      <w:r w:rsidRPr="00725DAE">
        <w:rPr>
          <w:rFonts w:ascii="Times New Roman" w:hAnsi="Times New Roman" w:cs="Times New Roman"/>
          <w:sz w:val="20"/>
          <w:szCs w:val="20"/>
        </w:rPr>
        <w:t>effect  of</w:t>
      </w:r>
      <w:proofErr w:type="gramEnd"/>
      <w:r w:rsidRPr="00725DAE">
        <w:rPr>
          <w:rFonts w:ascii="Times New Roman" w:hAnsi="Times New Roman" w:cs="Times New Roman"/>
          <w:sz w:val="20"/>
          <w:szCs w:val="20"/>
        </w:rPr>
        <w:t xml:space="preserve"> Metformin  on HbA1c.</w:t>
      </w:r>
    </w:p>
    <w:p w:rsidR="00F2750F" w:rsidRPr="00725DAE" w:rsidRDefault="00F2750F" w:rsidP="00725DAE">
      <w:pPr>
        <w:pStyle w:val="ListParagraph"/>
        <w:numPr>
          <w:ilvl w:val="0"/>
          <w:numId w:val="1"/>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Patient reported ADR of pioglitazone and metformin</w:t>
      </w:r>
    </w:p>
    <w:p w:rsidR="00F2750F" w:rsidRPr="00725DAE" w:rsidRDefault="00F2750F" w:rsidP="00725DAE">
      <w:pPr>
        <w:widowControl w:val="0"/>
        <w:autoSpaceDE w:val="0"/>
        <w:autoSpaceDN w:val="0"/>
        <w:adjustRightInd w:val="0"/>
        <w:spacing w:line="360" w:lineRule="auto"/>
        <w:jc w:val="both"/>
        <w:rPr>
          <w:b/>
          <w:bCs/>
          <w:color w:val="000000"/>
          <w:sz w:val="20"/>
          <w:szCs w:val="20"/>
        </w:rPr>
      </w:pPr>
      <w:r w:rsidRPr="00725DAE">
        <w:rPr>
          <w:b/>
          <w:bCs/>
          <w:color w:val="000000"/>
          <w:sz w:val="20"/>
          <w:szCs w:val="20"/>
        </w:rPr>
        <w:t xml:space="preserve">MATERIALS AND </w:t>
      </w:r>
      <w:r w:rsidR="00725DAE">
        <w:rPr>
          <w:b/>
          <w:bCs/>
          <w:color w:val="000000"/>
          <w:sz w:val="20"/>
          <w:szCs w:val="20"/>
        </w:rPr>
        <w:t>METHOD</w:t>
      </w:r>
    </w:p>
    <w:p w:rsidR="00F2750F" w:rsidRPr="00725DAE" w:rsidRDefault="00F2750F" w:rsidP="00725DAE">
      <w:pPr>
        <w:pStyle w:val="ListParagraph"/>
        <w:widowControl w:val="0"/>
        <w:autoSpaceDE w:val="0"/>
        <w:autoSpaceDN w:val="0"/>
        <w:adjustRightInd w:val="0"/>
        <w:spacing w:after="0" w:line="360" w:lineRule="auto"/>
        <w:ind w:left="0"/>
        <w:jc w:val="both"/>
        <w:rPr>
          <w:rFonts w:ascii="Times New Roman" w:hAnsi="Times New Roman" w:cs="Times New Roman"/>
          <w:b/>
          <w:bCs/>
          <w:color w:val="000000"/>
          <w:sz w:val="20"/>
          <w:szCs w:val="20"/>
          <w:u w:val="single"/>
        </w:rPr>
      </w:pPr>
      <w:r w:rsidRPr="00725DAE">
        <w:rPr>
          <w:rFonts w:ascii="Times New Roman" w:hAnsi="Times New Roman" w:cs="Times New Roman"/>
          <w:b/>
          <w:color w:val="000000"/>
          <w:sz w:val="20"/>
          <w:szCs w:val="20"/>
        </w:rPr>
        <w:t>DESIGN-</w:t>
      </w:r>
    </w:p>
    <w:p w:rsidR="00F2750F" w:rsidRPr="00725DAE" w:rsidRDefault="00F2750F" w:rsidP="00725DAE">
      <w:pPr>
        <w:widowControl w:val="0"/>
        <w:autoSpaceDE w:val="0"/>
        <w:autoSpaceDN w:val="0"/>
        <w:adjustRightInd w:val="0"/>
        <w:spacing w:line="360" w:lineRule="auto"/>
        <w:jc w:val="both"/>
        <w:rPr>
          <w:color w:val="000000"/>
          <w:sz w:val="20"/>
          <w:szCs w:val="20"/>
        </w:rPr>
      </w:pPr>
      <w:r w:rsidRPr="00725DAE">
        <w:rPr>
          <w:color w:val="000000"/>
          <w:sz w:val="20"/>
          <w:szCs w:val="20"/>
        </w:rPr>
        <w:t xml:space="preserve">       Open label, randomized, parallel group, comparative </w:t>
      </w:r>
      <w:proofErr w:type="gramStart"/>
      <w:r w:rsidRPr="00725DAE">
        <w:rPr>
          <w:color w:val="000000"/>
          <w:sz w:val="20"/>
          <w:szCs w:val="20"/>
        </w:rPr>
        <w:t>and  prospective</w:t>
      </w:r>
      <w:proofErr w:type="gramEnd"/>
      <w:r w:rsidRPr="00725DAE">
        <w:rPr>
          <w:color w:val="000000"/>
          <w:sz w:val="20"/>
          <w:szCs w:val="20"/>
        </w:rPr>
        <w:t xml:space="preserve"> study.</w:t>
      </w:r>
    </w:p>
    <w:p w:rsidR="00F2750F" w:rsidRPr="00725DAE" w:rsidRDefault="00F2750F" w:rsidP="00725DAE">
      <w:pPr>
        <w:pStyle w:val="ListParagraph"/>
        <w:widowControl w:val="0"/>
        <w:numPr>
          <w:ilvl w:val="0"/>
          <w:numId w:val="9"/>
        </w:numPr>
        <w:tabs>
          <w:tab w:val="left" w:pos="780"/>
        </w:tabs>
        <w:autoSpaceDE w:val="0"/>
        <w:autoSpaceDN w:val="0"/>
        <w:adjustRightInd w:val="0"/>
        <w:spacing w:after="0" w:line="360" w:lineRule="auto"/>
        <w:jc w:val="both"/>
        <w:rPr>
          <w:rFonts w:ascii="Times New Roman" w:hAnsi="Times New Roman" w:cs="Times New Roman"/>
          <w:color w:val="000000"/>
          <w:sz w:val="20"/>
          <w:szCs w:val="20"/>
        </w:rPr>
      </w:pPr>
      <w:r w:rsidRPr="00725DAE">
        <w:rPr>
          <w:rFonts w:ascii="Times New Roman" w:hAnsi="Times New Roman" w:cs="Times New Roman"/>
          <w:color w:val="000000"/>
          <w:sz w:val="20"/>
          <w:szCs w:val="20"/>
        </w:rPr>
        <w:t xml:space="preserve">60 cases with </w:t>
      </w:r>
      <w:proofErr w:type="spellStart"/>
      <w:r w:rsidRPr="00725DAE">
        <w:rPr>
          <w:rFonts w:ascii="Times New Roman" w:hAnsi="Times New Roman" w:cs="Times New Roman"/>
          <w:color w:val="000000"/>
          <w:sz w:val="20"/>
          <w:szCs w:val="20"/>
        </w:rPr>
        <w:t>prediabetes</w:t>
      </w:r>
      <w:proofErr w:type="spellEnd"/>
      <w:r w:rsidRPr="00725DAE">
        <w:rPr>
          <w:rFonts w:ascii="Times New Roman" w:hAnsi="Times New Roman" w:cs="Times New Roman"/>
          <w:color w:val="000000"/>
          <w:sz w:val="20"/>
          <w:szCs w:val="20"/>
        </w:rPr>
        <w:t xml:space="preserve"> for calculating </w:t>
      </w:r>
      <w:r w:rsidRPr="00725DAE">
        <w:rPr>
          <w:rFonts w:ascii="Times New Roman" w:hAnsi="Times New Roman" w:cs="Times New Roman"/>
          <w:sz w:val="20"/>
          <w:szCs w:val="20"/>
        </w:rPr>
        <w:t>HOMA IR</w:t>
      </w:r>
      <w:r w:rsidRPr="00725DAE">
        <w:rPr>
          <w:rFonts w:ascii="Times New Roman" w:hAnsi="Times New Roman" w:cs="Times New Roman"/>
          <w:color w:val="000000"/>
          <w:sz w:val="20"/>
          <w:szCs w:val="20"/>
        </w:rPr>
        <w:t xml:space="preserve"> with cut off of1.8.</w:t>
      </w:r>
    </w:p>
    <w:p w:rsidR="00F2750F" w:rsidRPr="00725DAE" w:rsidRDefault="00F2750F" w:rsidP="00725DAE">
      <w:pPr>
        <w:pStyle w:val="ListParagraph"/>
        <w:widowControl w:val="0"/>
        <w:numPr>
          <w:ilvl w:val="0"/>
          <w:numId w:val="9"/>
        </w:numPr>
        <w:tabs>
          <w:tab w:val="left" w:pos="780"/>
        </w:tabs>
        <w:autoSpaceDE w:val="0"/>
        <w:autoSpaceDN w:val="0"/>
        <w:adjustRightInd w:val="0"/>
        <w:spacing w:after="0" w:line="360" w:lineRule="auto"/>
        <w:jc w:val="both"/>
        <w:rPr>
          <w:rFonts w:ascii="Times New Roman" w:hAnsi="Times New Roman" w:cs="Times New Roman"/>
          <w:color w:val="000000"/>
          <w:sz w:val="20"/>
          <w:szCs w:val="20"/>
        </w:rPr>
      </w:pPr>
      <w:r w:rsidRPr="00725DAE">
        <w:rPr>
          <w:rFonts w:ascii="Times New Roman" w:hAnsi="Times New Roman" w:cs="Times New Roman"/>
          <w:color w:val="000000"/>
          <w:sz w:val="20"/>
          <w:szCs w:val="20"/>
        </w:rPr>
        <w:t>Informed written consent was obtained from all the patients. .</w:t>
      </w:r>
    </w:p>
    <w:p w:rsidR="00F2750F" w:rsidRPr="00725DAE" w:rsidRDefault="00F2750F" w:rsidP="00725DAE">
      <w:pPr>
        <w:pStyle w:val="ListParagraph"/>
        <w:widowControl w:val="0"/>
        <w:numPr>
          <w:ilvl w:val="0"/>
          <w:numId w:val="9"/>
        </w:numPr>
        <w:tabs>
          <w:tab w:val="left" w:pos="780"/>
        </w:tabs>
        <w:autoSpaceDE w:val="0"/>
        <w:autoSpaceDN w:val="0"/>
        <w:adjustRightInd w:val="0"/>
        <w:spacing w:after="0" w:line="360" w:lineRule="auto"/>
        <w:jc w:val="both"/>
        <w:rPr>
          <w:rFonts w:ascii="Times New Roman" w:hAnsi="Times New Roman" w:cs="Times New Roman"/>
          <w:color w:val="000000"/>
          <w:sz w:val="20"/>
          <w:szCs w:val="20"/>
        </w:rPr>
      </w:pPr>
      <w:r w:rsidRPr="00725DAE">
        <w:rPr>
          <w:rFonts w:ascii="Times New Roman" w:hAnsi="Times New Roman" w:cs="Times New Roman"/>
          <w:color w:val="000000"/>
          <w:sz w:val="20"/>
          <w:szCs w:val="20"/>
        </w:rPr>
        <w:t>Group I  received  Metformin 500 mg SR BD,</w:t>
      </w:r>
    </w:p>
    <w:p w:rsidR="00F2750F" w:rsidRPr="00725DAE" w:rsidRDefault="00725DAE" w:rsidP="00725DAE">
      <w:pPr>
        <w:pStyle w:val="ListParagraph"/>
        <w:widowControl w:val="0"/>
        <w:numPr>
          <w:ilvl w:val="0"/>
          <w:numId w:val="9"/>
        </w:numPr>
        <w:tabs>
          <w:tab w:val="left" w:pos="780"/>
        </w:tabs>
        <w:autoSpaceDE w:val="0"/>
        <w:autoSpaceDN w:val="0"/>
        <w:adjustRightInd w:val="0"/>
        <w:spacing w:after="0" w:line="360" w:lineRule="auto"/>
        <w:jc w:val="both"/>
        <w:rPr>
          <w:rFonts w:ascii="Times New Roman" w:hAnsi="Times New Roman" w:cs="Times New Roman"/>
          <w:color w:val="000000"/>
          <w:sz w:val="20"/>
          <w:szCs w:val="20"/>
        </w:rPr>
      </w:pPr>
      <w:r w:rsidRPr="00725DAE">
        <w:rPr>
          <w:rFonts w:ascii="Times New Roman" w:hAnsi="Times New Roman" w:cs="Times New Roman"/>
          <w:color w:val="000000"/>
          <w:sz w:val="20"/>
          <w:szCs w:val="20"/>
        </w:rPr>
        <w:t>Group II  Pioglitazone 7.5mg BD</w:t>
      </w:r>
    </w:p>
    <w:p w:rsidR="00F2750F" w:rsidRPr="00725DAE" w:rsidRDefault="00725DAE" w:rsidP="00725DAE">
      <w:pPr>
        <w:widowControl w:val="0"/>
        <w:tabs>
          <w:tab w:val="left" w:pos="426"/>
        </w:tabs>
        <w:autoSpaceDE w:val="0"/>
        <w:autoSpaceDN w:val="0"/>
        <w:adjustRightInd w:val="0"/>
        <w:spacing w:line="360" w:lineRule="auto"/>
        <w:jc w:val="both"/>
        <w:rPr>
          <w:sz w:val="20"/>
          <w:szCs w:val="20"/>
        </w:rPr>
      </w:pPr>
      <w:r>
        <w:rPr>
          <w:sz w:val="20"/>
          <w:szCs w:val="20"/>
        </w:rPr>
        <w:t xml:space="preserve">      </w:t>
      </w:r>
      <w:r w:rsidR="00F2750F" w:rsidRPr="00725DAE">
        <w:rPr>
          <w:sz w:val="20"/>
          <w:szCs w:val="20"/>
        </w:rPr>
        <w:t xml:space="preserve">The subjects enrolled for this study were selected from the Out Patient Department </w:t>
      </w:r>
      <w:proofErr w:type="gramStart"/>
      <w:r w:rsidR="00F2750F" w:rsidRPr="00725DAE">
        <w:rPr>
          <w:sz w:val="20"/>
          <w:szCs w:val="20"/>
        </w:rPr>
        <w:t>of  Medicine</w:t>
      </w:r>
      <w:proofErr w:type="gramEnd"/>
      <w:r w:rsidR="00F2750F" w:rsidRPr="00725DAE">
        <w:rPr>
          <w:sz w:val="20"/>
          <w:szCs w:val="20"/>
        </w:rPr>
        <w:t xml:space="preserve">, MGM medical </w:t>
      </w:r>
      <w:r w:rsidR="00F2750F" w:rsidRPr="00725DAE">
        <w:rPr>
          <w:sz w:val="20"/>
          <w:szCs w:val="20"/>
        </w:rPr>
        <w:lastRenderedPageBreak/>
        <w:t>College, Aurangabad   according to the inclusion and exclusion criteria. Written informed consent was obtained from each patient</w:t>
      </w:r>
    </w:p>
    <w:p w:rsidR="00F2750F" w:rsidRPr="00725DAE" w:rsidRDefault="00F2750F" w:rsidP="00725DAE">
      <w:pPr>
        <w:widowControl w:val="0"/>
        <w:autoSpaceDE w:val="0"/>
        <w:autoSpaceDN w:val="0"/>
        <w:adjustRightInd w:val="0"/>
        <w:spacing w:line="360" w:lineRule="auto"/>
        <w:jc w:val="both"/>
        <w:rPr>
          <w:color w:val="000000"/>
          <w:sz w:val="20"/>
          <w:szCs w:val="20"/>
          <w:u w:val="single"/>
        </w:rPr>
      </w:pPr>
      <w:r w:rsidRPr="00725DAE">
        <w:rPr>
          <w:b/>
          <w:color w:val="000000"/>
          <w:sz w:val="20"/>
          <w:szCs w:val="20"/>
        </w:rPr>
        <w:t>INCLUSION CRITERIA</w:t>
      </w:r>
    </w:p>
    <w:p w:rsidR="00F2750F" w:rsidRPr="00725DAE" w:rsidRDefault="00F2750F" w:rsidP="00725DAE">
      <w:pPr>
        <w:pStyle w:val="ListParagraph"/>
        <w:numPr>
          <w:ilvl w:val="0"/>
          <w:numId w:val="3"/>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 xml:space="preserve">Male or female patients aged 18 to 40 years with </w:t>
      </w:r>
      <w:proofErr w:type="spellStart"/>
      <w:r w:rsidRPr="00725DAE">
        <w:rPr>
          <w:rFonts w:ascii="Times New Roman" w:hAnsi="Times New Roman" w:cs="Times New Roman"/>
          <w:sz w:val="20"/>
          <w:szCs w:val="20"/>
        </w:rPr>
        <w:t>prediabetes</w:t>
      </w:r>
      <w:proofErr w:type="spellEnd"/>
      <w:r w:rsidRPr="00725DAE">
        <w:rPr>
          <w:rFonts w:ascii="Times New Roman" w:hAnsi="Times New Roman" w:cs="Times New Roman"/>
          <w:sz w:val="20"/>
          <w:szCs w:val="20"/>
        </w:rPr>
        <w:t>.</w:t>
      </w:r>
    </w:p>
    <w:p w:rsidR="00F2750F" w:rsidRPr="00725DAE" w:rsidRDefault="00F2750F" w:rsidP="00725DAE">
      <w:pPr>
        <w:pStyle w:val="ListParagraph"/>
        <w:numPr>
          <w:ilvl w:val="0"/>
          <w:numId w:val="3"/>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 xml:space="preserve">HbA1c in the range of 5.7 to 6.4 %   </w:t>
      </w:r>
      <w:proofErr w:type="gramStart"/>
      <w:r w:rsidRPr="00725DAE">
        <w:rPr>
          <w:rFonts w:ascii="Times New Roman" w:hAnsi="Times New Roman" w:cs="Times New Roman"/>
          <w:sz w:val="20"/>
          <w:szCs w:val="20"/>
        </w:rPr>
        <w:t>at  screening</w:t>
      </w:r>
      <w:proofErr w:type="gramEnd"/>
      <w:r w:rsidRPr="00725DAE">
        <w:rPr>
          <w:rFonts w:ascii="Times New Roman" w:hAnsi="Times New Roman" w:cs="Times New Roman"/>
          <w:sz w:val="20"/>
          <w:szCs w:val="20"/>
        </w:rPr>
        <w:t>.</w:t>
      </w:r>
    </w:p>
    <w:p w:rsidR="00F2750F" w:rsidRPr="00725DAE" w:rsidRDefault="00F2750F" w:rsidP="00725DAE">
      <w:pPr>
        <w:pStyle w:val="ListParagraph"/>
        <w:numPr>
          <w:ilvl w:val="0"/>
          <w:numId w:val="3"/>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 xml:space="preserve">HOMA IR of more than 1.8.  </w:t>
      </w:r>
    </w:p>
    <w:p w:rsidR="00F2750F" w:rsidRPr="00725DAE" w:rsidRDefault="00F2750F" w:rsidP="00725DAE">
      <w:pPr>
        <w:widowControl w:val="0"/>
        <w:autoSpaceDE w:val="0"/>
        <w:autoSpaceDN w:val="0"/>
        <w:adjustRightInd w:val="0"/>
        <w:spacing w:line="360" w:lineRule="auto"/>
        <w:jc w:val="both"/>
        <w:rPr>
          <w:color w:val="000000"/>
          <w:sz w:val="20"/>
          <w:szCs w:val="20"/>
          <w:u w:val="single"/>
        </w:rPr>
      </w:pPr>
      <w:r w:rsidRPr="00725DAE">
        <w:rPr>
          <w:b/>
          <w:color w:val="000000"/>
          <w:sz w:val="20"/>
          <w:szCs w:val="20"/>
        </w:rPr>
        <w:t>EXCLUSION CRITERIA</w:t>
      </w:r>
      <w:r w:rsidRPr="00725DAE">
        <w:rPr>
          <w:color w:val="000000"/>
          <w:sz w:val="20"/>
          <w:szCs w:val="20"/>
          <w:u w:val="single"/>
        </w:rPr>
        <w:t xml:space="preserve"> </w:t>
      </w:r>
    </w:p>
    <w:p w:rsidR="00F2750F" w:rsidRPr="00725DAE" w:rsidRDefault="00F2750F" w:rsidP="00725DAE">
      <w:pPr>
        <w:pStyle w:val="ListParagraph"/>
        <w:widowControl w:val="0"/>
        <w:numPr>
          <w:ilvl w:val="0"/>
          <w:numId w:val="5"/>
        </w:numPr>
        <w:autoSpaceDE w:val="0"/>
        <w:autoSpaceDN w:val="0"/>
        <w:adjustRightInd w:val="0"/>
        <w:spacing w:after="0" w:line="360" w:lineRule="auto"/>
        <w:ind w:left="1134"/>
        <w:jc w:val="both"/>
        <w:rPr>
          <w:rFonts w:ascii="Times New Roman" w:hAnsi="Times New Roman" w:cs="Times New Roman"/>
          <w:color w:val="000000"/>
          <w:sz w:val="20"/>
          <w:szCs w:val="20"/>
        </w:rPr>
      </w:pPr>
      <w:r w:rsidRPr="00725DAE">
        <w:rPr>
          <w:rFonts w:ascii="Times New Roman" w:hAnsi="Times New Roman" w:cs="Times New Roman"/>
          <w:color w:val="000000"/>
          <w:sz w:val="20"/>
          <w:szCs w:val="20"/>
        </w:rPr>
        <w:t>Known cases of type 1 and type 2 diabetes mellitus.</w:t>
      </w:r>
    </w:p>
    <w:p w:rsidR="00F2750F" w:rsidRPr="00725DAE" w:rsidRDefault="00F2750F" w:rsidP="00725DAE">
      <w:pPr>
        <w:pStyle w:val="ListParagraph"/>
        <w:widowControl w:val="0"/>
        <w:numPr>
          <w:ilvl w:val="0"/>
          <w:numId w:val="5"/>
        </w:numPr>
        <w:autoSpaceDE w:val="0"/>
        <w:autoSpaceDN w:val="0"/>
        <w:adjustRightInd w:val="0"/>
        <w:spacing w:after="0" w:line="360" w:lineRule="auto"/>
        <w:ind w:left="1134"/>
        <w:jc w:val="both"/>
        <w:rPr>
          <w:rFonts w:ascii="Times New Roman" w:hAnsi="Times New Roman" w:cs="Times New Roman"/>
          <w:color w:val="000000"/>
          <w:sz w:val="20"/>
          <w:szCs w:val="20"/>
        </w:rPr>
      </w:pPr>
      <w:r w:rsidRPr="00725DAE">
        <w:rPr>
          <w:rFonts w:ascii="Times New Roman" w:hAnsi="Times New Roman" w:cs="Times New Roman"/>
          <w:color w:val="000000"/>
          <w:sz w:val="20"/>
          <w:szCs w:val="20"/>
        </w:rPr>
        <w:t>HOMA –IR of less than 1.8</w:t>
      </w:r>
    </w:p>
    <w:p w:rsidR="00F2750F" w:rsidRPr="00725DAE" w:rsidRDefault="00F2750F" w:rsidP="00725DAE">
      <w:pPr>
        <w:pStyle w:val="ListParagraph"/>
        <w:numPr>
          <w:ilvl w:val="0"/>
          <w:numId w:val="4"/>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 xml:space="preserve">Clinically significant cardiovascular diseases, including h/o CCF </w:t>
      </w:r>
    </w:p>
    <w:p w:rsidR="00F2750F" w:rsidRPr="00725DAE" w:rsidRDefault="00F2750F" w:rsidP="00725DAE">
      <w:pPr>
        <w:pStyle w:val="ListParagraph"/>
        <w:numPr>
          <w:ilvl w:val="0"/>
          <w:numId w:val="4"/>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 xml:space="preserve">Angina pectoris within 1 year and h/o MI </w:t>
      </w:r>
      <w:proofErr w:type="spellStart"/>
      <w:r w:rsidRPr="00725DAE">
        <w:rPr>
          <w:rFonts w:ascii="Times New Roman" w:hAnsi="Times New Roman" w:cs="Times New Roman"/>
          <w:sz w:val="20"/>
          <w:szCs w:val="20"/>
        </w:rPr>
        <w:t>with in</w:t>
      </w:r>
      <w:proofErr w:type="spellEnd"/>
      <w:r w:rsidRPr="00725DAE">
        <w:rPr>
          <w:rFonts w:ascii="Times New Roman" w:hAnsi="Times New Roman" w:cs="Times New Roman"/>
          <w:sz w:val="20"/>
          <w:szCs w:val="20"/>
        </w:rPr>
        <w:t xml:space="preserve"> 1 year </w:t>
      </w:r>
    </w:p>
    <w:p w:rsidR="00F2750F" w:rsidRPr="00725DAE" w:rsidRDefault="00F2750F" w:rsidP="00725DAE">
      <w:pPr>
        <w:pStyle w:val="ListParagraph"/>
        <w:numPr>
          <w:ilvl w:val="0"/>
          <w:numId w:val="4"/>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 xml:space="preserve">Convulsive disorder </w:t>
      </w:r>
    </w:p>
    <w:p w:rsidR="00F2750F" w:rsidRPr="00725DAE" w:rsidRDefault="00F2750F" w:rsidP="00725DAE">
      <w:pPr>
        <w:pStyle w:val="ListParagraph"/>
        <w:numPr>
          <w:ilvl w:val="0"/>
          <w:numId w:val="4"/>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 xml:space="preserve">Clinically significant G.I disease, including active peptic ulcer with in the preceding 5 years. </w:t>
      </w:r>
    </w:p>
    <w:p w:rsidR="00F2750F" w:rsidRPr="00725DAE" w:rsidRDefault="00F2750F" w:rsidP="00725DAE">
      <w:pPr>
        <w:pStyle w:val="ListParagraph"/>
        <w:numPr>
          <w:ilvl w:val="0"/>
          <w:numId w:val="4"/>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Renal disease.</w:t>
      </w:r>
    </w:p>
    <w:p w:rsidR="00F2750F" w:rsidRPr="00725DAE" w:rsidRDefault="00F2750F" w:rsidP="00725DAE">
      <w:pPr>
        <w:pStyle w:val="ListParagraph"/>
        <w:numPr>
          <w:ilvl w:val="0"/>
          <w:numId w:val="4"/>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 xml:space="preserve">Hepatic disease, </w:t>
      </w:r>
      <w:proofErr w:type="spellStart"/>
      <w:r w:rsidRPr="00725DAE">
        <w:rPr>
          <w:rFonts w:ascii="Times New Roman" w:hAnsi="Times New Roman" w:cs="Times New Roman"/>
          <w:sz w:val="20"/>
          <w:szCs w:val="20"/>
        </w:rPr>
        <w:t>hematological</w:t>
      </w:r>
      <w:proofErr w:type="spellEnd"/>
      <w:r w:rsidRPr="00725DAE">
        <w:rPr>
          <w:rFonts w:ascii="Times New Roman" w:hAnsi="Times New Roman" w:cs="Times New Roman"/>
          <w:sz w:val="20"/>
          <w:szCs w:val="20"/>
        </w:rPr>
        <w:t xml:space="preserve"> disease </w:t>
      </w:r>
    </w:p>
    <w:p w:rsidR="00F2750F" w:rsidRPr="00725DAE" w:rsidRDefault="00F2750F" w:rsidP="00725DAE">
      <w:pPr>
        <w:pStyle w:val="ListParagraph"/>
        <w:numPr>
          <w:ilvl w:val="0"/>
          <w:numId w:val="4"/>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Known infection with human immunodeficiency virus.</w:t>
      </w:r>
    </w:p>
    <w:p w:rsidR="00FA6BA9" w:rsidRDefault="00F2750F" w:rsidP="00FA6BA9">
      <w:pPr>
        <w:pStyle w:val="ListParagraph"/>
        <w:numPr>
          <w:ilvl w:val="0"/>
          <w:numId w:val="4"/>
        </w:numPr>
        <w:spacing w:after="0" w:line="360" w:lineRule="auto"/>
        <w:jc w:val="both"/>
        <w:rPr>
          <w:rFonts w:ascii="Times New Roman" w:hAnsi="Times New Roman" w:cs="Times New Roman"/>
          <w:sz w:val="20"/>
          <w:szCs w:val="20"/>
        </w:rPr>
      </w:pPr>
      <w:r w:rsidRPr="00725DAE">
        <w:rPr>
          <w:rFonts w:ascii="Times New Roman" w:hAnsi="Times New Roman" w:cs="Times New Roman"/>
          <w:sz w:val="20"/>
          <w:szCs w:val="20"/>
        </w:rPr>
        <w:t>Pregnant or lactating female.</w:t>
      </w:r>
    </w:p>
    <w:p w:rsidR="00F2750F" w:rsidRPr="00FA6BA9" w:rsidRDefault="00F2750F" w:rsidP="00FA6BA9">
      <w:pPr>
        <w:pStyle w:val="ListParagraph"/>
        <w:numPr>
          <w:ilvl w:val="0"/>
          <w:numId w:val="4"/>
        </w:numPr>
        <w:spacing w:after="0" w:line="360" w:lineRule="auto"/>
        <w:jc w:val="both"/>
        <w:rPr>
          <w:rFonts w:ascii="Times New Roman" w:hAnsi="Times New Roman" w:cs="Times New Roman"/>
          <w:sz w:val="20"/>
          <w:szCs w:val="20"/>
        </w:rPr>
      </w:pPr>
      <w:r w:rsidRPr="00FA6BA9">
        <w:rPr>
          <w:rFonts w:ascii="Times New Roman" w:hAnsi="Times New Roman" w:cs="Times New Roman"/>
          <w:sz w:val="20"/>
          <w:szCs w:val="20"/>
        </w:rPr>
        <w:t xml:space="preserve"> Smokers, alcoholic patients</w:t>
      </w:r>
    </w:p>
    <w:p w:rsidR="00F2750F" w:rsidRPr="00725DAE" w:rsidRDefault="00F2750F" w:rsidP="00725DAE">
      <w:pPr>
        <w:widowControl w:val="0"/>
        <w:autoSpaceDE w:val="0"/>
        <w:autoSpaceDN w:val="0"/>
        <w:adjustRightInd w:val="0"/>
        <w:spacing w:line="360" w:lineRule="auto"/>
        <w:jc w:val="both"/>
        <w:rPr>
          <w:b/>
          <w:color w:val="000000"/>
          <w:sz w:val="20"/>
          <w:szCs w:val="20"/>
        </w:rPr>
      </w:pPr>
      <w:r w:rsidRPr="00725DAE">
        <w:rPr>
          <w:b/>
          <w:color w:val="000000"/>
          <w:sz w:val="20"/>
          <w:szCs w:val="20"/>
        </w:rPr>
        <w:t xml:space="preserve">DURATION OF STUDY: </w:t>
      </w:r>
    </w:p>
    <w:p w:rsidR="00F2750F" w:rsidRPr="00725DAE" w:rsidRDefault="00F2750F" w:rsidP="00725DAE">
      <w:pPr>
        <w:widowControl w:val="0"/>
        <w:autoSpaceDE w:val="0"/>
        <w:autoSpaceDN w:val="0"/>
        <w:adjustRightInd w:val="0"/>
        <w:spacing w:line="360" w:lineRule="auto"/>
        <w:jc w:val="both"/>
        <w:rPr>
          <w:color w:val="000000"/>
          <w:sz w:val="20"/>
          <w:szCs w:val="20"/>
          <w:u w:val="single"/>
        </w:rPr>
      </w:pPr>
      <w:r w:rsidRPr="00725DAE">
        <w:rPr>
          <w:color w:val="000000"/>
          <w:sz w:val="20"/>
          <w:szCs w:val="20"/>
        </w:rPr>
        <w:t xml:space="preserve">             </w:t>
      </w:r>
      <w:r w:rsidRPr="00725DAE">
        <w:rPr>
          <w:sz w:val="20"/>
          <w:szCs w:val="20"/>
        </w:rPr>
        <w:t xml:space="preserve">Six </w:t>
      </w:r>
      <w:proofErr w:type="gramStart"/>
      <w:r w:rsidRPr="00725DAE">
        <w:rPr>
          <w:sz w:val="20"/>
          <w:szCs w:val="20"/>
        </w:rPr>
        <w:t xml:space="preserve">month  </w:t>
      </w:r>
      <w:proofErr w:type="spellStart"/>
      <w:r w:rsidRPr="00725DAE">
        <w:rPr>
          <w:sz w:val="20"/>
          <w:szCs w:val="20"/>
        </w:rPr>
        <w:t>randomised</w:t>
      </w:r>
      <w:proofErr w:type="spellEnd"/>
      <w:proofErr w:type="gramEnd"/>
      <w:r w:rsidRPr="00725DAE">
        <w:rPr>
          <w:sz w:val="20"/>
          <w:szCs w:val="20"/>
        </w:rPr>
        <w:t xml:space="preserve">  open  label  single  </w:t>
      </w:r>
      <w:proofErr w:type="spellStart"/>
      <w:r w:rsidRPr="00725DAE">
        <w:rPr>
          <w:sz w:val="20"/>
          <w:szCs w:val="20"/>
        </w:rPr>
        <w:t>centre</w:t>
      </w:r>
      <w:proofErr w:type="spellEnd"/>
      <w:r w:rsidRPr="00725DAE">
        <w:rPr>
          <w:sz w:val="20"/>
          <w:szCs w:val="20"/>
        </w:rPr>
        <w:t xml:space="preserve">  prospective  clinical  study</w:t>
      </w:r>
    </w:p>
    <w:p w:rsidR="00F2750F" w:rsidRPr="00FA6BA9" w:rsidRDefault="00F2750F" w:rsidP="00FA6BA9">
      <w:pPr>
        <w:spacing w:line="360" w:lineRule="auto"/>
        <w:jc w:val="both"/>
        <w:outlineLvl w:val="1"/>
        <w:rPr>
          <w:bCs/>
          <w:color w:val="000000"/>
          <w:sz w:val="20"/>
          <w:szCs w:val="20"/>
          <w:lang w:eastAsia="en-IN"/>
        </w:rPr>
      </w:pPr>
      <w:proofErr w:type="gramStart"/>
      <w:r w:rsidRPr="00FA6BA9">
        <w:rPr>
          <w:b/>
          <w:bCs/>
          <w:color w:val="000000"/>
          <w:sz w:val="20"/>
          <w:szCs w:val="20"/>
          <w:lang w:eastAsia="en-IN"/>
        </w:rPr>
        <w:t>Sample :</w:t>
      </w:r>
      <w:r w:rsidRPr="00FA6BA9">
        <w:rPr>
          <w:sz w:val="20"/>
          <w:szCs w:val="20"/>
        </w:rPr>
        <w:t>The</w:t>
      </w:r>
      <w:proofErr w:type="gramEnd"/>
      <w:r w:rsidRPr="00FA6BA9">
        <w:rPr>
          <w:sz w:val="20"/>
          <w:szCs w:val="20"/>
        </w:rPr>
        <w:t xml:space="preserve"> present study was carried out in collaboration with the Department of medicine , MGM medical  College and Department of Pharmacology, MGM Medical College, Aurangabad. A total 60 patients were enrolled and evaluated </w:t>
      </w:r>
      <w:proofErr w:type="gramStart"/>
      <w:r w:rsidRPr="00FA6BA9">
        <w:rPr>
          <w:sz w:val="20"/>
          <w:szCs w:val="20"/>
        </w:rPr>
        <w:t>between September 2014 to November 2016</w:t>
      </w:r>
      <w:proofErr w:type="gramEnd"/>
      <w:r w:rsidRPr="00FA6BA9">
        <w:rPr>
          <w:sz w:val="20"/>
          <w:szCs w:val="20"/>
        </w:rPr>
        <w:t>.</w:t>
      </w:r>
    </w:p>
    <w:p w:rsidR="00F2750F" w:rsidRPr="00725DAE" w:rsidRDefault="00F2750F" w:rsidP="00725DAE">
      <w:pPr>
        <w:spacing w:line="360" w:lineRule="auto"/>
        <w:ind w:left="709"/>
        <w:jc w:val="both"/>
        <w:outlineLvl w:val="1"/>
        <w:rPr>
          <w:sz w:val="20"/>
          <w:szCs w:val="20"/>
        </w:rPr>
      </w:pPr>
      <w:r w:rsidRPr="00725DAE">
        <w:rPr>
          <w:sz w:val="20"/>
          <w:szCs w:val="20"/>
        </w:rPr>
        <w:t>Patients were randomly divided into two groups of 30 each</w:t>
      </w:r>
    </w:p>
    <w:p w:rsidR="00F2750F" w:rsidRPr="00725DAE" w:rsidRDefault="00F2750F" w:rsidP="00725DAE">
      <w:pPr>
        <w:spacing w:line="360" w:lineRule="auto"/>
        <w:ind w:left="709"/>
        <w:jc w:val="both"/>
        <w:outlineLvl w:val="1"/>
        <w:rPr>
          <w:sz w:val="20"/>
          <w:szCs w:val="20"/>
        </w:rPr>
      </w:pPr>
      <w:r w:rsidRPr="00725DAE">
        <w:rPr>
          <w:color w:val="000000"/>
          <w:sz w:val="20"/>
          <w:szCs w:val="20"/>
        </w:rPr>
        <w:t xml:space="preserve"> </w:t>
      </w:r>
      <w:proofErr w:type="gramStart"/>
      <w:r w:rsidRPr="00725DAE">
        <w:rPr>
          <w:color w:val="000000"/>
          <w:sz w:val="20"/>
          <w:szCs w:val="20"/>
        </w:rPr>
        <w:t>Group  I</w:t>
      </w:r>
      <w:proofErr w:type="gramEnd"/>
      <w:r w:rsidRPr="00725DAE">
        <w:rPr>
          <w:color w:val="000000"/>
          <w:sz w:val="20"/>
          <w:szCs w:val="20"/>
        </w:rPr>
        <w:t xml:space="preserve">     Metformin 500 mg SR BD,</w:t>
      </w:r>
    </w:p>
    <w:p w:rsidR="00F2750F" w:rsidRPr="00725DAE" w:rsidRDefault="00F2750F" w:rsidP="00725DAE">
      <w:pPr>
        <w:spacing w:line="360" w:lineRule="auto"/>
        <w:ind w:left="709"/>
        <w:jc w:val="both"/>
        <w:outlineLvl w:val="1"/>
        <w:rPr>
          <w:sz w:val="20"/>
          <w:szCs w:val="20"/>
        </w:rPr>
      </w:pPr>
      <w:r w:rsidRPr="00725DAE">
        <w:rPr>
          <w:color w:val="000000"/>
          <w:sz w:val="20"/>
          <w:szCs w:val="20"/>
        </w:rPr>
        <w:t xml:space="preserve"> Group II     Pioglitazone 7.5 mg BD,</w:t>
      </w:r>
    </w:p>
    <w:p w:rsidR="00F2750F" w:rsidRPr="00FA6BA9" w:rsidRDefault="00F2750F" w:rsidP="00FA6BA9">
      <w:pPr>
        <w:widowControl w:val="0"/>
        <w:autoSpaceDE w:val="0"/>
        <w:autoSpaceDN w:val="0"/>
        <w:adjustRightInd w:val="0"/>
        <w:spacing w:line="360" w:lineRule="auto"/>
        <w:jc w:val="both"/>
        <w:rPr>
          <w:b/>
          <w:color w:val="000000"/>
          <w:sz w:val="20"/>
          <w:szCs w:val="20"/>
        </w:rPr>
      </w:pPr>
      <w:r w:rsidRPr="00FA6BA9">
        <w:rPr>
          <w:b/>
          <w:color w:val="000000"/>
          <w:sz w:val="20"/>
          <w:szCs w:val="20"/>
        </w:rPr>
        <w:t>Sample technique</w:t>
      </w:r>
    </w:p>
    <w:p w:rsidR="00F2750F" w:rsidRPr="00725DAE" w:rsidRDefault="00F2750F" w:rsidP="00725DAE">
      <w:pPr>
        <w:pStyle w:val="ListParagraph"/>
        <w:widowControl w:val="0"/>
        <w:autoSpaceDE w:val="0"/>
        <w:autoSpaceDN w:val="0"/>
        <w:adjustRightInd w:val="0"/>
        <w:spacing w:after="0" w:line="360" w:lineRule="auto"/>
        <w:ind w:left="851"/>
        <w:jc w:val="both"/>
        <w:rPr>
          <w:rFonts w:ascii="Times New Roman" w:hAnsi="Times New Roman" w:cs="Times New Roman"/>
          <w:b/>
          <w:color w:val="000000"/>
          <w:sz w:val="20"/>
          <w:szCs w:val="20"/>
        </w:rPr>
      </w:pPr>
      <w:r w:rsidRPr="00725DAE">
        <w:rPr>
          <w:rFonts w:ascii="Times New Roman" w:hAnsi="Times New Roman" w:cs="Times New Roman"/>
          <w:color w:val="000000"/>
          <w:sz w:val="20"/>
          <w:szCs w:val="20"/>
        </w:rPr>
        <w:t xml:space="preserve">They </w:t>
      </w:r>
      <w:proofErr w:type="gramStart"/>
      <w:r w:rsidRPr="00725DAE">
        <w:rPr>
          <w:rFonts w:ascii="Times New Roman" w:hAnsi="Times New Roman" w:cs="Times New Roman"/>
          <w:color w:val="000000"/>
          <w:sz w:val="20"/>
          <w:szCs w:val="20"/>
        </w:rPr>
        <w:t>were  randomly</w:t>
      </w:r>
      <w:proofErr w:type="gramEnd"/>
      <w:r w:rsidRPr="00725DAE">
        <w:rPr>
          <w:rFonts w:ascii="Times New Roman" w:hAnsi="Times New Roman" w:cs="Times New Roman"/>
          <w:color w:val="000000"/>
          <w:sz w:val="20"/>
          <w:szCs w:val="20"/>
        </w:rPr>
        <w:t xml:space="preserve"> allocated into 2 groups of 30 each by </w:t>
      </w:r>
      <w:r w:rsidRPr="00725DAE">
        <w:rPr>
          <w:rFonts w:ascii="Times New Roman" w:hAnsi="Times New Roman" w:cs="Times New Roman"/>
          <w:b/>
          <w:color w:val="000000"/>
          <w:sz w:val="20"/>
          <w:szCs w:val="20"/>
        </w:rPr>
        <w:t>chit method</w:t>
      </w:r>
    </w:p>
    <w:p w:rsidR="00725DAE" w:rsidRDefault="00F2750F" w:rsidP="00725DAE">
      <w:pPr>
        <w:spacing w:line="360" w:lineRule="auto"/>
        <w:ind w:left="360"/>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Study visits included clinic visits on day 0, day 90 and day 180. Patients under went the same investigations during each visit as above.</w:t>
      </w:r>
    </w:p>
    <w:p w:rsidR="00725DAE" w:rsidRDefault="00725DAE" w:rsidP="00725DAE">
      <w:pPr>
        <w:spacing w:line="360" w:lineRule="auto"/>
        <w:jc w:val="both"/>
        <w:outlineLvl w:val="1"/>
        <w:rPr>
          <w:sz w:val="20"/>
          <w:szCs w:val="20"/>
        </w:rPr>
      </w:pPr>
    </w:p>
    <w:p w:rsidR="00FA6BA9" w:rsidRDefault="00FA6BA9" w:rsidP="00725DAE">
      <w:pPr>
        <w:spacing w:line="360" w:lineRule="auto"/>
        <w:jc w:val="both"/>
        <w:outlineLvl w:val="1"/>
        <w:rPr>
          <w:sz w:val="20"/>
          <w:szCs w:val="20"/>
        </w:rPr>
      </w:pPr>
    </w:p>
    <w:p w:rsidR="00FA6BA9" w:rsidRDefault="00FA6BA9" w:rsidP="00725DAE">
      <w:pPr>
        <w:spacing w:line="360" w:lineRule="auto"/>
        <w:jc w:val="both"/>
        <w:outlineLvl w:val="1"/>
        <w:rPr>
          <w:sz w:val="20"/>
          <w:szCs w:val="20"/>
        </w:rPr>
      </w:pPr>
    </w:p>
    <w:p w:rsidR="00FA6BA9" w:rsidRDefault="00FA6BA9" w:rsidP="00725DAE">
      <w:pPr>
        <w:spacing w:line="360" w:lineRule="auto"/>
        <w:jc w:val="both"/>
        <w:outlineLvl w:val="1"/>
        <w:rPr>
          <w:sz w:val="20"/>
          <w:szCs w:val="20"/>
        </w:rPr>
      </w:pPr>
    </w:p>
    <w:p w:rsidR="00FA6BA9" w:rsidRDefault="00FA6BA9" w:rsidP="00725DAE">
      <w:pPr>
        <w:spacing w:line="360" w:lineRule="auto"/>
        <w:jc w:val="both"/>
        <w:outlineLvl w:val="1"/>
        <w:rPr>
          <w:sz w:val="20"/>
          <w:szCs w:val="20"/>
        </w:rPr>
      </w:pPr>
    </w:p>
    <w:p w:rsidR="00FA6BA9" w:rsidRDefault="00FA6BA9" w:rsidP="00725DAE">
      <w:pPr>
        <w:spacing w:line="360" w:lineRule="auto"/>
        <w:jc w:val="both"/>
        <w:outlineLvl w:val="1"/>
        <w:rPr>
          <w:sz w:val="20"/>
          <w:szCs w:val="20"/>
        </w:rPr>
      </w:pPr>
    </w:p>
    <w:p w:rsidR="00FA6BA9" w:rsidRDefault="00FA6BA9" w:rsidP="00725DAE">
      <w:pPr>
        <w:spacing w:line="360" w:lineRule="auto"/>
        <w:jc w:val="both"/>
        <w:outlineLvl w:val="1"/>
        <w:rPr>
          <w:sz w:val="20"/>
          <w:szCs w:val="20"/>
        </w:rPr>
      </w:pPr>
    </w:p>
    <w:p w:rsidR="00F2750F" w:rsidRPr="00725DAE" w:rsidRDefault="00725DAE" w:rsidP="00725DAE">
      <w:pPr>
        <w:spacing w:line="360" w:lineRule="auto"/>
        <w:jc w:val="both"/>
        <w:outlineLvl w:val="1"/>
        <w:rPr>
          <w:b/>
          <w:bCs/>
          <w:color w:val="000000"/>
          <w:sz w:val="20"/>
          <w:szCs w:val="20"/>
          <w:lang w:eastAsia="en-IN"/>
        </w:rPr>
      </w:pPr>
      <w:r w:rsidRPr="00725DAE">
        <w:rPr>
          <w:b/>
          <w:bCs/>
          <w:color w:val="000000"/>
          <w:sz w:val="20"/>
          <w:szCs w:val="20"/>
          <w:lang w:eastAsia="en-IN"/>
        </w:rPr>
        <w:t xml:space="preserve">OBSERVATION AND </w:t>
      </w:r>
      <w:r w:rsidR="00FA6BA9" w:rsidRPr="00725DAE">
        <w:rPr>
          <w:b/>
          <w:bCs/>
          <w:color w:val="000000"/>
          <w:sz w:val="20"/>
          <w:szCs w:val="20"/>
          <w:lang w:eastAsia="en-IN"/>
        </w:rPr>
        <w:t>RESULT</w:t>
      </w:r>
      <w:r w:rsidR="00FA6BA9">
        <w:rPr>
          <w:b/>
          <w:bCs/>
          <w:color w:val="000000"/>
          <w:sz w:val="20"/>
          <w:szCs w:val="20"/>
          <w:lang w:eastAsia="en-IN"/>
        </w:rPr>
        <w:t>:</w:t>
      </w:r>
      <w:r>
        <w:rPr>
          <w:b/>
          <w:bCs/>
          <w:color w:val="000000"/>
          <w:sz w:val="20"/>
          <w:szCs w:val="20"/>
          <w:lang w:eastAsia="en-IN"/>
        </w:rPr>
        <w:t xml:space="preserve"> </w:t>
      </w:r>
    </w:p>
    <w:p w:rsidR="00F2750F" w:rsidRPr="00725DAE" w:rsidRDefault="00F2750F" w:rsidP="00725DAE">
      <w:pPr>
        <w:spacing w:line="360" w:lineRule="auto"/>
        <w:jc w:val="both"/>
        <w:outlineLvl w:val="1"/>
        <w:rPr>
          <w:sz w:val="20"/>
          <w:szCs w:val="20"/>
        </w:rPr>
      </w:pPr>
      <w:r w:rsidRPr="00725DAE">
        <w:rPr>
          <w:sz w:val="20"/>
          <w:szCs w:val="20"/>
        </w:rPr>
        <w:t xml:space="preserve">A total of 60 subjects were enrolled in this study. Patients were randomly divided into two groups </w:t>
      </w:r>
      <w:proofErr w:type="gramStart"/>
      <w:r w:rsidRPr="00725DAE">
        <w:rPr>
          <w:sz w:val="20"/>
          <w:szCs w:val="20"/>
        </w:rPr>
        <w:t>of  30</w:t>
      </w:r>
      <w:proofErr w:type="gramEnd"/>
      <w:r w:rsidRPr="00725DAE">
        <w:rPr>
          <w:sz w:val="20"/>
          <w:szCs w:val="20"/>
        </w:rPr>
        <w:t xml:space="preserve"> each</w:t>
      </w:r>
    </w:p>
    <w:p w:rsidR="00F2750F" w:rsidRPr="00725DAE" w:rsidRDefault="00F2750F" w:rsidP="00725DAE">
      <w:pPr>
        <w:pStyle w:val="ListParagraph"/>
        <w:widowControl w:val="0"/>
        <w:numPr>
          <w:ilvl w:val="0"/>
          <w:numId w:val="10"/>
        </w:numPr>
        <w:tabs>
          <w:tab w:val="left" w:pos="780"/>
        </w:tabs>
        <w:autoSpaceDE w:val="0"/>
        <w:autoSpaceDN w:val="0"/>
        <w:adjustRightInd w:val="0"/>
        <w:spacing w:after="0" w:line="360" w:lineRule="auto"/>
        <w:jc w:val="both"/>
        <w:rPr>
          <w:rFonts w:ascii="Times New Roman" w:hAnsi="Times New Roman" w:cs="Times New Roman"/>
          <w:color w:val="000000"/>
          <w:sz w:val="20"/>
          <w:szCs w:val="20"/>
        </w:rPr>
      </w:pPr>
      <w:r w:rsidRPr="00725DAE">
        <w:rPr>
          <w:rFonts w:ascii="Times New Roman" w:hAnsi="Times New Roman" w:cs="Times New Roman"/>
          <w:b/>
          <w:color w:val="000000"/>
          <w:sz w:val="20"/>
          <w:szCs w:val="20"/>
        </w:rPr>
        <w:t xml:space="preserve">GROUP </w:t>
      </w:r>
      <w:proofErr w:type="gramStart"/>
      <w:r w:rsidRPr="00725DAE">
        <w:rPr>
          <w:rFonts w:ascii="Times New Roman" w:hAnsi="Times New Roman" w:cs="Times New Roman"/>
          <w:b/>
          <w:color w:val="000000"/>
          <w:sz w:val="20"/>
          <w:szCs w:val="20"/>
        </w:rPr>
        <w:t>I</w:t>
      </w:r>
      <w:r w:rsidRPr="00725DAE">
        <w:rPr>
          <w:rFonts w:ascii="Times New Roman" w:hAnsi="Times New Roman" w:cs="Times New Roman"/>
          <w:color w:val="000000"/>
          <w:sz w:val="20"/>
          <w:szCs w:val="20"/>
        </w:rPr>
        <w:t xml:space="preserve"> :</w:t>
      </w:r>
      <w:proofErr w:type="gramEnd"/>
      <w:r w:rsidRPr="00725DAE">
        <w:rPr>
          <w:rFonts w:ascii="Times New Roman" w:hAnsi="Times New Roman" w:cs="Times New Roman"/>
          <w:color w:val="000000"/>
          <w:sz w:val="20"/>
          <w:szCs w:val="20"/>
        </w:rPr>
        <w:t xml:space="preserve">      METFORMIN 500 SR MG BD.</w:t>
      </w:r>
    </w:p>
    <w:p w:rsidR="00F2750F" w:rsidRPr="00725DAE" w:rsidRDefault="00F2750F" w:rsidP="00725DAE">
      <w:pPr>
        <w:pStyle w:val="ListParagraph"/>
        <w:widowControl w:val="0"/>
        <w:numPr>
          <w:ilvl w:val="0"/>
          <w:numId w:val="10"/>
        </w:numPr>
        <w:tabs>
          <w:tab w:val="left" w:pos="780"/>
        </w:tabs>
        <w:autoSpaceDE w:val="0"/>
        <w:autoSpaceDN w:val="0"/>
        <w:adjustRightInd w:val="0"/>
        <w:spacing w:after="0" w:line="360" w:lineRule="auto"/>
        <w:jc w:val="both"/>
        <w:rPr>
          <w:rFonts w:ascii="Times New Roman" w:hAnsi="Times New Roman" w:cs="Times New Roman"/>
          <w:color w:val="000000"/>
          <w:sz w:val="20"/>
          <w:szCs w:val="20"/>
        </w:rPr>
      </w:pPr>
      <w:r w:rsidRPr="00725DAE">
        <w:rPr>
          <w:rFonts w:ascii="Times New Roman" w:hAnsi="Times New Roman" w:cs="Times New Roman"/>
          <w:b/>
          <w:color w:val="000000"/>
          <w:sz w:val="20"/>
          <w:szCs w:val="20"/>
        </w:rPr>
        <w:t xml:space="preserve">GROUP </w:t>
      </w:r>
      <w:proofErr w:type="gramStart"/>
      <w:r w:rsidRPr="00725DAE">
        <w:rPr>
          <w:rFonts w:ascii="Times New Roman" w:hAnsi="Times New Roman" w:cs="Times New Roman"/>
          <w:b/>
          <w:color w:val="000000"/>
          <w:sz w:val="20"/>
          <w:szCs w:val="20"/>
        </w:rPr>
        <w:t>II</w:t>
      </w:r>
      <w:r w:rsidRPr="00725DAE">
        <w:rPr>
          <w:rFonts w:ascii="Times New Roman" w:hAnsi="Times New Roman" w:cs="Times New Roman"/>
          <w:color w:val="000000"/>
          <w:sz w:val="20"/>
          <w:szCs w:val="20"/>
        </w:rPr>
        <w:t xml:space="preserve"> :</w:t>
      </w:r>
      <w:proofErr w:type="gramEnd"/>
      <w:r w:rsidRPr="00725DAE">
        <w:rPr>
          <w:rFonts w:ascii="Times New Roman" w:hAnsi="Times New Roman" w:cs="Times New Roman"/>
          <w:color w:val="000000"/>
          <w:sz w:val="20"/>
          <w:szCs w:val="20"/>
        </w:rPr>
        <w:t xml:space="preserve">     PIOGLITAZONE 7.5 MG BD.</w:t>
      </w:r>
    </w:p>
    <w:p w:rsidR="009C1640" w:rsidRPr="00725DAE" w:rsidRDefault="00F2750F" w:rsidP="00725DAE">
      <w:pPr>
        <w:spacing w:line="360" w:lineRule="auto"/>
        <w:jc w:val="both"/>
        <w:rPr>
          <w:sz w:val="20"/>
          <w:szCs w:val="20"/>
        </w:rPr>
      </w:pPr>
      <w:r w:rsidRPr="00725DAE">
        <w:rPr>
          <w:sz w:val="20"/>
          <w:szCs w:val="20"/>
        </w:rPr>
        <w:t xml:space="preserve">The data was </w:t>
      </w:r>
      <w:proofErr w:type="spellStart"/>
      <w:r w:rsidRPr="00725DAE">
        <w:rPr>
          <w:sz w:val="20"/>
          <w:szCs w:val="20"/>
        </w:rPr>
        <w:t>analysed</w:t>
      </w:r>
      <w:proofErr w:type="spellEnd"/>
      <w:r w:rsidRPr="00725DAE">
        <w:rPr>
          <w:sz w:val="20"/>
          <w:szCs w:val="20"/>
        </w:rPr>
        <w:t xml:space="preserve"> by paired t </w:t>
      </w:r>
      <w:proofErr w:type="gramStart"/>
      <w:r w:rsidRPr="00725DAE">
        <w:rPr>
          <w:sz w:val="20"/>
          <w:szCs w:val="20"/>
        </w:rPr>
        <w:t>test  and</w:t>
      </w:r>
      <w:proofErr w:type="gramEnd"/>
      <w:r w:rsidRPr="00725DAE">
        <w:rPr>
          <w:sz w:val="20"/>
          <w:szCs w:val="20"/>
        </w:rPr>
        <w:t xml:space="preserve">  unpaired student  t test  using SPSS version 20</w:t>
      </w:r>
    </w:p>
    <w:p w:rsidR="00FA6BA9" w:rsidRDefault="00FA6BA9" w:rsidP="00725DAE">
      <w:pPr>
        <w:spacing w:line="360" w:lineRule="auto"/>
        <w:jc w:val="both"/>
        <w:rPr>
          <w:b/>
          <w:sz w:val="20"/>
          <w:szCs w:val="20"/>
        </w:rPr>
      </w:pPr>
    </w:p>
    <w:p w:rsidR="00F2750F" w:rsidRDefault="00F2750F" w:rsidP="00725DAE">
      <w:pPr>
        <w:spacing w:line="360" w:lineRule="auto"/>
        <w:jc w:val="both"/>
        <w:rPr>
          <w:b/>
          <w:sz w:val="20"/>
          <w:szCs w:val="20"/>
        </w:rPr>
      </w:pPr>
      <w:r w:rsidRPr="00725DAE">
        <w:rPr>
          <w:b/>
          <w:sz w:val="20"/>
          <w:szCs w:val="20"/>
        </w:rPr>
        <w:t xml:space="preserve">Table No.1: Age and sex wise distribution of the subjects under study:   </w:t>
      </w:r>
    </w:p>
    <w:p w:rsidR="00FA6BA9" w:rsidRPr="00FA6BA9" w:rsidRDefault="00FA6BA9" w:rsidP="00725DAE">
      <w:pPr>
        <w:spacing w:line="360" w:lineRule="auto"/>
        <w:jc w:val="both"/>
        <w:rPr>
          <w:sz w:val="20"/>
          <w:szCs w:val="20"/>
        </w:rPr>
      </w:pPr>
    </w:p>
    <w:tbl>
      <w:tblPr>
        <w:tblStyle w:val="TableGrid"/>
        <w:tblW w:w="0" w:type="auto"/>
        <w:tblLook w:val="04A0" w:firstRow="1" w:lastRow="0" w:firstColumn="1" w:lastColumn="0" w:noHBand="0" w:noVBand="1"/>
      </w:tblPr>
      <w:tblGrid>
        <w:gridCol w:w="2916"/>
        <w:gridCol w:w="1300"/>
        <w:gridCol w:w="1660"/>
        <w:gridCol w:w="1275"/>
        <w:gridCol w:w="1705"/>
      </w:tblGrid>
      <w:tr w:rsidR="00F2750F" w:rsidRPr="00725DAE" w:rsidTr="009C1640">
        <w:tc>
          <w:tcPr>
            <w:tcW w:w="2916" w:type="dxa"/>
          </w:tcPr>
          <w:p w:rsidR="00F2750F" w:rsidRPr="00725DAE" w:rsidRDefault="00F2750F" w:rsidP="00725DAE">
            <w:pPr>
              <w:spacing w:line="360" w:lineRule="auto"/>
              <w:jc w:val="both"/>
              <w:outlineLvl w:val="1"/>
              <w:rPr>
                <w:sz w:val="20"/>
                <w:szCs w:val="20"/>
              </w:rPr>
            </w:pPr>
            <w:r w:rsidRPr="00725DAE">
              <w:rPr>
                <w:sz w:val="20"/>
                <w:szCs w:val="20"/>
              </w:rPr>
              <w:t>Age in years</w:t>
            </w:r>
          </w:p>
        </w:tc>
        <w:tc>
          <w:tcPr>
            <w:tcW w:w="2960" w:type="dxa"/>
            <w:gridSpan w:val="2"/>
          </w:tcPr>
          <w:p w:rsidR="00F2750F" w:rsidRPr="00725DAE" w:rsidRDefault="00F2750F" w:rsidP="00725DAE">
            <w:pPr>
              <w:spacing w:line="360" w:lineRule="auto"/>
              <w:jc w:val="both"/>
              <w:outlineLvl w:val="1"/>
              <w:rPr>
                <w:sz w:val="20"/>
                <w:szCs w:val="20"/>
              </w:rPr>
            </w:pPr>
            <w:r w:rsidRPr="00725DAE">
              <w:rPr>
                <w:sz w:val="20"/>
                <w:szCs w:val="20"/>
              </w:rPr>
              <w:t xml:space="preserve"> Group I         [MET] </w:t>
            </w:r>
          </w:p>
        </w:tc>
        <w:tc>
          <w:tcPr>
            <w:tcW w:w="2980" w:type="dxa"/>
            <w:gridSpan w:val="2"/>
          </w:tcPr>
          <w:p w:rsidR="00F2750F" w:rsidRPr="00725DAE" w:rsidRDefault="00F2750F" w:rsidP="00725DAE">
            <w:pPr>
              <w:spacing w:line="360" w:lineRule="auto"/>
              <w:jc w:val="both"/>
              <w:outlineLvl w:val="1"/>
              <w:rPr>
                <w:sz w:val="20"/>
                <w:szCs w:val="20"/>
              </w:rPr>
            </w:pPr>
            <w:r w:rsidRPr="00725DAE">
              <w:rPr>
                <w:sz w:val="20"/>
                <w:szCs w:val="20"/>
              </w:rPr>
              <w:t xml:space="preserve">     Group II   [pioglitazone]</w:t>
            </w:r>
          </w:p>
        </w:tc>
      </w:tr>
      <w:tr w:rsidR="00F2750F" w:rsidRPr="00725DAE" w:rsidTr="009C1640">
        <w:tc>
          <w:tcPr>
            <w:tcW w:w="2916" w:type="dxa"/>
          </w:tcPr>
          <w:p w:rsidR="00F2750F" w:rsidRPr="00725DAE" w:rsidRDefault="00F2750F" w:rsidP="00725DAE">
            <w:pPr>
              <w:spacing w:line="360" w:lineRule="auto"/>
              <w:jc w:val="both"/>
              <w:rPr>
                <w:sz w:val="20"/>
                <w:szCs w:val="20"/>
              </w:rPr>
            </w:pPr>
            <w:r w:rsidRPr="00725DAE">
              <w:rPr>
                <w:b/>
                <w:sz w:val="20"/>
                <w:szCs w:val="20"/>
              </w:rPr>
              <w:t xml:space="preserve">Gender </w:t>
            </w:r>
          </w:p>
        </w:tc>
        <w:tc>
          <w:tcPr>
            <w:tcW w:w="1300" w:type="dxa"/>
            <w:tcBorders>
              <w:right w:val="single" w:sz="4" w:space="0" w:color="auto"/>
            </w:tcBorders>
          </w:tcPr>
          <w:p w:rsidR="00F2750F" w:rsidRPr="00725DAE" w:rsidRDefault="00F2750F" w:rsidP="00725DAE">
            <w:pPr>
              <w:spacing w:line="360" w:lineRule="auto"/>
              <w:jc w:val="both"/>
              <w:rPr>
                <w:b/>
                <w:sz w:val="20"/>
                <w:szCs w:val="20"/>
              </w:rPr>
            </w:pPr>
            <w:r w:rsidRPr="00725DAE">
              <w:rPr>
                <w:b/>
                <w:sz w:val="20"/>
                <w:szCs w:val="20"/>
              </w:rPr>
              <w:t>M</w:t>
            </w:r>
          </w:p>
        </w:tc>
        <w:tc>
          <w:tcPr>
            <w:tcW w:w="1660" w:type="dxa"/>
            <w:tcBorders>
              <w:left w:val="single" w:sz="4" w:space="0" w:color="auto"/>
            </w:tcBorders>
          </w:tcPr>
          <w:p w:rsidR="00F2750F" w:rsidRPr="00725DAE" w:rsidRDefault="00F2750F" w:rsidP="00725DAE">
            <w:pPr>
              <w:spacing w:line="360" w:lineRule="auto"/>
              <w:ind w:left="584"/>
              <w:jc w:val="both"/>
              <w:rPr>
                <w:b/>
                <w:sz w:val="20"/>
                <w:szCs w:val="20"/>
              </w:rPr>
            </w:pPr>
            <w:r w:rsidRPr="00725DAE">
              <w:rPr>
                <w:b/>
                <w:sz w:val="20"/>
                <w:szCs w:val="20"/>
              </w:rPr>
              <w:t>F</w:t>
            </w:r>
          </w:p>
        </w:tc>
        <w:tc>
          <w:tcPr>
            <w:tcW w:w="1275" w:type="dxa"/>
            <w:tcBorders>
              <w:right w:val="single" w:sz="4" w:space="0" w:color="auto"/>
            </w:tcBorders>
          </w:tcPr>
          <w:p w:rsidR="00F2750F" w:rsidRPr="00725DAE" w:rsidRDefault="00F2750F" w:rsidP="00725DAE">
            <w:pPr>
              <w:spacing w:line="360" w:lineRule="auto"/>
              <w:jc w:val="both"/>
              <w:rPr>
                <w:sz w:val="20"/>
                <w:szCs w:val="20"/>
              </w:rPr>
            </w:pPr>
            <w:r w:rsidRPr="00725DAE">
              <w:rPr>
                <w:b/>
                <w:sz w:val="20"/>
                <w:szCs w:val="20"/>
              </w:rPr>
              <w:t xml:space="preserve">   M</w:t>
            </w:r>
          </w:p>
        </w:tc>
        <w:tc>
          <w:tcPr>
            <w:tcW w:w="1705" w:type="dxa"/>
            <w:tcBorders>
              <w:left w:val="single" w:sz="4" w:space="0" w:color="auto"/>
            </w:tcBorders>
          </w:tcPr>
          <w:p w:rsidR="00F2750F" w:rsidRPr="00725DAE" w:rsidRDefault="00F2750F" w:rsidP="00725DAE">
            <w:pPr>
              <w:spacing w:line="360" w:lineRule="auto"/>
              <w:ind w:left="737"/>
              <w:jc w:val="both"/>
              <w:rPr>
                <w:sz w:val="20"/>
                <w:szCs w:val="20"/>
              </w:rPr>
            </w:pPr>
            <w:r w:rsidRPr="00725DAE">
              <w:rPr>
                <w:b/>
                <w:sz w:val="20"/>
                <w:szCs w:val="20"/>
              </w:rPr>
              <w:t>F</w:t>
            </w:r>
          </w:p>
        </w:tc>
      </w:tr>
      <w:tr w:rsidR="00F2750F" w:rsidRPr="00725DAE" w:rsidTr="009C1640">
        <w:tc>
          <w:tcPr>
            <w:tcW w:w="2916" w:type="dxa"/>
          </w:tcPr>
          <w:p w:rsidR="00F2750F" w:rsidRPr="00725DAE" w:rsidRDefault="00F2750F" w:rsidP="00725DAE">
            <w:pPr>
              <w:spacing w:line="360" w:lineRule="auto"/>
              <w:jc w:val="both"/>
              <w:rPr>
                <w:sz w:val="20"/>
                <w:szCs w:val="20"/>
              </w:rPr>
            </w:pPr>
            <w:r w:rsidRPr="00725DAE">
              <w:rPr>
                <w:sz w:val="20"/>
                <w:szCs w:val="20"/>
              </w:rPr>
              <w:t>18-40</w:t>
            </w:r>
          </w:p>
        </w:tc>
        <w:tc>
          <w:tcPr>
            <w:tcW w:w="1300" w:type="dxa"/>
            <w:tcBorders>
              <w:right w:val="single" w:sz="4" w:space="0" w:color="auto"/>
            </w:tcBorders>
          </w:tcPr>
          <w:p w:rsidR="00F2750F" w:rsidRPr="00725DAE" w:rsidRDefault="00F2750F" w:rsidP="00725DAE">
            <w:pPr>
              <w:spacing w:line="360" w:lineRule="auto"/>
              <w:jc w:val="both"/>
              <w:rPr>
                <w:b/>
                <w:sz w:val="20"/>
                <w:szCs w:val="20"/>
              </w:rPr>
            </w:pPr>
            <w:r w:rsidRPr="00725DAE">
              <w:rPr>
                <w:b/>
                <w:sz w:val="20"/>
                <w:szCs w:val="20"/>
              </w:rPr>
              <w:t>12</w:t>
            </w:r>
          </w:p>
        </w:tc>
        <w:tc>
          <w:tcPr>
            <w:tcW w:w="1660" w:type="dxa"/>
            <w:tcBorders>
              <w:left w:val="single" w:sz="4" w:space="0" w:color="auto"/>
            </w:tcBorders>
          </w:tcPr>
          <w:p w:rsidR="00F2750F" w:rsidRPr="00725DAE" w:rsidRDefault="00F2750F" w:rsidP="00725DAE">
            <w:pPr>
              <w:spacing w:line="360" w:lineRule="auto"/>
              <w:jc w:val="both"/>
              <w:rPr>
                <w:b/>
                <w:sz w:val="20"/>
                <w:szCs w:val="20"/>
              </w:rPr>
            </w:pPr>
            <w:r w:rsidRPr="00725DAE">
              <w:rPr>
                <w:b/>
                <w:sz w:val="20"/>
                <w:szCs w:val="20"/>
              </w:rPr>
              <w:t xml:space="preserve">        18</w:t>
            </w:r>
          </w:p>
        </w:tc>
        <w:tc>
          <w:tcPr>
            <w:tcW w:w="1275" w:type="dxa"/>
            <w:tcBorders>
              <w:right w:val="single" w:sz="4" w:space="0" w:color="auto"/>
            </w:tcBorders>
          </w:tcPr>
          <w:p w:rsidR="00F2750F" w:rsidRPr="00725DAE" w:rsidRDefault="00F2750F" w:rsidP="00725DAE">
            <w:pPr>
              <w:spacing w:line="360" w:lineRule="auto"/>
              <w:jc w:val="both"/>
              <w:rPr>
                <w:b/>
                <w:sz w:val="20"/>
                <w:szCs w:val="20"/>
              </w:rPr>
            </w:pPr>
            <w:r w:rsidRPr="00725DAE">
              <w:rPr>
                <w:b/>
                <w:sz w:val="20"/>
                <w:szCs w:val="20"/>
              </w:rPr>
              <w:t xml:space="preserve">    9</w:t>
            </w:r>
          </w:p>
        </w:tc>
        <w:tc>
          <w:tcPr>
            <w:tcW w:w="1705" w:type="dxa"/>
            <w:tcBorders>
              <w:left w:val="single" w:sz="4" w:space="0" w:color="auto"/>
            </w:tcBorders>
          </w:tcPr>
          <w:p w:rsidR="00F2750F" w:rsidRPr="00725DAE" w:rsidRDefault="00F2750F" w:rsidP="00725DAE">
            <w:pPr>
              <w:spacing w:line="360" w:lineRule="auto"/>
              <w:jc w:val="both"/>
              <w:rPr>
                <w:b/>
                <w:sz w:val="20"/>
                <w:szCs w:val="20"/>
              </w:rPr>
            </w:pPr>
            <w:r w:rsidRPr="00725DAE">
              <w:rPr>
                <w:b/>
                <w:sz w:val="20"/>
                <w:szCs w:val="20"/>
              </w:rPr>
              <w:t xml:space="preserve">          21</w:t>
            </w:r>
          </w:p>
        </w:tc>
      </w:tr>
      <w:tr w:rsidR="00F2750F" w:rsidRPr="00725DAE" w:rsidTr="009C1640">
        <w:tc>
          <w:tcPr>
            <w:tcW w:w="2916" w:type="dxa"/>
          </w:tcPr>
          <w:p w:rsidR="00F2750F" w:rsidRPr="00725DAE" w:rsidRDefault="00F2750F" w:rsidP="00725DAE">
            <w:pPr>
              <w:spacing w:line="360" w:lineRule="auto"/>
              <w:jc w:val="both"/>
              <w:rPr>
                <w:b/>
                <w:sz w:val="20"/>
                <w:szCs w:val="20"/>
              </w:rPr>
            </w:pPr>
            <w:r w:rsidRPr="00725DAE">
              <w:rPr>
                <w:b/>
                <w:sz w:val="20"/>
                <w:szCs w:val="20"/>
              </w:rPr>
              <w:t>TOTAL</w:t>
            </w:r>
          </w:p>
        </w:tc>
        <w:tc>
          <w:tcPr>
            <w:tcW w:w="5940" w:type="dxa"/>
            <w:gridSpan w:val="4"/>
          </w:tcPr>
          <w:p w:rsidR="00F2750F" w:rsidRPr="00725DAE" w:rsidRDefault="00F2750F" w:rsidP="00725DAE">
            <w:pPr>
              <w:spacing w:line="360" w:lineRule="auto"/>
              <w:jc w:val="both"/>
              <w:rPr>
                <w:b/>
                <w:sz w:val="20"/>
                <w:szCs w:val="20"/>
              </w:rPr>
            </w:pPr>
            <w:r w:rsidRPr="00725DAE">
              <w:rPr>
                <w:b/>
                <w:sz w:val="20"/>
                <w:szCs w:val="20"/>
              </w:rPr>
              <w:t xml:space="preserve">                              30                                            30</w:t>
            </w:r>
          </w:p>
        </w:tc>
      </w:tr>
      <w:tr w:rsidR="00F2750F" w:rsidRPr="00725DAE" w:rsidTr="009C1640">
        <w:tc>
          <w:tcPr>
            <w:tcW w:w="2916" w:type="dxa"/>
          </w:tcPr>
          <w:p w:rsidR="00F2750F" w:rsidRPr="00725DAE" w:rsidRDefault="00F2750F" w:rsidP="00725DAE">
            <w:pPr>
              <w:spacing w:line="360" w:lineRule="auto"/>
              <w:jc w:val="both"/>
              <w:rPr>
                <w:b/>
                <w:sz w:val="20"/>
                <w:szCs w:val="20"/>
              </w:rPr>
            </w:pPr>
            <w:r w:rsidRPr="00725DAE">
              <w:rPr>
                <w:b/>
                <w:sz w:val="20"/>
                <w:szCs w:val="20"/>
              </w:rPr>
              <w:t>p-value</w:t>
            </w:r>
          </w:p>
        </w:tc>
        <w:tc>
          <w:tcPr>
            <w:tcW w:w="5940" w:type="dxa"/>
            <w:gridSpan w:val="4"/>
          </w:tcPr>
          <w:p w:rsidR="00F2750F" w:rsidRPr="00725DAE" w:rsidRDefault="00F2750F" w:rsidP="00725DAE">
            <w:pPr>
              <w:spacing w:line="360" w:lineRule="auto"/>
              <w:jc w:val="both"/>
              <w:rPr>
                <w:b/>
                <w:sz w:val="20"/>
                <w:szCs w:val="20"/>
              </w:rPr>
            </w:pPr>
            <w:r w:rsidRPr="00725DAE">
              <w:rPr>
                <w:b/>
                <w:sz w:val="20"/>
                <w:szCs w:val="20"/>
              </w:rPr>
              <w:t>P = 0.0466</w:t>
            </w:r>
          </w:p>
        </w:tc>
      </w:tr>
    </w:tbl>
    <w:p w:rsidR="00FA6BA9" w:rsidRDefault="00FA6BA9" w:rsidP="00725DAE">
      <w:pPr>
        <w:spacing w:line="360" w:lineRule="auto"/>
        <w:jc w:val="both"/>
        <w:rPr>
          <w:b/>
          <w:sz w:val="20"/>
          <w:szCs w:val="20"/>
        </w:rPr>
      </w:pPr>
    </w:p>
    <w:p w:rsidR="00F2750F" w:rsidRPr="00725DAE" w:rsidRDefault="00F2750F" w:rsidP="00725DAE">
      <w:pPr>
        <w:spacing w:line="360" w:lineRule="auto"/>
        <w:jc w:val="both"/>
        <w:rPr>
          <w:sz w:val="20"/>
          <w:szCs w:val="20"/>
        </w:rPr>
      </w:pPr>
      <w:r w:rsidRPr="00725DAE">
        <w:rPr>
          <w:b/>
          <w:sz w:val="20"/>
          <w:szCs w:val="20"/>
        </w:rPr>
        <w:t>Table no. 1</w:t>
      </w:r>
      <w:r w:rsidRPr="00725DAE">
        <w:rPr>
          <w:sz w:val="20"/>
          <w:szCs w:val="20"/>
        </w:rPr>
        <w:t xml:space="preserve"> shows the age and sex wise distribution of the subjects </w:t>
      </w:r>
      <w:proofErr w:type="gramStart"/>
      <w:r w:rsidRPr="00725DAE">
        <w:rPr>
          <w:sz w:val="20"/>
          <w:szCs w:val="20"/>
        </w:rPr>
        <w:t>in  2</w:t>
      </w:r>
      <w:proofErr w:type="gramEnd"/>
      <w:r w:rsidRPr="00725DAE">
        <w:rPr>
          <w:sz w:val="20"/>
          <w:szCs w:val="20"/>
        </w:rPr>
        <w:t xml:space="preserve"> groups under study. </w:t>
      </w:r>
      <w:proofErr w:type="gramStart"/>
      <w:r w:rsidRPr="00725DAE">
        <w:rPr>
          <w:sz w:val="20"/>
          <w:szCs w:val="20"/>
        </w:rPr>
        <w:t>Two  groups</w:t>
      </w:r>
      <w:proofErr w:type="gramEnd"/>
      <w:r w:rsidRPr="00725DAE">
        <w:rPr>
          <w:sz w:val="20"/>
          <w:szCs w:val="20"/>
        </w:rPr>
        <w:t xml:space="preserve"> consisted of 30 subjects each. Group i consisted of 40%male and 60% female patients. Male patients in group ii were 30% and female were 70%. </w:t>
      </w:r>
    </w:p>
    <w:p w:rsidR="00F2750F" w:rsidRPr="00725DAE" w:rsidRDefault="00725DAE" w:rsidP="00725DAE">
      <w:pPr>
        <w:spacing w:line="360" w:lineRule="auto"/>
        <w:rPr>
          <w:b/>
          <w:sz w:val="20"/>
          <w:szCs w:val="20"/>
        </w:rPr>
      </w:pPr>
      <w:r>
        <w:rPr>
          <w:b/>
          <w:sz w:val="20"/>
          <w:szCs w:val="20"/>
        </w:rPr>
        <w:t xml:space="preserve">TABLE 2: </w:t>
      </w:r>
      <w:r w:rsidR="00F2750F" w:rsidRPr="00725DAE">
        <w:rPr>
          <w:b/>
          <w:sz w:val="20"/>
          <w:szCs w:val="20"/>
        </w:rPr>
        <w:t>Comparison of HOMA-IR i</w:t>
      </w:r>
      <w:r>
        <w:rPr>
          <w:b/>
          <w:sz w:val="20"/>
          <w:szCs w:val="20"/>
        </w:rPr>
        <w:t xml:space="preserve">n patients of Group I </w:t>
      </w:r>
      <w:proofErr w:type="gramStart"/>
      <w:r>
        <w:rPr>
          <w:b/>
          <w:sz w:val="20"/>
          <w:szCs w:val="20"/>
        </w:rPr>
        <w:t xml:space="preserve">using  </w:t>
      </w:r>
      <w:r w:rsidR="00F2750F" w:rsidRPr="00725DAE">
        <w:rPr>
          <w:b/>
          <w:sz w:val="20"/>
          <w:szCs w:val="20"/>
        </w:rPr>
        <w:t>paired</w:t>
      </w:r>
      <w:proofErr w:type="gramEnd"/>
      <w:r w:rsidR="00F2750F" w:rsidRPr="00725DAE">
        <w:rPr>
          <w:b/>
          <w:sz w:val="20"/>
          <w:szCs w:val="20"/>
        </w:rPr>
        <w:t xml:space="preserve"> t test and unpaired t test  :-</w:t>
      </w:r>
    </w:p>
    <w:tbl>
      <w:tblPr>
        <w:tblStyle w:val="TableGrid"/>
        <w:tblpPr w:leftFromText="180" w:rightFromText="180" w:vertAnchor="text" w:horzAnchor="margin" w:tblpY="515"/>
        <w:tblW w:w="9527" w:type="dxa"/>
        <w:tblLayout w:type="fixed"/>
        <w:tblLook w:val="04A0" w:firstRow="1" w:lastRow="0" w:firstColumn="1" w:lastColumn="0" w:noHBand="0" w:noVBand="1"/>
      </w:tblPr>
      <w:tblGrid>
        <w:gridCol w:w="1092"/>
        <w:gridCol w:w="1546"/>
        <w:gridCol w:w="2183"/>
        <w:gridCol w:w="1524"/>
        <w:gridCol w:w="1495"/>
        <w:gridCol w:w="1687"/>
      </w:tblGrid>
      <w:tr w:rsidR="00F2750F" w:rsidRPr="00725DAE" w:rsidTr="000B0696">
        <w:trPr>
          <w:trHeight w:val="417"/>
        </w:trPr>
        <w:tc>
          <w:tcPr>
            <w:tcW w:w="2638" w:type="dxa"/>
            <w:gridSpan w:val="2"/>
          </w:tcPr>
          <w:p w:rsidR="00F2750F" w:rsidRPr="00725DAE" w:rsidRDefault="00F2750F" w:rsidP="00725DAE">
            <w:pPr>
              <w:spacing w:line="360" w:lineRule="auto"/>
              <w:jc w:val="both"/>
              <w:rPr>
                <w:sz w:val="20"/>
                <w:szCs w:val="20"/>
              </w:rPr>
            </w:pPr>
            <w:r w:rsidRPr="00725DAE">
              <w:rPr>
                <w:sz w:val="20"/>
                <w:szCs w:val="20"/>
              </w:rPr>
              <w:t xml:space="preserve">Group I  metformin </w:t>
            </w:r>
          </w:p>
        </w:tc>
        <w:tc>
          <w:tcPr>
            <w:tcW w:w="2183" w:type="dxa"/>
          </w:tcPr>
          <w:p w:rsidR="00F2750F" w:rsidRPr="00725DAE" w:rsidRDefault="00F2750F" w:rsidP="00725DAE">
            <w:pPr>
              <w:spacing w:line="360" w:lineRule="auto"/>
              <w:jc w:val="both"/>
              <w:rPr>
                <w:sz w:val="20"/>
                <w:szCs w:val="20"/>
              </w:rPr>
            </w:pPr>
            <w:r w:rsidRPr="00725DAE">
              <w:rPr>
                <w:sz w:val="20"/>
                <w:szCs w:val="20"/>
              </w:rPr>
              <w:t xml:space="preserve">      Mean  ±   SD</w:t>
            </w:r>
          </w:p>
        </w:tc>
        <w:tc>
          <w:tcPr>
            <w:tcW w:w="1524" w:type="dxa"/>
          </w:tcPr>
          <w:p w:rsidR="00F2750F" w:rsidRPr="00725DAE" w:rsidRDefault="00F2750F" w:rsidP="00725DAE">
            <w:pPr>
              <w:spacing w:line="360" w:lineRule="auto"/>
              <w:jc w:val="both"/>
              <w:rPr>
                <w:sz w:val="20"/>
                <w:szCs w:val="20"/>
              </w:rPr>
            </w:pPr>
            <w:r w:rsidRPr="00725DAE">
              <w:rPr>
                <w:sz w:val="20"/>
                <w:szCs w:val="20"/>
              </w:rPr>
              <w:t>Change from baseline Mean</w:t>
            </w:r>
          </w:p>
        </w:tc>
        <w:tc>
          <w:tcPr>
            <w:tcW w:w="1495" w:type="dxa"/>
          </w:tcPr>
          <w:p w:rsidR="00F2750F" w:rsidRPr="00725DAE" w:rsidRDefault="00F2750F" w:rsidP="00725DAE">
            <w:pPr>
              <w:spacing w:line="360" w:lineRule="auto"/>
              <w:jc w:val="both"/>
              <w:rPr>
                <w:sz w:val="20"/>
                <w:szCs w:val="20"/>
              </w:rPr>
            </w:pPr>
            <w:r w:rsidRPr="00725DAE">
              <w:rPr>
                <w:sz w:val="20"/>
                <w:szCs w:val="20"/>
              </w:rPr>
              <w:t xml:space="preserve">    p-value</w:t>
            </w:r>
          </w:p>
        </w:tc>
        <w:tc>
          <w:tcPr>
            <w:tcW w:w="1687" w:type="dxa"/>
          </w:tcPr>
          <w:p w:rsidR="00F2750F" w:rsidRPr="00725DAE" w:rsidRDefault="00F2750F" w:rsidP="00725DAE">
            <w:pPr>
              <w:spacing w:line="360" w:lineRule="auto"/>
              <w:jc w:val="both"/>
              <w:rPr>
                <w:sz w:val="20"/>
                <w:szCs w:val="20"/>
              </w:rPr>
            </w:pPr>
            <w:r w:rsidRPr="00725DAE">
              <w:rPr>
                <w:sz w:val="20"/>
                <w:szCs w:val="20"/>
              </w:rPr>
              <w:t xml:space="preserve"> Pioglitazone </w:t>
            </w:r>
            <w:proofErr w:type="spellStart"/>
            <w:r w:rsidRPr="00725DAE">
              <w:rPr>
                <w:sz w:val="20"/>
                <w:szCs w:val="20"/>
              </w:rPr>
              <w:t>vs</w:t>
            </w:r>
            <w:proofErr w:type="spellEnd"/>
            <w:r w:rsidRPr="00725DAE">
              <w:rPr>
                <w:sz w:val="20"/>
                <w:szCs w:val="20"/>
              </w:rPr>
              <w:t xml:space="preserve"> metformin    p-value</w:t>
            </w:r>
          </w:p>
        </w:tc>
      </w:tr>
      <w:tr w:rsidR="00F2750F" w:rsidRPr="00725DAE" w:rsidTr="000B0696">
        <w:trPr>
          <w:trHeight w:val="667"/>
        </w:trPr>
        <w:tc>
          <w:tcPr>
            <w:tcW w:w="1092" w:type="dxa"/>
            <w:tcBorders>
              <w:right w:val="nil"/>
            </w:tcBorders>
          </w:tcPr>
          <w:p w:rsidR="00F2750F" w:rsidRPr="00725DAE" w:rsidRDefault="00F2750F" w:rsidP="00725DAE">
            <w:pPr>
              <w:spacing w:line="360" w:lineRule="auto"/>
              <w:jc w:val="both"/>
              <w:rPr>
                <w:sz w:val="20"/>
                <w:szCs w:val="20"/>
              </w:rPr>
            </w:pPr>
          </w:p>
        </w:tc>
        <w:tc>
          <w:tcPr>
            <w:tcW w:w="1546" w:type="dxa"/>
            <w:tcBorders>
              <w:left w:val="nil"/>
              <w:bottom w:val="single" w:sz="4" w:space="0" w:color="auto"/>
            </w:tcBorders>
          </w:tcPr>
          <w:p w:rsidR="00F2750F" w:rsidRPr="00725DAE" w:rsidRDefault="00F2750F" w:rsidP="00725DAE">
            <w:pPr>
              <w:spacing w:line="360" w:lineRule="auto"/>
              <w:jc w:val="both"/>
              <w:rPr>
                <w:sz w:val="20"/>
                <w:szCs w:val="20"/>
              </w:rPr>
            </w:pPr>
            <w:r w:rsidRPr="00725DAE">
              <w:rPr>
                <w:sz w:val="20"/>
                <w:szCs w:val="20"/>
              </w:rPr>
              <w:t>Before</w:t>
            </w:r>
          </w:p>
        </w:tc>
        <w:tc>
          <w:tcPr>
            <w:tcW w:w="2183" w:type="dxa"/>
            <w:tcBorders>
              <w:bottom w:val="single" w:sz="4" w:space="0" w:color="auto"/>
            </w:tcBorders>
          </w:tcPr>
          <w:p w:rsidR="00F2750F" w:rsidRPr="00725DAE" w:rsidRDefault="00F2750F" w:rsidP="00725DAE">
            <w:pPr>
              <w:spacing w:line="360" w:lineRule="auto"/>
              <w:jc w:val="both"/>
              <w:rPr>
                <w:sz w:val="20"/>
                <w:szCs w:val="20"/>
              </w:rPr>
            </w:pPr>
            <w:r w:rsidRPr="00725DAE">
              <w:rPr>
                <w:sz w:val="20"/>
                <w:szCs w:val="20"/>
              </w:rPr>
              <w:t xml:space="preserve">       3.82   ±  0.574</w:t>
            </w:r>
          </w:p>
        </w:tc>
        <w:tc>
          <w:tcPr>
            <w:tcW w:w="1524" w:type="dxa"/>
            <w:vMerge w:val="restart"/>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  0.6</w:t>
            </w:r>
          </w:p>
        </w:tc>
        <w:tc>
          <w:tcPr>
            <w:tcW w:w="1495" w:type="dxa"/>
            <w:vMerge w:val="restart"/>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0.0001</w:t>
            </w:r>
          </w:p>
          <w:p w:rsidR="00F2750F" w:rsidRPr="00725DAE" w:rsidRDefault="00F2750F" w:rsidP="00725DAE">
            <w:pPr>
              <w:spacing w:line="360" w:lineRule="auto"/>
              <w:jc w:val="both"/>
              <w:rPr>
                <w:sz w:val="20"/>
                <w:szCs w:val="20"/>
              </w:rPr>
            </w:pPr>
            <w:r w:rsidRPr="00725DAE">
              <w:rPr>
                <w:sz w:val="20"/>
                <w:szCs w:val="20"/>
              </w:rPr>
              <w:t xml:space="preserve">     </w:t>
            </w:r>
          </w:p>
        </w:tc>
        <w:tc>
          <w:tcPr>
            <w:tcW w:w="1687" w:type="dxa"/>
            <w:vMerge w:val="restart"/>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p>
          <w:p w:rsidR="00F2750F" w:rsidRPr="00725DAE" w:rsidRDefault="00F2750F" w:rsidP="00725DAE">
            <w:pPr>
              <w:spacing w:line="360" w:lineRule="auto"/>
              <w:jc w:val="both"/>
              <w:rPr>
                <w:sz w:val="20"/>
                <w:szCs w:val="20"/>
              </w:rPr>
            </w:pPr>
            <w:r w:rsidRPr="00725DAE">
              <w:rPr>
                <w:sz w:val="20"/>
                <w:szCs w:val="20"/>
              </w:rPr>
              <w:t xml:space="preserve">    0.001</w:t>
            </w:r>
          </w:p>
        </w:tc>
      </w:tr>
      <w:tr w:rsidR="00F2750F" w:rsidRPr="00725DAE" w:rsidTr="000B0696">
        <w:trPr>
          <w:trHeight w:val="801"/>
        </w:trPr>
        <w:tc>
          <w:tcPr>
            <w:tcW w:w="1092" w:type="dxa"/>
            <w:tcBorders>
              <w:right w:val="nil"/>
            </w:tcBorders>
          </w:tcPr>
          <w:p w:rsidR="00F2750F" w:rsidRPr="00725DAE" w:rsidRDefault="00F2750F" w:rsidP="00725DAE">
            <w:pPr>
              <w:spacing w:line="360" w:lineRule="auto"/>
              <w:jc w:val="both"/>
              <w:rPr>
                <w:sz w:val="20"/>
                <w:szCs w:val="20"/>
              </w:rPr>
            </w:pPr>
          </w:p>
        </w:tc>
        <w:tc>
          <w:tcPr>
            <w:tcW w:w="1546" w:type="dxa"/>
            <w:tcBorders>
              <w:top w:val="single" w:sz="4" w:space="0" w:color="auto"/>
              <w:left w:val="nil"/>
            </w:tcBorders>
          </w:tcPr>
          <w:p w:rsidR="00F2750F" w:rsidRPr="00725DAE" w:rsidRDefault="00F2750F" w:rsidP="00725DAE">
            <w:pPr>
              <w:spacing w:line="360" w:lineRule="auto"/>
              <w:jc w:val="both"/>
              <w:rPr>
                <w:sz w:val="20"/>
                <w:szCs w:val="20"/>
              </w:rPr>
            </w:pPr>
            <w:r w:rsidRPr="00725DAE">
              <w:rPr>
                <w:sz w:val="20"/>
                <w:szCs w:val="20"/>
              </w:rPr>
              <w:t xml:space="preserve">After      six </w:t>
            </w:r>
          </w:p>
          <w:p w:rsidR="00F2750F" w:rsidRPr="00725DAE" w:rsidRDefault="00F2750F" w:rsidP="00725DAE">
            <w:pPr>
              <w:spacing w:line="360" w:lineRule="auto"/>
              <w:jc w:val="both"/>
              <w:rPr>
                <w:sz w:val="20"/>
                <w:szCs w:val="20"/>
              </w:rPr>
            </w:pPr>
            <w:r w:rsidRPr="00725DAE">
              <w:rPr>
                <w:sz w:val="20"/>
                <w:szCs w:val="20"/>
              </w:rPr>
              <w:t>Months</w:t>
            </w:r>
          </w:p>
        </w:tc>
        <w:tc>
          <w:tcPr>
            <w:tcW w:w="2183" w:type="dxa"/>
            <w:tcBorders>
              <w:top w:val="single" w:sz="4" w:space="0" w:color="auto"/>
            </w:tcBorders>
          </w:tcPr>
          <w:p w:rsidR="00F2750F" w:rsidRPr="00725DAE" w:rsidRDefault="00F2750F" w:rsidP="00725DAE">
            <w:pPr>
              <w:spacing w:line="360" w:lineRule="auto"/>
              <w:jc w:val="both"/>
              <w:rPr>
                <w:sz w:val="20"/>
                <w:szCs w:val="20"/>
              </w:rPr>
            </w:pPr>
            <w:r w:rsidRPr="00725DAE">
              <w:rPr>
                <w:sz w:val="20"/>
                <w:szCs w:val="20"/>
              </w:rPr>
              <w:t xml:space="preserve">       3.20   ±  0.474</w:t>
            </w:r>
          </w:p>
        </w:tc>
        <w:tc>
          <w:tcPr>
            <w:tcW w:w="1524" w:type="dxa"/>
            <w:vMerge/>
          </w:tcPr>
          <w:p w:rsidR="00F2750F" w:rsidRPr="00725DAE" w:rsidRDefault="00F2750F" w:rsidP="00725DAE">
            <w:pPr>
              <w:spacing w:line="360" w:lineRule="auto"/>
              <w:jc w:val="both"/>
              <w:rPr>
                <w:sz w:val="20"/>
                <w:szCs w:val="20"/>
              </w:rPr>
            </w:pPr>
          </w:p>
        </w:tc>
        <w:tc>
          <w:tcPr>
            <w:tcW w:w="1495" w:type="dxa"/>
            <w:vMerge/>
          </w:tcPr>
          <w:p w:rsidR="00F2750F" w:rsidRPr="00725DAE" w:rsidRDefault="00F2750F" w:rsidP="00725DAE">
            <w:pPr>
              <w:spacing w:line="360" w:lineRule="auto"/>
              <w:jc w:val="both"/>
              <w:rPr>
                <w:sz w:val="20"/>
                <w:szCs w:val="20"/>
              </w:rPr>
            </w:pPr>
          </w:p>
        </w:tc>
        <w:tc>
          <w:tcPr>
            <w:tcW w:w="1687" w:type="dxa"/>
            <w:vMerge/>
          </w:tcPr>
          <w:p w:rsidR="00F2750F" w:rsidRPr="00725DAE" w:rsidRDefault="00F2750F" w:rsidP="00725DAE">
            <w:pPr>
              <w:spacing w:line="360" w:lineRule="auto"/>
              <w:jc w:val="both"/>
              <w:rPr>
                <w:sz w:val="20"/>
                <w:szCs w:val="20"/>
              </w:rPr>
            </w:pPr>
          </w:p>
        </w:tc>
      </w:tr>
    </w:tbl>
    <w:p w:rsidR="00F2750F" w:rsidRPr="00725DAE" w:rsidRDefault="00F2750F" w:rsidP="00725DAE">
      <w:pPr>
        <w:tabs>
          <w:tab w:val="left" w:pos="1994"/>
        </w:tabs>
        <w:spacing w:line="360" w:lineRule="auto"/>
        <w:jc w:val="both"/>
        <w:rPr>
          <w:b/>
          <w:sz w:val="20"/>
          <w:szCs w:val="20"/>
          <w:lang w:val="en-IN"/>
        </w:rPr>
      </w:pPr>
    </w:p>
    <w:p w:rsidR="00F2750F" w:rsidRPr="00725DAE" w:rsidRDefault="00F2750F" w:rsidP="00725DAE">
      <w:pPr>
        <w:tabs>
          <w:tab w:val="left" w:pos="1994"/>
        </w:tabs>
        <w:spacing w:line="360" w:lineRule="auto"/>
        <w:jc w:val="both"/>
        <w:rPr>
          <w:sz w:val="20"/>
          <w:szCs w:val="20"/>
        </w:rPr>
      </w:pPr>
      <w:r w:rsidRPr="00725DAE">
        <w:rPr>
          <w:b/>
          <w:sz w:val="20"/>
          <w:szCs w:val="20"/>
          <w:lang w:val="en-IN"/>
        </w:rPr>
        <w:tab/>
      </w:r>
      <w:r w:rsidRPr="00725DAE">
        <w:rPr>
          <w:sz w:val="20"/>
          <w:szCs w:val="20"/>
        </w:rPr>
        <w:t xml:space="preserve"> </w:t>
      </w:r>
    </w:p>
    <w:p w:rsidR="00F2750F" w:rsidRPr="00725DAE" w:rsidRDefault="00F2750F" w:rsidP="00725DAE">
      <w:pPr>
        <w:tabs>
          <w:tab w:val="left" w:pos="1994"/>
        </w:tabs>
        <w:spacing w:line="360" w:lineRule="auto"/>
        <w:jc w:val="both"/>
        <w:rPr>
          <w:b/>
          <w:sz w:val="20"/>
          <w:szCs w:val="20"/>
        </w:rPr>
      </w:pPr>
      <w:r w:rsidRPr="00725DAE">
        <w:rPr>
          <w:sz w:val="20"/>
          <w:szCs w:val="20"/>
        </w:rPr>
        <w:t xml:space="preserve">    </w:t>
      </w:r>
      <w:r w:rsidRPr="00725DAE">
        <w:rPr>
          <w:b/>
          <w:sz w:val="20"/>
          <w:szCs w:val="20"/>
        </w:rPr>
        <w:t>If p &gt; 0.05 Not Significant, p &lt; 0.05 Significant</w:t>
      </w:r>
    </w:p>
    <w:p w:rsidR="00F2750F" w:rsidRPr="00725DAE" w:rsidRDefault="00F2750F" w:rsidP="00725DAE">
      <w:pPr>
        <w:spacing w:line="360" w:lineRule="auto"/>
        <w:ind w:left="720"/>
        <w:jc w:val="both"/>
        <w:rPr>
          <w:sz w:val="20"/>
          <w:szCs w:val="20"/>
          <w:lang w:val="en-IN"/>
        </w:rPr>
      </w:pPr>
    </w:p>
    <w:p w:rsidR="00C609C0" w:rsidRPr="00725DAE" w:rsidRDefault="00F2750F" w:rsidP="00725DAE">
      <w:pPr>
        <w:spacing w:line="360" w:lineRule="auto"/>
        <w:ind w:left="720"/>
        <w:jc w:val="both"/>
        <w:rPr>
          <w:sz w:val="20"/>
          <w:szCs w:val="20"/>
          <w:lang w:val="en-IN"/>
        </w:rPr>
      </w:pPr>
      <w:r w:rsidRPr="00725DAE">
        <w:rPr>
          <w:sz w:val="20"/>
          <w:szCs w:val="20"/>
          <w:lang w:val="en-IN"/>
        </w:rPr>
        <w:t>There was a statistically HIGHLY significant decrease in HOMA –</w:t>
      </w:r>
      <w:proofErr w:type="gramStart"/>
      <w:r w:rsidRPr="00725DAE">
        <w:rPr>
          <w:sz w:val="20"/>
          <w:szCs w:val="20"/>
          <w:lang w:val="en-IN"/>
        </w:rPr>
        <w:t>IR  levels</w:t>
      </w:r>
      <w:proofErr w:type="gramEnd"/>
      <w:r w:rsidRPr="00725DAE">
        <w:rPr>
          <w:sz w:val="20"/>
          <w:szCs w:val="20"/>
          <w:lang w:val="en-IN"/>
        </w:rPr>
        <w:t xml:space="preserve"> in Group I (Metformin), after 6 months of treatment  as compared to baseline.</w:t>
      </w:r>
    </w:p>
    <w:p w:rsidR="00FA6BA9" w:rsidRDefault="00FA6BA9" w:rsidP="00725DAE">
      <w:pPr>
        <w:tabs>
          <w:tab w:val="left" w:pos="1994"/>
        </w:tabs>
        <w:spacing w:line="360" w:lineRule="auto"/>
        <w:jc w:val="both"/>
        <w:rPr>
          <w:b/>
          <w:sz w:val="20"/>
          <w:szCs w:val="20"/>
        </w:rPr>
      </w:pPr>
    </w:p>
    <w:p w:rsidR="00FA6BA9" w:rsidRDefault="00FA6BA9" w:rsidP="00725DAE">
      <w:pPr>
        <w:tabs>
          <w:tab w:val="left" w:pos="1994"/>
        </w:tabs>
        <w:spacing w:line="360" w:lineRule="auto"/>
        <w:jc w:val="both"/>
        <w:rPr>
          <w:b/>
          <w:sz w:val="20"/>
          <w:szCs w:val="20"/>
        </w:rPr>
      </w:pPr>
    </w:p>
    <w:p w:rsidR="00FA6BA9" w:rsidRDefault="00FA6BA9" w:rsidP="00725DAE">
      <w:pPr>
        <w:tabs>
          <w:tab w:val="left" w:pos="1994"/>
        </w:tabs>
        <w:spacing w:line="360" w:lineRule="auto"/>
        <w:jc w:val="both"/>
        <w:rPr>
          <w:b/>
          <w:sz w:val="20"/>
          <w:szCs w:val="20"/>
        </w:rPr>
      </w:pPr>
    </w:p>
    <w:p w:rsidR="00FA6BA9" w:rsidRDefault="00FA6BA9" w:rsidP="00725DAE">
      <w:pPr>
        <w:tabs>
          <w:tab w:val="left" w:pos="1994"/>
        </w:tabs>
        <w:spacing w:line="360" w:lineRule="auto"/>
        <w:jc w:val="both"/>
        <w:rPr>
          <w:b/>
          <w:sz w:val="20"/>
          <w:szCs w:val="20"/>
        </w:rPr>
      </w:pPr>
    </w:p>
    <w:p w:rsidR="00FA6BA9" w:rsidRDefault="00FA6BA9" w:rsidP="00725DAE">
      <w:pPr>
        <w:tabs>
          <w:tab w:val="left" w:pos="1994"/>
        </w:tabs>
        <w:spacing w:line="360" w:lineRule="auto"/>
        <w:jc w:val="both"/>
        <w:rPr>
          <w:b/>
          <w:sz w:val="20"/>
          <w:szCs w:val="20"/>
        </w:rPr>
      </w:pPr>
    </w:p>
    <w:p w:rsidR="00FA6BA9" w:rsidRDefault="00FA6BA9" w:rsidP="00725DAE">
      <w:pPr>
        <w:tabs>
          <w:tab w:val="left" w:pos="1994"/>
        </w:tabs>
        <w:spacing w:line="360" w:lineRule="auto"/>
        <w:jc w:val="both"/>
        <w:rPr>
          <w:b/>
          <w:sz w:val="20"/>
          <w:szCs w:val="20"/>
        </w:rPr>
      </w:pPr>
    </w:p>
    <w:p w:rsidR="00F2750F" w:rsidRPr="00725DAE" w:rsidRDefault="00F2750F" w:rsidP="00725DAE">
      <w:pPr>
        <w:tabs>
          <w:tab w:val="left" w:pos="1994"/>
        </w:tabs>
        <w:spacing w:line="360" w:lineRule="auto"/>
        <w:jc w:val="both"/>
        <w:rPr>
          <w:b/>
          <w:sz w:val="20"/>
          <w:szCs w:val="20"/>
        </w:rPr>
      </w:pPr>
      <w:r w:rsidRPr="00725DAE">
        <w:rPr>
          <w:b/>
          <w:sz w:val="20"/>
          <w:szCs w:val="20"/>
        </w:rPr>
        <w:t xml:space="preserve">Table 3:  Comparison of HOMA-IR in patients of </w:t>
      </w:r>
      <w:proofErr w:type="gramStart"/>
      <w:r w:rsidRPr="00725DAE">
        <w:rPr>
          <w:b/>
          <w:sz w:val="20"/>
          <w:szCs w:val="20"/>
        </w:rPr>
        <w:t>Group  II</w:t>
      </w:r>
      <w:proofErr w:type="gramEnd"/>
      <w:r w:rsidRPr="00725DAE">
        <w:rPr>
          <w:b/>
          <w:sz w:val="20"/>
          <w:szCs w:val="20"/>
        </w:rPr>
        <w:t xml:space="preserve">  using  Paired t test and unpaired t test.</w:t>
      </w:r>
    </w:p>
    <w:tbl>
      <w:tblPr>
        <w:tblStyle w:val="TableGrid"/>
        <w:tblpPr w:leftFromText="180" w:rightFromText="180" w:vertAnchor="text" w:horzAnchor="margin" w:tblpY="499"/>
        <w:tblW w:w="9606" w:type="dxa"/>
        <w:tblLayout w:type="fixed"/>
        <w:tblLook w:val="04A0" w:firstRow="1" w:lastRow="0" w:firstColumn="1" w:lastColumn="0" w:noHBand="0" w:noVBand="1"/>
      </w:tblPr>
      <w:tblGrid>
        <w:gridCol w:w="1101"/>
        <w:gridCol w:w="1559"/>
        <w:gridCol w:w="2201"/>
        <w:gridCol w:w="1484"/>
        <w:gridCol w:w="1560"/>
        <w:gridCol w:w="1701"/>
      </w:tblGrid>
      <w:tr w:rsidR="00F2750F" w:rsidRPr="00725DAE" w:rsidTr="000B0696">
        <w:trPr>
          <w:trHeight w:val="296"/>
        </w:trPr>
        <w:tc>
          <w:tcPr>
            <w:tcW w:w="2660" w:type="dxa"/>
            <w:gridSpan w:val="2"/>
          </w:tcPr>
          <w:p w:rsidR="00F2750F" w:rsidRPr="00725DAE" w:rsidRDefault="00F2750F" w:rsidP="00725DAE">
            <w:pPr>
              <w:spacing w:line="360" w:lineRule="auto"/>
              <w:jc w:val="both"/>
              <w:rPr>
                <w:sz w:val="20"/>
                <w:szCs w:val="20"/>
              </w:rPr>
            </w:pPr>
          </w:p>
          <w:p w:rsidR="00F2750F" w:rsidRPr="00725DAE" w:rsidRDefault="00F2750F" w:rsidP="00725DAE">
            <w:pPr>
              <w:spacing w:line="360" w:lineRule="auto"/>
              <w:jc w:val="both"/>
              <w:rPr>
                <w:sz w:val="20"/>
                <w:szCs w:val="20"/>
              </w:rPr>
            </w:pPr>
            <w:r w:rsidRPr="00725DAE">
              <w:rPr>
                <w:sz w:val="20"/>
                <w:szCs w:val="20"/>
              </w:rPr>
              <w:t xml:space="preserve">  Group II pioglitazone </w:t>
            </w:r>
          </w:p>
        </w:tc>
        <w:tc>
          <w:tcPr>
            <w:tcW w:w="2201" w:type="dxa"/>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Mean  ±   SD</w:t>
            </w:r>
          </w:p>
        </w:tc>
        <w:tc>
          <w:tcPr>
            <w:tcW w:w="1484" w:type="dxa"/>
          </w:tcPr>
          <w:p w:rsidR="00F2750F" w:rsidRPr="00725DAE" w:rsidRDefault="00F2750F" w:rsidP="00725DAE">
            <w:pPr>
              <w:spacing w:line="360" w:lineRule="auto"/>
              <w:jc w:val="both"/>
              <w:rPr>
                <w:sz w:val="20"/>
                <w:szCs w:val="20"/>
              </w:rPr>
            </w:pPr>
            <w:r w:rsidRPr="00725DAE">
              <w:rPr>
                <w:sz w:val="20"/>
                <w:szCs w:val="20"/>
              </w:rPr>
              <w:t xml:space="preserve">Change from baseline Mean </w:t>
            </w:r>
          </w:p>
        </w:tc>
        <w:tc>
          <w:tcPr>
            <w:tcW w:w="1560" w:type="dxa"/>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P value </w:t>
            </w:r>
          </w:p>
        </w:tc>
        <w:tc>
          <w:tcPr>
            <w:tcW w:w="1701" w:type="dxa"/>
          </w:tcPr>
          <w:p w:rsidR="00F2750F" w:rsidRPr="00725DAE" w:rsidRDefault="00F2750F" w:rsidP="00725DAE">
            <w:pPr>
              <w:spacing w:line="360" w:lineRule="auto"/>
              <w:jc w:val="both"/>
              <w:rPr>
                <w:sz w:val="20"/>
                <w:szCs w:val="20"/>
              </w:rPr>
            </w:pPr>
            <w:r w:rsidRPr="00725DAE">
              <w:rPr>
                <w:sz w:val="20"/>
                <w:szCs w:val="20"/>
              </w:rPr>
              <w:t xml:space="preserve">    </w:t>
            </w:r>
            <w:proofErr w:type="spellStart"/>
            <w:r w:rsidRPr="00725DAE">
              <w:rPr>
                <w:sz w:val="20"/>
                <w:szCs w:val="20"/>
              </w:rPr>
              <w:t>Piogltizone</w:t>
            </w:r>
            <w:proofErr w:type="spellEnd"/>
            <w:r w:rsidRPr="00725DAE">
              <w:rPr>
                <w:sz w:val="20"/>
                <w:szCs w:val="20"/>
              </w:rPr>
              <w:t xml:space="preserve"> </w:t>
            </w:r>
            <w:proofErr w:type="spellStart"/>
            <w:r w:rsidRPr="00725DAE">
              <w:rPr>
                <w:sz w:val="20"/>
                <w:szCs w:val="20"/>
              </w:rPr>
              <w:t>vs</w:t>
            </w:r>
            <w:proofErr w:type="spellEnd"/>
            <w:r w:rsidRPr="00725DAE">
              <w:rPr>
                <w:sz w:val="20"/>
                <w:szCs w:val="20"/>
              </w:rPr>
              <w:t xml:space="preserve"> metformin p-value</w:t>
            </w:r>
          </w:p>
        </w:tc>
      </w:tr>
      <w:tr w:rsidR="00F2750F" w:rsidRPr="00725DAE" w:rsidTr="000B0696">
        <w:trPr>
          <w:trHeight w:val="473"/>
        </w:trPr>
        <w:tc>
          <w:tcPr>
            <w:tcW w:w="1101" w:type="dxa"/>
            <w:tcBorders>
              <w:right w:val="nil"/>
            </w:tcBorders>
          </w:tcPr>
          <w:p w:rsidR="00F2750F" w:rsidRPr="00725DAE" w:rsidRDefault="00F2750F" w:rsidP="00725DAE">
            <w:pPr>
              <w:spacing w:line="360" w:lineRule="auto"/>
              <w:jc w:val="both"/>
              <w:rPr>
                <w:sz w:val="20"/>
                <w:szCs w:val="20"/>
              </w:rPr>
            </w:pPr>
          </w:p>
        </w:tc>
        <w:tc>
          <w:tcPr>
            <w:tcW w:w="1559" w:type="dxa"/>
            <w:tcBorders>
              <w:left w:val="nil"/>
              <w:bottom w:val="single" w:sz="4" w:space="0" w:color="auto"/>
            </w:tcBorders>
          </w:tcPr>
          <w:p w:rsidR="00F2750F" w:rsidRPr="00725DAE" w:rsidRDefault="00F2750F" w:rsidP="00725DAE">
            <w:pPr>
              <w:spacing w:line="360" w:lineRule="auto"/>
              <w:jc w:val="both"/>
              <w:rPr>
                <w:sz w:val="20"/>
                <w:szCs w:val="20"/>
              </w:rPr>
            </w:pPr>
            <w:r w:rsidRPr="00725DAE">
              <w:rPr>
                <w:sz w:val="20"/>
                <w:szCs w:val="20"/>
              </w:rPr>
              <w:t xml:space="preserve">Baseline </w:t>
            </w:r>
          </w:p>
        </w:tc>
        <w:tc>
          <w:tcPr>
            <w:tcW w:w="2201" w:type="dxa"/>
            <w:tcBorders>
              <w:bottom w:val="single" w:sz="4" w:space="0" w:color="auto"/>
            </w:tcBorders>
          </w:tcPr>
          <w:p w:rsidR="00F2750F" w:rsidRPr="00725DAE" w:rsidRDefault="00F2750F" w:rsidP="00725DAE">
            <w:pPr>
              <w:spacing w:line="360" w:lineRule="auto"/>
              <w:jc w:val="both"/>
              <w:rPr>
                <w:sz w:val="20"/>
                <w:szCs w:val="20"/>
              </w:rPr>
            </w:pPr>
            <w:r w:rsidRPr="00725DAE">
              <w:rPr>
                <w:sz w:val="20"/>
                <w:szCs w:val="20"/>
              </w:rPr>
              <w:t xml:space="preserve">      4.04   ±  0.781</w:t>
            </w:r>
          </w:p>
        </w:tc>
        <w:tc>
          <w:tcPr>
            <w:tcW w:w="1484" w:type="dxa"/>
            <w:vMerge w:val="restart"/>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- 1.01</w:t>
            </w:r>
          </w:p>
        </w:tc>
        <w:tc>
          <w:tcPr>
            <w:tcW w:w="1560" w:type="dxa"/>
            <w:vMerge w:val="restart"/>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0.0001</w:t>
            </w:r>
          </w:p>
        </w:tc>
        <w:tc>
          <w:tcPr>
            <w:tcW w:w="1701" w:type="dxa"/>
            <w:vMerge w:val="restart"/>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0.0001</w:t>
            </w:r>
          </w:p>
        </w:tc>
      </w:tr>
      <w:tr w:rsidR="00F2750F" w:rsidRPr="00725DAE" w:rsidTr="000B0696">
        <w:trPr>
          <w:trHeight w:val="568"/>
        </w:trPr>
        <w:tc>
          <w:tcPr>
            <w:tcW w:w="1101" w:type="dxa"/>
            <w:tcBorders>
              <w:right w:val="nil"/>
            </w:tcBorders>
          </w:tcPr>
          <w:p w:rsidR="00F2750F" w:rsidRPr="00725DAE" w:rsidRDefault="00F2750F" w:rsidP="00725DAE">
            <w:pPr>
              <w:spacing w:line="360" w:lineRule="auto"/>
              <w:jc w:val="both"/>
              <w:rPr>
                <w:sz w:val="20"/>
                <w:szCs w:val="20"/>
              </w:rPr>
            </w:pPr>
          </w:p>
        </w:tc>
        <w:tc>
          <w:tcPr>
            <w:tcW w:w="1559" w:type="dxa"/>
            <w:tcBorders>
              <w:top w:val="single" w:sz="4" w:space="0" w:color="auto"/>
              <w:left w:val="nil"/>
            </w:tcBorders>
          </w:tcPr>
          <w:p w:rsidR="00F2750F" w:rsidRPr="00725DAE" w:rsidRDefault="00F2750F" w:rsidP="00725DAE">
            <w:pPr>
              <w:spacing w:line="360" w:lineRule="auto"/>
              <w:jc w:val="both"/>
              <w:rPr>
                <w:sz w:val="20"/>
                <w:szCs w:val="20"/>
              </w:rPr>
            </w:pPr>
            <w:r w:rsidRPr="00725DAE">
              <w:rPr>
                <w:sz w:val="20"/>
                <w:szCs w:val="20"/>
              </w:rPr>
              <w:t xml:space="preserve">After        six </w:t>
            </w:r>
          </w:p>
          <w:p w:rsidR="00F2750F" w:rsidRPr="00725DAE" w:rsidRDefault="00F2750F" w:rsidP="00725DAE">
            <w:pPr>
              <w:spacing w:line="360" w:lineRule="auto"/>
              <w:jc w:val="both"/>
              <w:rPr>
                <w:sz w:val="20"/>
                <w:szCs w:val="20"/>
              </w:rPr>
            </w:pPr>
            <w:r w:rsidRPr="00725DAE">
              <w:rPr>
                <w:sz w:val="20"/>
                <w:szCs w:val="20"/>
              </w:rPr>
              <w:t>Months</w:t>
            </w:r>
          </w:p>
        </w:tc>
        <w:tc>
          <w:tcPr>
            <w:tcW w:w="2201" w:type="dxa"/>
            <w:tcBorders>
              <w:top w:val="single" w:sz="4" w:space="0" w:color="auto"/>
            </w:tcBorders>
          </w:tcPr>
          <w:p w:rsidR="00F2750F" w:rsidRPr="00725DAE" w:rsidRDefault="00F2750F" w:rsidP="00725DAE">
            <w:pPr>
              <w:spacing w:line="360" w:lineRule="auto"/>
              <w:jc w:val="both"/>
              <w:rPr>
                <w:sz w:val="20"/>
                <w:szCs w:val="20"/>
              </w:rPr>
            </w:pPr>
            <w:r w:rsidRPr="00725DAE">
              <w:rPr>
                <w:sz w:val="20"/>
                <w:szCs w:val="20"/>
              </w:rPr>
              <w:t xml:space="preserve">      3.03   ±  0.487</w:t>
            </w:r>
          </w:p>
        </w:tc>
        <w:tc>
          <w:tcPr>
            <w:tcW w:w="1484" w:type="dxa"/>
            <w:vMerge/>
          </w:tcPr>
          <w:p w:rsidR="00F2750F" w:rsidRPr="00725DAE" w:rsidRDefault="00F2750F" w:rsidP="00725DAE">
            <w:pPr>
              <w:spacing w:line="360" w:lineRule="auto"/>
              <w:jc w:val="both"/>
              <w:rPr>
                <w:sz w:val="20"/>
                <w:szCs w:val="20"/>
              </w:rPr>
            </w:pPr>
          </w:p>
        </w:tc>
        <w:tc>
          <w:tcPr>
            <w:tcW w:w="1560" w:type="dxa"/>
            <w:vMerge/>
          </w:tcPr>
          <w:p w:rsidR="00F2750F" w:rsidRPr="00725DAE" w:rsidRDefault="00F2750F" w:rsidP="00725DAE">
            <w:pPr>
              <w:spacing w:line="360" w:lineRule="auto"/>
              <w:jc w:val="both"/>
              <w:rPr>
                <w:sz w:val="20"/>
                <w:szCs w:val="20"/>
              </w:rPr>
            </w:pPr>
          </w:p>
        </w:tc>
        <w:tc>
          <w:tcPr>
            <w:tcW w:w="1701" w:type="dxa"/>
            <w:vMerge/>
          </w:tcPr>
          <w:p w:rsidR="00F2750F" w:rsidRPr="00725DAE" w:rsidRDefault="00F2750F" w:rsidP="00725DAE">
            <w:pPr>
              <w:spacing w:line="360" w:lineRule="auto"/>
              <w:jc w:val="both"/>
              <w:rPr>
                <w:sz w:val="20"/>
                <w:szCs w:val="20"/>
              </w:rPr>
            </w:pPr>
          </w:p>
        </w:tc>
      </w:tr>
    </w:tbl>
    <w:p w:rsidR="00F2750F" w:rsidRPr="00725DAE" w:rsidRDefault="00F2750F" w:rsidP="00725DAE">
      <w:pPr>
        <w:tabs>
          <w:tab w:val="left" w:pos="1994"/>
        </w:tabs>
        <w:spacing w:line="360" w:lineRule="auto"/>
        <w:jc w:val="both"/>
        <w:rPr>
          <w:b/>
          <w:sz w:val="20"/>
          <w:szCs w:val="20"/>
        </w:rPr>
      </w:pPr>
    </w:p>
    <w:p w:rsidR="00F2750F" w:rsidRPr="00725DAE" w:rsidRDefault="00F2750F" w:rsidP="00725DAE">
      <w:pPr>
        <w:tabs>
          <w:tab w:val="left" w:pos="1994"/>
        </w:tabs>
        <w:spacing w:line="360" w:lineRule="auto"/>
        <w:jc w:val="both"/>
        <w:rPr>
          <w:b/>
          <w:sz w:val="20"/>
          <w:szCs w:val="20"/>
        </w:rPr>
      </w:pPr>
      <w:r w:rsidRPr="00725DAE">
        <w:rPr>
          <w:b/>
          <w:sz w:val="20"/>
          <w:szCs w:val="20"/>
        </w:rPr>
        <w:t xml:space="preserve">                             </w:t>
      </w:r>
    </w:p>
    <w:p w:rsidR="002B425A" w:rsidRPr="00725DAE" w:rsidRDefault="00725DAE" w:rsidP="00725DAE">
      <w:pPr>
        <w:tabs>
          <w:tab w:val="left" w:pos="1994"/>
        </w:tabs>
        <w:spacing w:line="360" w:lineRule="auto"/>
        <w:jc w:val="both"/>
        <w:rPr>
          <w:b/>
          <w:sz w:val="20"/>
          <w:szCs w:val="20"/>
        </w:rPr>
      </w:pPr>
      <w:r>
        <w:rPr>
          <w:b/>
          <w:sz w:val="20"/>
          <w:szCs w:val="20"/>
        </w:rPr>
        <w:t xml:space="preserve"> </w:t>
      </w:r>
      <w:r w:rsidR="00F2750F" w:rsidRPr="00725DAE">
        <w:rPr>
          <w:b/>
          <w:sz w:val="20"/>
          <w:szCs w:val="20"/>
        </w:rPr>
        <w:t xml:space="preserve"> If p &gt; 0.05 Not Significant, p &lt; 0.05 Significant</w:t>
      </w:r>
      <w:r w:rsidR="00C609C0" w:rsidRPr="00725DAE">
        <w:rPr>
          <w:b/>
          <w:sz w:val="20"/>
          <w:szCs w:val="20"/>
        </w:rPr>
        <w:t xml:space="preserve"> </w:t>
      </w:r>
      <w:r w:rsidR="00F2750F" w:rsidRPr="00725DAE">
        <w:rPr>
          <w:sz w:val="20"/>
          <w:szCs w:val="20"/>
          <w:lang w:val="en-IN"/>
        </w:rPr>
        <w:t>There was a statistically HIGHLY significant decrease in HOMA –IR  levels in Group II (</w:t>
      </w:r>
      <w:proofErr w:type="spellStart"/>
      <w:r w:rsidR="00F2750F" w:rsidRPr="00725DAE">
        <w:rPr>
          <w:sz w:val="20"/>
          <w:szCs w:val="20"/>
          <w:lang w:val="en-IN"/>
        </w:rPr>
        <w:t>poiglitazone</w:t>
      </w:r>
      <w:proofErr w:type="spellEnd"/>
      <w:r w:rsidR="00F2750F" w:rsidRPr="00725DAE">
        <w:rPr>
          <w:sz w:val="20"/>
          <w:szCs w:val="20"/>
          <w:lang w:val="en-IN"/>
        </w:rPr>
        <w:t>), after 6 months of treatment compared to bas</w:t>
      </w:r>
      <w:r w:rsidR="002B425A" w:rsidRPr="00725DAE">
        <w:rPr>
          <w:sz w:val="20"/>
          <w:szCs w:val="20"/>
          <w:lang w:val="en-IN"/>
        </w:rPr>
        <w:t>eline</w:t>
      </w:r>
    </w:p>
    <w:p w:rsidR="00F2750F" w:rsidRPr="00725DAE" w:rsidRDefault="00F2750F" w:rsidP="00725DAE">
      <w:pPr>
        <w:spacing w:line="360" w:lineRule="auto"/>
        <w:jc w:val="both"/>
        <w:rPr>
          <w:sz w:val="20"/>
          <w:szCs w:val="20"/>
          <w:lang w:val="en-IN"/>
        </w:rPr>
      </w:pPr>
    </w:p>
    <w:p w:rsidR="00F2750F" w:rsidRPr="00725DAE" w:rsidRDefault="00F2750F" w:rsidP="00725DAE">
      <w:pPr>
        <w:spacing w:line="360" w:lineRule="auto"/>
        <w:jc w:val="both"/>
        <w:rPr>
          <w:b/>
          <w:sz w:val="20"/>
          <w:szCs w:val="20"/>
        </w:rPr>
      </w:pPr>
      <w:r w:rsidRPr="00725DAE">
        <w:rPr>
          <w:b/>
          <w:sz w:val="20"/>
          <w:szCs w:val="20"/>
        </w:rPr>
        <w:t xml:space="preserve">Table 4:  Comparison of HbA1c in patients of Group I </w:t>
      </w:r>
      <w:proofErr w:type="gramStart"/>
      <w:r w:rsidRPr="00725DAE">
        <w:rPr>
          <w:b/>
          <w:sz w:val="20"/>
          <w:szCs w:val="20"/>
        </w:rPr>
        <w:t>using  paired</w:t>
      </w:r>
      <w:proofErr w:type="gramEnd"/>
      <w:r w:rsidRPr="00725DAE">
        <w:rPr>
          <w:b/>
          <w:sz w:val="20"/>
          <w:szCs w:val="20"/>
        </w:rPr>
        <w:t xml:space="preserve"> T test and unpaired I test :- </w:t>
      </w:r>
    </w:p>
    <w:tbl>
      <w:tblPr>
        <w:tblStyle w:val="TableGrid"/>
        <w:tblpPr w:leftFromText="180" w:rightFromText="180" w:vertAnchor="text" w:horzAnchor="margin" w:tblpY="498"/>
        <w:tblW w:w="9842" w:type="dxa"/>
        <w:tblLayout w:type="fixed"/>
        <w:tblLook w:val="04A0" w:firstRow="1" w:lastRow="0" w:firstColumn="1" w:lastColumn="0" w:noHBand="0" w:noVBand="1"/>
      </w:tblPr>
      <w:tblGrid>
        <w:gridCol w:w="1101"/>
        <w:gridCol w:w="1559"/>
        <w:gridCol w:w="2201"/>
        <w:gridCol w:w="1579"/>
        <w:gridCol w:w="1701"/>
        <w:gridCol w:w="1701"/>
      </w:tblGrid>
      <w:tr w:rsidR="00F2750F" w:rsidRPr="00725DAE" w:rsidTr="000B0696">
        <w:trPr>
          <w:trHeight w:val="296"/>
        </w:trPr>
        <w:tc>
          <w:tcPr>
            <w:tcW w:w="2660" w:type="dxa"/>
            <w:gridSpan w:val="2"/>
          </w:tcPr>
          <w:p w:rsidR="00F2750F" w:rsidRPr="00725DAE" w:rsidRDefault="00F2750F" w:rsidP="00725DAE">
            <w:pPr>
              <w:spacing w:line="360" w:lineRule="auto"/>
              <w:jc w:val="both"/>
              <w:rPr>
                <w:sz w:val="20"/>
                <w:szCs w:val="20"/>
              </w:rPr>
            </w:pPr>
          </w:p>
          <w:p w:rsidR="00F2750F" w:rsidRPr="00725DAE" w:rsidRDefault="00F2750F" w:rsidP="00725DAE">
            <w:pPr>
              <w:spacing w:line="360" w:lineRule="auto"/>
              <w:jc w:val="both"/>
              <w:rPr>
                <w:sz w:val="20"/>
                <w:szCs w:val="20"/>
              </w:rPr>
            </w:pPr>
            <w:r w:rsidRPr="00725DAE">
              <w:rPr>
                <w:sz w:val="20"/>
                <w:szCs w:val="20"/>
              </w:rPr>
              <w:t xml:space="preserve">    Group I metformin </w:t>
            </w:r>
          </w:p>
        </w:tc>
        <w:tc>
          <w:tcPr>
            <w:tcW w:w="2201" w:type="dxa"/>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Mean  ±   SD</w:t>
            </w:r>
          </w:p>
        </w:tc>
        <w:tc>
          <w:tcPr>
            <w:tcW w:w="1579" w:type="dxa"/>
          </w:tcPr>
          <w:p w:rsidR="00F2750F" w:rsidRPr="00725DAE" w:rsidRDefault="00F2750F" w:rsidP="00725DAE">
            <w:pPr>
              <w:spacing w:line="360" w:lineRule="auto"/>
              <w:jc w:val="both"/>
              <w:rPr>
                <w:sz w:val="20"/>
                <w:szCs w:val="20"/>
              </w:rPr>
            </w:pPr>
            <w:r w:rsidRPr="00725DAE">
              <w:rPr>
                <w:sz w:val="20"/>
                <w:szCs w:val="20"/>
              </w:rPr>
              <w:t>Change from baseline Mean</w:t>
            </w:r>
          </w:p>
        </w:tc>
        <w:tc>
          <w:tcPr>
            <w:tcW w:w="1701" w:type="dxa"/>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P value</w:t>
            </w:r>
          </w:p>
        </w:tc>
        <w:tc>
          <w:tcPr>
            <w:tcW w:w="1701" w:type="dxa"/>
          </w:tcPr>
          <w:p w:rsidR="00F2750F" w:rsidRPr="00725DAE" w:rsidRDefault="00F2750F" w:rsidP="00725DAE">
            <w:pPr>
              <w:spacing w:line="360" w:lineRule="auto"/>
              <w:jc w:val="both"/>
              <w:rPr>
                <w:sz w:val="20"/>
                <w:szCs w:val="20"/>
              </w:rPr>
            </w:pPr>
            <w:r w:rsidRPr="00725DAE">
              <w:rPr>
                <w:sz w:val="20"/>
                <w:szCs w:val="20"/>
              </w:rPr>
              <w:t xml:space="preserve">   </w:t>
            </w:r>
            <w:proofErr w:type="spellStart"/>
            <w:r w:rsidRPr="00725DAE">
              <w:rPr>
                <w:sz w:val="20"/>
                <w:szCs w:val="20"/>
              </w:rPr>
              <w:t>Piolgitazone</w:t>
            </w:r>
            <w:proofErr w:type="spellEnd"/>
            <w:r w:rsidRPr="00725DAE">
              <w:rPr>
                <w:sz w:val="20"/>
                <w:szCs w:val="20"/>
              </w:rPr>
              <w:t xml:space="preserve"> </w:t>
            </w:r>
            <w:proofErr w:type="spellStart"/>
            <w:r w:rsidRPr="00725DAE">
              <w:rPr>
                <w:sz w:val="20"/>
                <w:szCs w:val="20"/>
              </w:rPr>
              <w:t>vs</w:t>
            </w:r>
            <w:proofErr w:type="spellEnd"/>
            <w:r w:rsidRPr="00725DAE">
              <w:rPr>
                <w:sz w:val="20"/>
                <w:szCs w:val="20"/>
              </w:rPr>
              <w:t xml:space="preserve"> metformin  p-value</w:t>
            </w:r>
          </w:p>
        </w:tc>
      </w:tr>
      <w:tr w:rsidR="00F2750F" w:rsidRPr="00725DAE" w:rsidTr="000B0696">
        <w:trPr>
          <w:trHeight w:val="473"/>
        </w:trPr>
        <w:tc>
          <w:tcPr>
            <w:tcW w:w="1101" w:type="dxa"/>
            <w:tcBorders>
              <w:right w:val="nil"/>
            </w:tcBorders>
          </w:tcPr>
          <w:p w:rsidR="00F2750F" w:rsidRPr="00725DAE" w:rsidRDefault="00F2750F" w:rsidP="00725DAE">
            <w:pPr>
              <w:spacing w:line="360" w:lineRule="auto"/>
              <w:jc w:val="both"/>
              <w:rPr>
                <w:sz w:val="20"/>
                <w:szCs w:val="20"/>
              </w:rPr>
            </w:pPr>
          </w:p>
        </w:tc>
        <w:tc>
          <w:tcPr>
            <w:tcW w:w="1559" w:type="dxa"/>
            <w:tcBorders>
              <w:left w:val="nil"/>
              <w:bottom w:val="single" w:sz="4" w:space="0" w:color="auto"/>
            </w:tcBorders>
          </w:tcPr>
          <w:p w:rsidR="00F2750F" w:rsidRPr="00725DAE" w:rsidRDefault="00F2750F" w:rsidP="00725DAE">
            <w:pPr>
              <w:spacing w:line="360" w:lineRule="auto"/>
              <w:jc w:val="both"/>
              <w:rPr>
                <w:sz w:val="20"/>
                <w:szCs w:val="20"/>
              </w:rPr>
            </w:pPr>
            <w:r w:rsidRPr="00725DAE">
              <w:rPr>
                <w:sz w:val="20"/>
                <w:szCs w:val="20"/>
              </w:rPr>
              <w:t>Before</w:t>
            </w:r>
          </w:p>
        </w:tc>
        <w:tc>
          <w:tcPr>
            <w:tcW w:w="2201" w:type="dxa"/>
            <w:tcBorders>
              <w:bottom w:val="single" w:sz="4" w:space="0" w:color="auto"/>
            </w:tcBorders>
          </w:tcPr>
          <w:p w:rsidR="00F2750F" w:rsidRPr="00725DAE" w:rsidRDefault="00F2750F" w:rsidP="00725DAE">
            <w:pPr>
              <w:spacing w:line="360" w:lineRule="auto"/>
              <w:jc w:val="both"/>
              <w:rPr>
                <w:sz w:val="20"/>
                <w:szCs w:val="20"/>
              </w:rPr>
            </w:pPr>
            <w:r w:rsidRPr="00725DAE">
              <w:rPr>
                <w:sz w:val="20"/>
                <w:szCs w:val="20"/>
              </w:rPr>
              <w:t xml:space="preserve">      6.05   ±  0.252</w:t>
            </w:r>
          </w:p>
        </w:tc>
        <w:tc>
          <w:tcPr>
            <w:tcW w:w="1579" w:type="dxa"/>
            <w:vMerge w:val="restart"/>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- 0.5</w:t>
            </w:r>
          </w:p>
        </w:tc>
        <w:tc>
          <w:tcPr>
            <w:tcW w:w="1701" w:type="dxa"/>
            <w:vMerge w:val="restart"/>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0.0001</w:t>
            </w:r>
          </w:p>
        </w:tc>
        <w:tc>
          <w:tcPr>
            <w:tcW w:w="1701" w:type="dxa"/>
            <w:vMerge w:val="restart"/>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0.0001</w:t>
            </w:r>
          </w:p>
        </w:tc>
      </w:tr>
      <w:tr w:rsidR="00F2750F" w:rsidRPr="00725DAE" w:rsidTr="000B0696">
        <w:trPr>
          <w:trHeight w:val="568"/>
        </w:trPr>
        <w:tc>
          <w:tcPr>
            <w:tcW w:w="1101" w:type="dxa"/>
            <w:tcBorders>
              <w:right w:val="nil"/>
            </w:tcBorders>
          </w:tcPr>
          <w:p w:rsidR="00F2750F" w:rsidRPr="00725DAE" w:rsidRDefault="00F2750F" w:rsidP="00725DAE">
            <w:pPr>
              <w:spacing w:line="360" w:lineRule="auto"/>
              <w:jc w:val="both"/>
              <w:rPr>
                <w:sz w:val="20"/>
                <w:szCs w:val="20"/>
              </w:rPr>
            </w:pPr>
          </w:p>
        </w:tc>
        <w:tc>
          <w:tcPr>
            <w:tcW w:w="1559" w:type="dxa"/>
            <w:tcBorders>
              <w:top w:val="single" w:sz="4" w:space="0" w:color="auto"/>
              <w:left w:val="nil"/>
            </w:tcBorders>
          </w:tcPr>
          <w:p w:rsidR="00F2750F" w:rsidRPr="00725DAE" w:rsidRDefault="00F2750F" w:rsidP="00725DAE">
            <w:pPr>
              <w:spacing w:line="360" w:lineRule="auto"/>
              <w:jc w:val="both"/>
              <w:rPr>
                <w:sz w:val="20"/>
                <w:szCs w:val="20"/>
              </w:rPr>
            </w:pPr>
            <w:r w:rsidRPr="00725DAE">
              <w:rPr>
                <w:sz w:val="20"/>
                <w:szCs w:val="20"/>
              </w:rPr>
              <w:t xml:space="preserve">After        six </w:t>
            </w:r>
          </w:p>
          <w:p w:rsidR="00F2750F" w:rsidRPr="00725DAE" w:rsidRDefault="00F2750F" w:rsidP="00725DAE">
            <w:pPr>
              <w:spacing w:line="360" w:lineRule="auto"/>
              <w:jc w:val="both"/>
              <w:rPr>
                <w:sz w:val="20"/>
                <w:szCs w:val="20"/>
              </w:rPr>
            </w:pPr>
            <w:r w:rsidRPr="00725DAE">
              <w:rPr>
                <w:sz w:val="20"/>
                <w:szCs w:val="20"/>
              </w:rPr>
              <w:t>Months</w:t>
            </w:r>
          </w:p>
        </w:tc>
        <w:tc>
          <w:tcPr>
            <w:tcW w:w="2201" w:type="dxa"/>
            <w:tcBorders>
              <w:top w:val="single" w:sz="4" w:space="0" w:color="auto"/>
            </w:tcBorders>
          </w:tcPr>
          <w:p w:rsidR="00F2750F" w:rsidRPr="00725DAE" w:rsidRDefault="00F2750F" w:rsidP="00725DAE">
            <w:pPr>
              <w:spacing w:line="360" w:lineRule="auto"/>
              <w:jc w:val="both"/>
              <w:rPr>
                <w:sz w:val="20"/>
                <w:szCs w:val="20"/>
              </w:rPr>
            </w:pPr>
            <w:r w:rsidRPr="00725DAE">
              <w:rPr>
                <w:sz w:val="20"/>
                <w:szCs w:val="20"/>
              </w:rPr>
              <w:t xml:space="preserve">      5.49   ±  0.227</w:t>
            </w:r>
          </w:p>
        </w:tc>
        <w:tc>
          <w:tcPr>
            <w:tcW w:w="1579" w:type="dxa"/>
            <w:vMerge/>
          </w:tcPr>
          <w:p w:rsidR="00F2750F" w:rsidRPr="00725DAE" w:rsidRDefault="00F2750F" w:rsidP="00725DAE">
            <w:pPr>
              <w:spacing w:line="360" w:lineRule="auto"/>
              <w:jc w:val="both"/>
              <w:rPr>
                <w:sz w:val="20"/>
                <w:szCs w:val="20"/>
              </w:rPr>
            </w:pPr>
          </w:p>
        </w:tc>
        <w:tc>
          <w:tcPr>
            <w:tcW w:w="1701" w:type="dxa"/>
            <w:vMerge/>
          </w:tcPr>
          <w:p w:rsidR="00F2750F" w:rsidRPr="00725DAE" w:rsidRDefault="00F2750F" w:rsidP="00725DAE">
            <w:pPr>
              <w:spacing w:line="360" w:lineRule="auto"/>
              <w:jc w:val="both"/>
              <w:rPr>
                <w:sz w:val="20"/>
                <w:szCs w:val="20"/>
              </w:rPr>
            </w:pPr>
          </w:p>
        </w:tc>
        <w:tc>
          <w:tcPr>
            <w:tcW w:w="1701" w:type="dxa"/>
            <w:vMerge/>
          </w:tcPr>
          <w:p w:rsidR="00F2750F" w:rsidRPr="00725DAE" w:rsidRDefault="00F2750F" w:rsidP="00725DAE">
            <w:pPr>
              <w:spacing w:line="360" w:lineRule="auto"/>
              <w:jc w:val="both"/>
              <w:rPr>
                <w:sz w:val="20"/>
                <w:szCs w:val="20"/>
              </w:rPr>
            </w:pPr>
          </w:p>
        </w:tc>
      </w:tr>
    </w:tbl>
    <w:p w:rsidR="00F2750F" w:rsidRPr="00725DAE" w:rsidRDefault="00F2750F" w:rsidP="00725DAE">
      <w:pPr>
        <w:tabs>
          <w:tab w:val="left" w:pos="1994"/>
        </w:tabs>
        <w:spacing w:line="360" w:lineRule="auto"/>
        <w:jc w:val="both"/>
        <w:rPr>
          <w:b/>
          <w:sz w:val="20"/>
          <w:szCs w:val="20"/>
          <w:lang w:val="en-IN"/>
        </w:rPr>
      </w:pPr>
    </w:p>
    <w:p w:rsidR="00725DAE" w:rsidRDefault="00F2750F" w:rsidP="00725DAE">
      <w:pPr>
        <w:tabs>
          <w:tab w:val="left" w:pos="1994"/>
        </w:tabs>
        <w:spacing w:line="360" w:lineRule="auto"/>
        <w:jc w:val="both"/>
        <w:rPr>
          <w:b/>
          <w:sz w:val="20"/>
          <w:szCs w:val="20"/>
          <w:lang w:val="en-IN"/>
        </w:rPr>
      </w:pPr>
      <w:r w:rsidRPr="00725DAE">
        <w:rPr>
          <w:b/>
          <w:sz w:val="20"/>
          <w:szCs w:val="20"/>
          <w:lang w:val="en-IN"/>
        </w:rPr>
        <w:tab/>
      </w:r>
    </w:p>
    <w:p w:rsidR="00F2750F" w:rsidRPr="00725DAE" w:rsidRDefault="00F2750F" w:rsidP="00725DAE">
      <w:pPr>
        <w:tabs>
          <w:tab w:val="left" w:pos="1994"/>
        </w:tabs>
        <w:spacing w:line="360" w:lineRule="auto"/>
        <w:jc w:val="both"/>
        <w:rPr>
          <w:b/>
          <w:sz w:val="20"/>
          <w:szCs w:val="20"/>
          <w:lang w:val="en-IN"/>
        </w:rPr>
      </w:pPr>
      <w:r w:rsidRPr="00725DAE">
        <w:rPr>
          <w:sz w:val="20"/>
          <w:szCs w:val="20"/>
        </w:rPr>
        <w:t xml:space="preserve"> </w:t>
      </w:r>
      <w:r w:rsidRPr="00725DAE">
        <w:rPr>
          <w:b/>
          <w:sz w:val="20"/>
          <w:szCs w:val="20"/>
        </w:rPr>
        <w:t>If p &gt; 0.05 Not Significant, p &lt; 0.05 Significant</w:t>
      </w:r>
    </w:p>
    <w:p w:rsidR="00725DAE" w:rsidRDefault="00725DAE" w:rsidP="00725DAE">
      <w:pPr>
        <w:spacing w:line="360" w:lineRule="auto"/>
        <w:jc w:val="both"/>
        <w:rPr>
          <w:sz w:val="20"/>
          <w:szCs w:val="20"/>
          <w:lang w:val="en-IN"/>
        </w:rPr>
      </w:pPr>
    </w:p>
    <w:p w:rsidR="00F2750F" w:rsidRPr="00725DAE" w:rsidRDefault="00F2750F" w:rsidP="00725DAE">
      <w:pPr>
        <w:spacing w:line="360" w:lineRule="auto"/>
        <w:jc w:val="both"/>
        <w:rPr>
          <w:sz w:val="20"/>
          <w:szCs w:val="20"/>
          <w:lang w:val="en-IN"/>
        </w:rPr>
      </w:pPr>
      <w:r w:rsidRPr="00725DAE">
        <w:rPr>
          <w:sz w:val="20"/>
          <w:szCs w:val="20"/>
          <w:lang w:val="en-IN"/>
        </w:rPr>
        <w:t xml:space="preserve">There was a statistically HIGHLY significant decrease </w:t>
      </w:r>
      <w:proofErr w:type="gramStart"/>
      <w:r w:rsidRPr="00725DAE">
        <w:rPr>
          <w:sz w:val="20"/>
          <w:szCs w:val="20"/>
          <w:lang w:val="en-IN"/>
        </w:rPr>
        <w:t>in  HbA1c</w:t>
      </w:r>
      <w:proofErr w:type="gramEnd"/>
      <w:r w:rsidRPr="00725DAE">
        <w:rPr>
          <w:sz w:val="20"/>
          <w:szCs w:val="20"/>
          <w:lang w:val="en-IN"/>
        </w:rPr>
        <w:t xml:space="preserve">  levels in Group I (Metformin), after 6 months of treatment compared to baseline.</w:t>
      </w:r>
    </w:p>
    <w:p w:rsidR="00F2750F" w:rsidRPr="00725DAE" w:rsidRDefault="00F2750F" w:rsidP="00725DAE">
      <w:pPr>
        <w:spacing w:line="360" w:lineRule="auto"/>
        <w:ind w:left="720"/>
        <w:jc w:val="both"/>
        <w:rPr>
          <w:sz w:val="20"/>
          <w:szCs w:val="20"/>
          <w:lang w:val="en-IN"/>
        </w:rPr>
      </w:pPr>
    </w:p>
    <w:p w:rsidR="00FA6BA9" w:rsidRDefault="00FA6BA9" w:rsidP="00725DAE">
      <w:pPr>
        <w:spacing w:line="360" w:lineRule="auto"/>
        <w:jc w:val="both"/>
        <w:rPr>
          <w:b/>
          <w:sz w:val="20"/>
          <w:szCs w:val="20"/>
        </w:rPr>
      </w:pPr>
    </w:p>
    <w:p w:rsidR="00FA6BA9" w:rsidRDefault="00FA6BA9" w:rsidP="00725DAE">
      <w:pPr>
        <w:spacing w:line="360" w:lineRule="auto"/>
        <w:jc w:val="both"/>
        <w:rPr>
          <w:b/>
          <w:sz w:val="20"/>
          <w:szCs w:val="20"/>
        </w:rPr>
      </w:pPr>
    </w:p>
    <w:p w:rsidR="00FA6BA9" w:rsidRDefault="00FA6BA9" w:rsidP="00725DAE">
      <w:pPr>
        <w:spacing w:line="360" w:lineRule="auto"/>
        <w:jc w:val="both"/>
        <w:rPr>
          <w:b/>
          <w:sz w:val="20"/>
          <w:szCs w:val="20"/>
        </w:rPr>
      </w:pPr>
    </w:p>
    <w:p w:rsidR="00FA6BA9" w:rsidRDefault="00FA6BA9" w:rsidP="00725DAE">
      <w:pPr>
        <w:spacing w:line="360" w:lineRule="auto"/>
        <w:jc w:val="both"/>
        <w:rPr>
          <w:b/>
          <w:sz w:val="20"/>
          <w:szCs w:val="20"/>
        </w:rPr>
      </w:pPr>
    </w:p>
    <w:p w:rsidR="00FA6BA9" w:rsidRDefault="00FA6BA9" w:rsidP="00725DAE">
      <w:pPr>
        <w:spacing w:line="360" w:lineRule="auto"/>
        <w:jc w:val="both"/>
        <w:rPr>
          <w:b/>
          <w:sz w:val="20"/>
          <w:szCs w:val="20"/>
        </w:rPr>
      </w:pPr>
    </w:p>
    <w:p w:rsidR="00FA6BA9" w:rsidRDefault="00FA6BA9" w:rsidP="00725DAE">
      <w:pPr>
        <w:spacing w:line="360" w:lineRule="auto"/>
        <w:jc w:val="both"/>
        <w:rPr>
          <w:b/>
          <w:sz w:val="20"/>
          <w:szCs w:val="20"/>
        </w:rPr>
      </w:pPr>
    </w:p>
    <w:p w:rsidR="00FA6BA9" w:rsidRDefault="00FA6BA9" w:rsidP="00725DAE">
      <w:pPr>
        <w:spacing w:line="360" w:lineRule="auto"/>
        <w:jc w:val="both"/>
        <w:rPr>
          <w:b/>
          <w:sz w:val="20"/>
          <w:szCs w:val="20"/>
        </w:rPr>
      </w:pPr>
    </w:p>
    <w:p w:rsidR="00FA6BA9" w:rsidRDefault="00FA6BA9" w:rsidP="00725DAE">
      <w:pPr>
        <w:spacing w:line="360" w:lineRule="auto"/>
        <w:jc w:val="both"/>
        <w:rPr>
          <w:b/>
          <w:sz w:val="20"/>
          <w:szCs w:val="20"/>
        </w:rPr>
      </w:pPr>
    </w:p>
    <w:p w:rsidR="00FA6BA9" w:rsidRDefault="00FA6BA9" w:rsidP="00725DAE">
      <w:pPr>
        <w:spacing w:line="360" w:lineRule="auto"/>
        <w:jc w:val="both"/>
        <w:rPr>
          <w:b/>
          <w:sz w:val="20"/>
          <w:szCs w:val="20"/>
        </w:rPr>
      </w:pPr>
    </w:p>
    <w:p w:rsidR="00F2750F" w:rsidRPr="00725DAE" w:rsidRDefault="00F2750F" w:rsidP="00725DAE">
      <w:pPr>
        <w:spacing w:line="360" w:lineRule="auto"/>
        <w:jc w:val="both"/>
        <w:rPr>
          <w:sz w:val="20"/>
          <w:szCs w:val="20"/>
          <w:lang w:val="en-IN"/>
        </w:rPr>
      </w:pPr>
      <w:r w:rsidRPr="00725DAE">
        <w:rPr>
          <w:b/>
          <w:sz w:val="20"/>
          <w:szCs w:val="20"/>
        </w:rPr>
        <w:t xml:space="preserve">Table 5:  Comparison of HbA1c in patients of Group II </w:t>
      </w:r>
      <w:proofErr w:type="gramStart"/>
      <w:r w:rsidRPr="00725DAE">
        <w:rPr>
          <w:b/>
          <w:sz w:val="20"/>
          <w:szCs w:val="20"/>
        </w:rPr>
        <w:t>using  paired</w:t>
      </w:r>
      <w:proofErr w:type="gramEnd"/>
      <w:r w:rsidRPr="00725DAE">
        <w:rPr>
          <w:b/>
          <w:sz w:val="20"/>
          <w:szCs w:val="20"/>
        </w:rPr>
        <w:t xml:space="preserve"> t test and unpaired t test :-</w:t>
      </w:r>
    </w:p>
    <w:tbl>
      <w:tblPr>
        <w:tblStyle w:val="TableGrid"/>
        <w:tblpPr w:leftFromText="180" w:rightFromText="180" w:vertAnchor="text" w:horzAnchor="margin" w:tblpY="641"/>
        <w:tblW w:w="9606" w:type="dxa"/>
        <w:tblLayout w:type="fixed"/>
        <w:tblLook w:val="04A0" w:firstRow="1" w:lastRow="0" w:firstColumn="1" w:lastColumn="0" w:noHBand="0" w:noVBand="1"/>
      </w:tblPr>
      <w:tblGrid>
        <w:gridCol w:w="1101"/>
        <w:gridCol w:w="1559"/>
        <w:gridCol w:w="2201"/>
        <w:gridCol w:w="1484"/>
        <w:gridCol w:w="1560"/>
        <w:gridCol w:w="1701"/>
      </w:tblGrid>
      <w:tr w:rsidR="00F2750F" w:rsidRPr="00725DAE" w:rsidTr="000B0696">
        <w:trPr>
          <w:trHeight w:val="296"/>
        </w:trPr>
        <w:tc>
          <w:tcPr>
            <w:tcW w:w="2660" w:type="dxa"/>
            <w:gridSpan w:val="2"/>
          </w:tcPr>
          <w:p w:rsidR="00F2750F" w:rsidRPr="00725DAE" w:rsidRDefault="00F2750F" w:rsidP="00725DAE">
            <w:pPr>
              <w:spacing w:line="360" w:lineRule="auto"/>
              <w:jc w:val="both"/>
              <w:rPr>
                <w:sz w:val="20"/>
                <w:szCs w:val="20"/>
              </w:rPr>
            </w:pPr>
          </w:p>
          <w:p w:rsidR="00F2750F" w:rsidRPr="00725DAE" w:rsidRDefault="00F2750F" w:rsidP="00725DAE">
            <w:pPr>
              <w:spacing w:line="360" w:lineRule="auto"/>
              <w:jc w:val="both"/>
              <w:rPr>
                <w:sz w:val="20"/>
                <w:szCs w:val="20"/>
              </w:rPr>
            </w:pPr>
            <w:r w:rsidRPr="00725DAE">
              <w:rPr>
                <w:sz w:val="20"/>
                <w:szCs w:val="20"/>
              </w:rPr>
              <w:t xml:space="preserve">    Group II pioglitazone </w:t>
            </w:r>
          </w:p>
        </w:tc>
        <w:tc>
          <w:tcPr>
            <w:tcW w:w="2201" w:type="dxa"/>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Mean  ±   SD</w:t>
            </w:r>
          </w:p>
        </w:tc>
        <w:tc>
          <w:tcPr>
            <w:tcW w:w="1484" w:type="dxa"/>
          </w:tcPr>
          <w:p w:rsidR="00F2750F" w:rsidRPr="00725DAE" w:rsidRDefault="00F2750F" w:rsidP="00725DAE">
            <w:pPr>
              <w:spacing w:line="360" w:lineRule="auto"/>
              <w:jc w:val="both"/>
              <w:rPr>
                <w:sz w:val="20"/>
                <w:szCs w:val="20"/>
              </w:rPr>
            </w:pPr>
            <w:r w:rsidRPr="00725DAE">
              <w:rPr>
                <w:sz w:val="20"/>
                <w:szCs w:val="20"/>
              </w:rPr>
              <w:t>Change from baseline Mean</w:t>
            </w:r>
          </w:p>
        </w:tc>
        <w:tc>
          <w:tcPr>
            <w:tcW w:w="1560" w:type="dxa"/>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P value</w:t>
            </w:r>
          </w:p>
        </w:tc>
        <w:tc>
          <w:tcPr>
            <w:tcW w:w="1701" w:type="dxa"/>
          </w:tcPr>
          <w:p w:rsidR="00F2750F" w:rsidRPr="00725DAE" w:rsidRDefault="00F2750F" w:rsidP="00725DAE">
            <w:pPr>
              <w:spacing w:line="360" w:lineRule="auto"/>
              <w:jc w:val="both"/>
              <w:rPr>
                <w:sz w:val="20"/>
                <w:szCs w:val="20"/>
              </w:rPr>
            </w:pPr>
            <w:r w:rsidRPr="00725DAE">
              <w:rPr>
                <w:sz w:val="20"/>
                <w:szCs w:val="20"/>
              </w:rPr>
              <w:t xml:space="preserve">    Pioglitazone </w:t>
            </w:r>
            <w:proofErr w:type="spellStart"/>
            <w:r w:rsidRPr="00725DAE">
              <w:rPr>
                <w:sz w:val="20"/>
                <w:szCs w:val="20"/>
              </w:rPr>
              <w:t>vs</w:t>
            </w:r>
            <w:proofErr w:type="spellEnd"/>
            <w:r w:rsidRPr="00725DAE">
              <w:rPr>
                <w:sz w:val="20"/>
                <w:szCs w:val="20"/>
              </w:rPr>
              <w:t xml:space="preserve"> metformin p-value</w:t>
            </w:r>
          </w:p>
        </w:tc>
      </w:tr>
      <w:tr w:rsidR="00F2750F" w:rsidRPr="00725DAE" w:rsidTr="000B0696">
        <w:trPr>
          <w:trHeight w:val="473"/>
        </w:trPr>
        <w:tc>
          <w:tcPr>
            <w:tcW w:w="1101" w:type="dxa"/>
            <w:tcBorders>
              <w:right w:val="nil"/>
            </w:tcBorders>
          </w:tcPr>
          <w:p w:rsidR="00F2750F" w:rsidRPr="00725DAE" w:rsidRDefault="00F2750F" w:rsidP="00725DAE">
            <w:pPr>
              <w:spacing w:line="360" w:lineRule="auto"/>
              <w:jc w:val="both"/>
              <w:rPr>
                <w:sz w:val="20"/>
                <w:szCs w:val="20"/>
              </w:rPr>
            </w:pPr>
          </w:p>
        </w:tc>
        <w:tc>
          <w:tcPr>
            <w:tcW w:w="1559" w:type="dxa"/>
            <w:tcBorders>
              <w:left w:val="nil"/>
              <w:bottom w:val="single" w:sz="4" w:space="0" w:color="auto"/>
            </w:tcBorders>
          </w:tcPr>
          <w:p w:rsidR="00F2750F" w:rsidRPr="00725DAE" w:rsidRDefault="00F2750F" w:rsidP="00725DAE">
            <w:pPr>
              <w:spacing w:line="360" w:lineRule="auto"/>
              <w:jc w:val="both"/>
              <w:rPr>
                <w:sz w:val="20"/>
                <w:szCs w:val="20"/>
              </w:rPr>
            </w:pPr>
            <w:r w:rsidRPr="00725DAE">
              <w:rPr>
                <w:sz w:val="20"/>
                <w:szCs w:val="20"/>
              </w:rPr>
              <w:t>Before</w:t>
            </w:r>
          </w:p>
        </w:tc>
        <w:tc>
          <w:tcPr>
            <w:tcW w:w="2201" w:type="dxa"/>
            <w:tcBorders>
              <w:bottom w:val="single" w:sz="4" w:space="0" w:color="auto"/>
            </w:tcBorders>
          </w:tcPr>
          <w:p w:rsidR="00F2750F" w:rsidRPr="00725DAE" w:rsidRDefault="00F2750F" w:rsidP="00725DAE">
            <w:pPr>
              <w:spacing w:line="360" w:lineRule="auto"/>
              <w:jc w:val="both"/>
              <w:rPr>
                <w:sz w:val="20"/>
                <w:szCs w:val="20"/>
              </w:rPr>
            </w:pPr>
            <w:r w:rsidRPr="00725DAE">
              <w:rPr>
                <w:sz w:val="20"/>
                <w:szCs w:val="20"/>
              </w:rPr>
              <w:t xml:space="preserve">         6.07   ±  0.239</w:t>
            </w:r>
          </w:p>
        </w:tc>
        <w:tc>
          <w:tcPr>
            <w:tcW w:w="1484" w:type="dxa"/>
            <w:vMerge w:val="restart"/>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- 0.8</w:t>
            </w:r>
          </w:p>
        </w:tc>
        <w:tc>
          <w:tcPr>
            <w:tcW w:w="1560" w:type="dxa"/>
            <w:vMerge w:val="restart"/>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0.0001</w:t>
            </w:r>
          </w:p>
        </w:tc>
        <w:tc>
          <w:tcPr>
            <w:tcW w:w="1701" w:type="dxa"/>
            <w:vMerge w:val="restart"/>
          </w:tcPr>
          <w:p w:rsidR="00F2750F" w:rsidRPr="00725DAE" w:rsidRDefault="00F2750F" w:rsidP="00725DAE">
            <w:pPr>
              <w:spacing w:line="360" w:lineRule="auto"/>
              <w:jc w:val="both"/>
              <w:rPr>
                <w:sz w:val="20"/>
                <w:szCs w:val="20"/>
              </w:rPr>
            </w:pPr>
            <w:r w:rsidRPr="00725DAE">
              <w:rPr>
                <w:sz w:val="20"/>
                <w:szCs w:val="20"/>
              </w:rPr>
              <w:t xml:space="preserve"> </w:t>
            </w:r>
          </w:p>
          <w:p w:rsidR="00F2750F" w:rsidRPr="00725DAE" w:rsidRDefault="00F2750F" w:rsidP="00725DAE">
            <w:pPr>
              <w:spacing w:line="360" w:lineRule="auto"/>
              <w:jc w:val="both"/>
              <w:rPr>
                <w:sz w:val="20"/>
                <w:szCs w:val="20"/>
              </w:rPr>
            </w:pPr>
            <w:r w:rsidRPr="00725DAE">
              <w:rPr>
                <w:sz w:val="20"/>
                <w:szCs w:val="20"/>
              </w:rPr>
              <w:t xml:space="preserve">     0.001</w:t>
            </w:r>
          </w:p>
        </w:tc>
      </w:tr>
      <w:tr w:rsidR="00F2750F" w:rsidRPr="00725DAE" w:rsidTr="000B0696">
        <w:trPr>
          <w:trHeight w:val="568"/>
        </w:trPr>
        <w:tc>
          <w:tcPr>
            <w:tcW w:w="1101" w:type="dxa"/>
            <w:tcBorders>
              <w:right w:val="nil"/>
            </w:tcBorders>
          </w:tcPr>
          <w:p w:rsidR="00F2750F" w:rsidRPr="00725DAE" w:rsidRDefault="00F2750F" w:rsidP="00725DAE">
            <w:pPr>
              <w:spacing w:line="360" w:lineRule="auto"/>
              <w:jc w:val="both"/>
              <w:rPr>
                <w:sz w:val="20"/>
                <w:szCs w:val="20"/>
              </w:rPr>
            </w:pPr>
          </w:p>
        </w:tc>
        <w:tc>
          <w:tcPr>
            <w:tcW w:w="1559" w:type="dxa"/>
            <w:tcBorders>
              <w:top w:val="single" w:sz="4" w:space="0" w:color="auto"/>
              <w:left w:val="nil"/>
            </w:tcBorders>
          </w:tcPr>
          <w:p w:rsidR="00F2750F" w:rsidRPr="00725DAE" w:rsidRDefault="00F2750F" w:rsidP="00725DAE">
            <w:pPr>
              <w:spacing w:line="360" w:lineRule="auto"/>
              <w:jc w:val="both"/>
              <w:rPr>
                <w:sz w:val="20"/>
                <w:szCs w:val="20"/>
              </w:rPr>
            </w:pPr>
            <w:r w:rsidRPr="00725DAE">
              <w:rPr>
                <w:sz w:val="20"/>
                <w:szCs w:val="20"/>
              </w:rPr>
              <w:t>After      six</w:t>
            </w:r>
          </w:p>
          <w:p w:rsidR="00F2750F" w:rsidRPr="00725DAE" w:rsidRDefault="00F2750F" w:rsidP="00725DAE">
            <w:pPr>
              <w:spacing w:line="360" w:lineRule="auto"/>
              <w:jc w:val="both"/>
              <w:rPr>
                <w:sz w:val="20"/>
                <w:szCs w:val="20"/>
              </w:rPr>
            </w:pPr>
            <w:r w:rsidRPr="00725DAE">
              <w:rPr>
                <w:sz w:val="20"/>
                <w:szCs w:val="20"/>
              </w:rPr>
              <w:t>Months</w:t>
            </w:r>
          </w:p>
        </w:tc>
        <w:tc>
          <w:tcPr>
            <w:tcW w:w="2201" w:type="dxa"/>
            <w:tcBorders>
              <w:top w:val="single" w:sz="4" w:space="0" w:color="auto"/>
            </w:tcBorders>
          </w:tcPr>
          <w:p w:rsidR="00F2750F" w:rsidRPr="00725DAE" w:rsidRDefault="00F2750F" w:rsidP="00725DAE">
            <w:pPr>
              <w:spacing w:line="360" w:lineRule="auto"/>
              <w:jc w:val="both"/>
              <w:rPr>
                <w:sz w:val="20"/>
                <w:szCs w:val="20"/>
              </w:rPr>
            </w:pPr>
            <w:r w:rsidRPr="00725DAE">
              <w:rPr>
                <w:sz w:val="20"/>
                <w:szCs w:val="20"/>
              </w:rPr>
              <w:t xml:space="preserve">         5.23   ±  0.223</w:t>
            </w:r>
          </w:p>
        </w:tc>
        <w:tc>
          <w:tcPr>
            <w:tcW w:w="1484" w:type="dxa"/>
            <w:vMerge/>
          </w:tcPr>
          <w:p w:rsidR="00F2750F" w:rsidRPr="00725DAE" w:rsidRDefault="00F2750F" w:rsidP="00725DAE">
            <w:pPr>
              <w:spacing w:line="360" w:lineRule="auto"/>
              <w:jc w:val="both"/>
              <w:rPr>
                <w:sz w:val="20"/>
                <w:szCs w:val="20"/>
              </w:rPr>
            </w:pPr>
          </w:p>
        </w:tc>
        <w:tc>
          <w:tcPr>
            <w:tcW w:w="1560" w:type="dxa"/>
            <w:vMerge/>
          </w:tcPr>
          <w:p w:rsidR="00F2750F" w:rsidRPr="00725DAE" w:rsidRDefault="00F2750F" w:rsidP="00725DAE">
            <w:pPr>
              <w:spacing w:line="360" w:lineRule="auto"/>
              <w:jc w:val="both"/>
              <w:rPr>
                <w:sz w:val="20"/>
                <w:szCs w:val="20"/>
              </w:rPr>
            </w:pPr>
          </w:p>
        </w:tc>
        <w:tc>
          <w:tcPr>
            <w:tcW w:w="1701" w:type="dxa"/>
            <w:vMerge/>
          </w:tcPr>
          <w:p w:rsidR="00F2750F" w:rsidRPr="00725DAE" w:rsidRDefault="00F2750F" w:rsidP="00725DAE">
            <w:pPr>
              <w:spacing w:line="360" w:lineRule="auto"/>
              <w:jc w:val="both"/>
              <w:rPr>
                <w:sz w:val="20"/>
                <w:szCs w:val="20"/>
              </w:rPr>
            </w:pPr>
          </w:p>
        </w:tc>
      </w:tr>
    </w:tbl>
    <w:p w:rsidR="00F2750F" w:rsidRPr="00725DAE" w:rsidRDefault="00F2750F" w:rsidP="00725DAE">
      <w:pPr>
        <w:spacing w:line="360" w:lineRule="auto"/>
        <w:jc w:val="both"/>
        <w:rPr>
          <w:b/>
          <w:sz w:val="20"/>
          <w:szCs w:val="20"/>
        </w:rPr>
      </w:pPr>
    </w:p>
    <w:p w:rsidR="00F2750F" w:rsidRPr="00725DAE" w:rsidRDefault="00F2750F" w:rsidP="00725DAE">
      <w:pPr>
        <w:tabs>
          <w:tab w:val="left" w:pos="1994"/>
        </w:tabs>
        <w:spacing w:line="360" w:lineRule="auto"/>
        <w:jc w:val="both"/>
        <w:rPr>
          <w:sz w:val="20"/>
          <w:szCs w:val="20"/>
        </w:rPr>
      </w:pPr>
      <w:r w:rsidRPr="00725DAE">
        <w:rPr>
          <w:b/>
          <w:sz w:val="20"/>
          <w:szCs w:val="20"/>
          <w:lang w:val="en-IN"/>
        </w:rPr>
        <w:tab/>
      </w:r>
      <w:r w:rsidRPr="00725DAE">
        <w:rPr>
          <w:sz w:val="20"/>
          <w:szCs w:val="20"/>
        </w:rPr>
        <w:t xml:space="preserve"> </w:t>
      </w:r>
    </w:p>
    <w:p w:rsidR="00725DAE" w:rsidRDefault="00F2750F" w:rsidP="00725DAE">
      <w:pPr>
        <w:tabs>
          <w:tab w:val="left" w:pos="1994"/>
        </w:tabs>
        <w:spacing w:line="360" w:lineRule="auto"/>
        <w:jc w:val="both"/>
        <w:rPr>
          <w:b/>
          <w:sz w:val="20"/>
          <w:szCs w:val="20"/>
        </w:rPr>
      </w:pPr>
      <w:r w:rsidRPr="00725DAE">
        <w:rPr>
          <w:sz w:val="20"/>
          <w:szCs w:val="20"/>
        </w:rPr>
        <w:t xml:space="preserve">                                   </w:t>
      </w:r>
      <w:r w:rsidRPr="00725DAE">
        <w:rPr>
          <w:b/>
          <w:sz w:val="20"/>
          <w:szCs w:val="20"/>
        </w:rPr>
        <w:t>If p &gt; 0.05 Not Significant, p &lt; 0.05 Significant</w:t>
      </w:r>
    </w:p>
    <w:p w:rsidR="00C609C0" w:rsidRPr="00725DAE" w:rsidRDefault="00F2750F" w:rsidP="00725DAE">
      <w:pPr>
        <w:tabs>
          <w:tab w:val="left" w:pos="1994"/>
        </w:tabs>
        <w:spacing w:line="360" w:lineRule="auto"/>
        <w:jc w:val="both"/>
        <w:rPr>
          <w:b/>
          <w:sz w:val="20"/>
          <w:szCs w:val="20"/>
        </w:rPr>
      </w:pPr>
      <w:r w:rsidRPr="00725DAE">
        <w:rPr>
          <w:sz w:val="20"/>
          <w:szCs w:val="20"/>
          <w:lang w:val="en-IN"/>
        </w:rPr>
        <w:t xml:space="preserve">  There was a statistically HIGHLY significant decrease </w:t>
      </w:r>
      <w:proofErr w:type="gramStart"/>
      <w:r w:rsidRPr="00725DAE">
        <w:rPr>
          <w:sz w:val="20"/>
          <w:szCs w:val="20"/>
          <w:lang w:val="en-IN"/>
        </w:rPr>
        <w:t>in  HbA1c</w:t>
      </w:r>
      <w:proofErr w:type="gramEnd"/>
      <w:r w:rsidRPr="00725DAE">
        <w:rPr>
          <w:sz w:val="20"/>
          <w:szCs w:val="20"/>
          <w:lang w:val="en-IN"/>
        </w:rPr>
        <w:t xml:space="preserve">  levels in           Group II (</w:t>
      </w:r>
      <w:proofErr w:type="spellStart"/>
      <w:r w:rsidRPr="00725DAE">
        <w:rPr>
          <w:sz w:val="20"/>
          <w:szCs w:val="20"/>
          <w:lang w:val="en-IN"/>
        </w:rPr>
        <w:t>poiglitazone</w:t>
      </w:r>
      <w:proofErr w:type="spellEnd"/>
      <w:r w:rsidRPr="00725DAE">
        <w:rPr>
          <w:sz w:val="20"/>
          <w:szCs w:val="20"/>
          <w:lang w:val="en-IN"/>
        </w:rPr>
        <w:t>), after 6 months of treatment compared to baseline.</w:t>
      </w:r>
    </w:p>
    <w:p w:rsidR="00F2750F" w:rsidRPr="00725DAE" w:rsidRDefault="00F2750F" w:rsidP="00725DAE">
      <w:pPr>
        <w:tabs>
          <w:tab w:val="left" w:pos="1994"/>
        </w:tabs>
        <w:spacing w:line="360" w:lineRule="auto"/>
        <w:jc w:val="both"/>
        <w:rPr>
          <w:sz w:val="20"/>
          <w:szCs w:val="20"/>
          <w:lang w:val="en-IN"/>
        </w:rPr>
      </w:pPr>
    </w:p>
    <w:p w:rsidR="00F2750F" w:rsidRPr="00725DAE" w:rsidRDefault="00F2750F" w:rsidP="00725DAE">
      <w:pPr>
        <w:tabs>
          <w:tab w:val="left" w:pos="1994"/>
        </w:tabs>
        <w:spacing w:line="360" w:lineRule="auto"/>
        <w:jc w:val="both"/>
        <w:rPr>
          <w:sz w:val="20"/>
          <w:szCs w:val="20"/>
        </w:rPr>
      </w:pPr>
      <w:r w:rsidRPr="00725DAE">
        <w:rPr>
          <w:b/>
          <w:sz w:val="20"/>
          <w:szCs w:val="20"/>
        </w:rPr>
        <w:t xml:space="preserve">Table </w:t>
      </w:r>
      <w:proofErr w:type="gramStart"/>
      <w:r w:rsidRPr="00725DAE">
        <w:rPr>
          <w:b/>
          <w:sz w:val="20"/>
          <w:szCs w:val="20"/>
        </w:rPr>
        <w:t>6 :</w:t>
      </w:r>
      <w:proofErr w:type="gramEnd"/>
      <w:r w:rsidRPr="00725DAE">
        <w:rPr>
          <w:b/>
          <w:sz w:val="20"/>
          <w:szCs w:val="20"/>
        </w:rPr>
        <w:t xml:space="preserve">   ADVERSE DRUG REACTION:</w:t>
      </w:r>
      <w:r w:rsidRPr="00725DAE">
        <w:rPr>
          <w:sz w:val="20"/>
          <w:szCs w:val="20"/>
        </w:rPr>
        <w:t xml:space="preserve"> </w:t>
      </w:r>
    </w:p>
    <w:p w:rsidR="00F2750F" w:rsidRPr="00725DAE" w:rsidRDefault="00F2750F" w:rsidP="00725DAE">
      <w:pPr>
        <w:tabs>
          <w:tab w:val="left" w:pos="1994"/>
        </w:tabs>
        <w:spacing w:line="360" w:lineRule="auto"/>
        <w:jc w:val="both"/>
        <w:rPr>
          <w:sz w:val="20"/>
          <w:szCs w:val="20"/>
        </w:rPr>
      </w:pPr>
    </w:p>
    <w:tbl>
      <w:tblPr>
        <w:tblStyle w:val="TableGrid"/>
        <w:tblW w:w="7567" w:type="dxa"/>
        <w:tblInd w:w="636" w:type="dxa"/>
        <w:tblLook w:val="04A0" w:firstRow="1" w:lastRow="0" w:firstColumn="1" w:lastColumn="0" w:noHBand="0" w:noVBand="1"/>
      </w:tblPr>
      <w:tblGrid>
        <w:gridCol w:w="1132"/>
        <w:gridCol w:w="1583"/>
        <w:gridCol w:w="1140"/>
        <w:gridCol w:w="1856"/>
        <w:gridCol w:w="1856"/>
      </w:tblGrid>
      <w:tr w:rsidR="00F2750F" w:rsidRPr="00725DAE" w:rsidTr="000B0696">
        <w:tc>
          <w:tcPr>
            <w:tcW w:w="1132" w:type="dxa"/>
          </w:tcPr>
          <w:p w:rsidR="00F2750F" w:rsidRPr="00725DAE" w:rsidRDefault="00F2750F" w:rsidP="00725DAE">
            <w:pPr>
              <w:tabs>
                <w:tab w:val="left" w:pos="1994"/>
              </w:tabs>
              <w:spacing w:line="360" w:lineRule="auto"/>
              <w:jc w:val="both"/>
              <w:rPr>
                <w:sz w:val="20"/>
                <w:szCs w:val="20"/>
              </w:rPr>
            </w:pPr>
            <w:r w:rsidRPr="00725DAE">
              <w:rPr>
                <w:sz w:val="20"/>
                <w:szCs w:val="20"/>
              </w:rPr>
              <w:t>Groups</w:t>
            </w:r>
          </w:p>
        </w:tc>
        <w:tc>
          <w:tcPr>
            <w:tcW w:w="1583" w:type="dxa"/>
          </w:tcPr>
          <w:p w:rsidR="00F2750F" w:rsidRPr="00725DAE" w:rsidRDefault="00F2750F" w:rsidP="00725DAE">
            <w:pPr>
              <w:tabs>
                <w:tab w:val="left" w:pos="1994"/>
              </w:tabs>
              <w:spacing w:line="360" w:lineRule="auto"/>
              <w:jc w:val="both"/>
              <w:rPr>
                <w:sz w:val="20"/>
                <w:szCs w:val="20"/>
              </w:rPr>
            </w:pPr>
            <w:r w:rsidRPr="00725DAE">
              <w:rPr>
                <w:sz w:val="20"/>
                <w:szCs w:val="20"/>
              </w:rPr>
              <w:t>Weight gain</w:t>
            </w:r>
          </w:p>
        </w:tc>
        <w:tc>
          <w:tcPr>
            <w:tcW w:w="1140" w:type="dxa"/>
          </w:tcPr>
          <w:p w:rsidR="00F2750F" w:rsidRPr="00725DAE" w:rsidRDefault="00F2750F" w:rsidP="00725DAE">
            <w:pPr>
              <w:tabs>
                <w:tab w:val="left" w:pos="1994"/>
              </w:tabs>
              <w:spacing w:line="360" w:lineRule="auto"/>
              <w:jc w:val="both"/>
              <w:rPr>
                <w:sz w:val="20"/>
                <w:szCs w:val="20"/>
              </w:rPr>
            </w:pPr>
            <w:proofErr w:type="spellStart"/>
            <w:r w:rsidRPr="00725DAE">
              <w:rPr>
                <w:sz w:val="20"/>
                <w:szCs w:val="20"/>
              </w:rPr>
              <w:t>Diarrhea</w:t>
            </w:r>
            <w:proofErr w:type="spellEnd"/>
            <w:r w:rsidRPr="00725DAE">
              <w:rPr>
                <w:sz w:val="20"/>
                <w:szCs w:val="20"/>
              </w:rPr>
              <w:t xml:space="preserve"> </w:t>
            </w:r>
          </w:p>
        </w:tc>
        <w:tc>
          <w:tcPr>
            <w:tcW w:w="1856" w:type="dxa"/>
          </w:tcPr>
          <w:p w:rsidR="00F2750F" w:rsidRPr="00725DAE" w:rsidRDefault="00F2750F" w:rsidP="00725DAE">
            <w:pPr>
              <w:tabs>
                <w:tab w:val="left" w:pos="1994"/>
              </w:tabs>
              <w:spacing w:line="360" w:lineRule="auto"/>
              <w:jc w:val="both"/>
              <w:rPr>
                <w:sz w:val="20"/>
                <w:szCs w:val="20"/>
              </w:rPr>
            </w:pPr>
            <w:r w:rsidRPr="00725DAE">
              <w:rPr>
                <w:sz w:val="20"/>
                <w:szCs w:val="20"/>
              </w:rPr>
              <w:t xml:space="preserve">Nausea/vomiting </w:t>
            </w:r>
          </w:p>
        </w:tc>
        <w:tc>
          <w:tcPr>
            <w:tcW w:w="1856" w:type="dxa"/>
          </w:tcPr>
          <w:p w:rsidR="00F2750F" w:rsidRPr="00725DAE" w:rsidRDefault="00F2750F" w:rsidP="00725DAE">
            <w:pPr>
              <w:tabs>
                <w:tab w:val="left" w:pos="1994"/>
              </w:tabs>
              <w:spacing w:line="360" w:lineRule="auto"/>
              <w:jc w:val="both"/>
              <w:rPr>
                <w:sz w:val="20"/>
                <w:szCs w:val="20"/>
              </w:rPr>
            </w:pPr>
            <w:r w:rsidRPr="00725DAE">
              <w:rPr>
                <w:sz w:val="20"/>
                <w:szCs w:val="20"/>
              </w:rPr>
              <w:t>Abdominal pain</w:t>
            </w:r>
          </w:p>
        </w:tc>
      </w:tr>
      <w:tr w:rsidR="00F2750F" w:rsidRPr="00725DAE" w:rsidTr="000B0696">
        <w:tc>
          <w:tcPr>
            <w:tcW w:w="1132" w:type="dxa"/>
          </w:tcPr>
          <w:p w:rsidR="00F2750F" w:rsidRPr="00725DAE" w:rsidRDefault="00F2750F" w:rsidP="00725DAE">
            <w:pPr>
              <w:tabs>
                <w:tab w:val="left" w:pos="1994"/>
              </w:tabs>
              <w:spacing w:line="360" w:lineRule="auto"/>
              <w:jc w:val="both"/>
              <w:rPr>
                <w:sz w:val="20"/>
                <w:szCs w:val="20"/>
              </w:rPr>
            </w:pPr>
            <w:r w:rsidRPr="00725DAE">
              <w:rPr>
                <w:sz w:val="20"/>
                <w:szCs w:val="20"/>
              </w:rPr>
              <w:t xml:space="preserve">Group I </w:t>
            </w:r>
          </w:p>
          <w:p w:rsidR="00F2750F" w:rsidRPr="00725DAE" w:rsidRDefault="00F2750F" w:rsidP="00725DAE">
            <w:pPr>
              <w:tabs>
                <w:tab w:val="left" w:pos="1994"/>
              </w:tabs>
              <w:spacing w:line="360" w:lineRule="auto"/>
              <w:jc w:val="both"/>
              <w:rPr>
                <w:sz w:val="20"/>
                <w:szCs w:val="20"/>
              </w:rPr>
            </w:pPr>
            <w:r w:rsidRPr="00725DAE">
              <w:rPr>
                <w:sz w:val="20"/>
                <w:szCs w:val="20"/>
              </w:rPr>
              <w:t>[MET]</w:t>
            </w:r>
          </w:p>
        </w:tc>
        <w:tc>
          <w:tcPr>
            <w:tcW w:w="1583" w:type="dxa"/>
          </w:tcPr>
          <w:p w:rsidR="00F2750F" w:rsidRPr="00725DAE" w:rsidRDefault="00F2750F" w:rsidP="00725DAE">
            <w:pPr>
              <w:tabs>
                <w:tab w:val="left" w:pos="1994"/>
              </w:tabs>
              <w:spacing w:line="360" w:lineRule="auto"/>
              <w:jc w:val="both"/>
              <w:rPr>
                <w:sz w:val="20"/>
                <w:szCs w:val="20"/>
              </w:rPr>
            </w:pPr>
          </w:p>
        </w:tc>
        <w:tc>
          <w:tcPr>
            <w:tcW w:w="1140" w:type="dxa"/>
          </w:tcPr>
          <w:p w:rsidR="00F2750F" w:rsidRPr="00725DAE" w:rsidRDefault="00F2750F" w:rsidP="00725DAE">
            <w:pPr>
              <w:tabs>
                <w:tab w:val="left" w:pos="1994"/>
              </w:tabs>
              <w:spacing w:line="360" w:lineRule="auto"/>
              <w:jc w:val="both"/>
              <w:rPr>
                <w:sz w:val="20"/>
                <w:szCs w:val="20"/>
              </w:rPr>
            </w:pPr>
            <w:r w:rsidRPr="00725DAE">
              <w:rPr>
                <w:sz w:val="20"/>
                <w:szCs w:val="20"/>
              </w:rPr>
              <w:t xml:space="preserve">      2</w:t>
            </w:r>
          </w:p>
        </w:tc>
        <w:tc>
          <w:tcPr>
            <w:tcW w:w="1856" w:type="dxa"/>
          </w:tcPr>
          <w:p w:rsidR="00F2750F" w:rsidRPr="00725DAE" w:rsidRDefault="00F2750F" w:rsidP="00725DAE">
            <w:pPr>
              <w:tabs>
                <w:tab w:val="left" w:pos="1994"/>
              </w:tabs>
              <w:spacing w:line="360" w:lineRule="auto"/>
              <w:jc w:val="both"/>
              <w:rPr>
                <w:sz w:val="20"/>
                <w:szCs w:val="20"/>
              </w:rPr>
            </w:pPr>
            <w:r w:rsidRPr="00725DAE">
              <w:rPr>
                <w:sz w:val="20"/>
                <w:szCs w:val="20"/>
              </w:rPr>
              <w:t xml:space="preserve">         2</w:t>
            </w:r>
          </w:p>
        </w:tc>
        <w:tc>
          <w:tcPr>
            <w:tcW w:w="1856" w:type="dxa"/>
          </w:tcPr>
          <w:p w:rsidR="00F2750F" w:rsidRPr="00725DAE" w:rsidRDefault="00F2750F" w:rsidP="00725DAE">
            <w:pPr>
              <w:tabs>
                <w:tab w:val="left" w:pos="1994"/>
              </w:tabs>
              <w:spacing w:line="360" w:lineRule="auto"/>
              <w:jc w:val="both"/>
              <w:rPr>
                <w:sz w:val="20"/>
                <w:szCs w:val="20"/>
              </w:rPr>
            </w:pPr>
            <w:r w:rsidRPr="00725DAE">
              <w:rPr>
                <w:sz w:val="20"/>
                <w:szCs w:val="20"/>
              </w:rPr>
              <w:t>2</w:t>
            </w:r>
          </w:p>
        </w:tc>
      </w:tr>
      <w:tr w:rsidR="00F2750F" w:rsidRPr="00725DAE" w:rsidTr="000B0696">
        <w:tc>
          <w:tcPr>
            <w:tcW w:w="1132" w:type="dxa"/>
          </w:tcPr>
          <w:p w:rsidR="00F2750F" w:rsidRPr="00725DAE" w:rsidRDefault="00F2750F" w:rsidP="00725DAE">
            <w:pPr>
              <w:tabs>
                <w:tab w:val="left" w:pos="1994"/>
              </w:tabs>
              <w:spacing w:line="360" w:lineRule="auto"/>
              <w:jc w:val="both"/>
              <w:rPr>
                <w:sz w:val="20"/>
                <w:szCs w:val="20"/>
              </w:rPr>
            </w:pPr>
            <w:r w:rsidRPr="00725DAE">
              <w:rPr>
                <w:sz w:val="20"/>
                <w:szCs w:val="20"/>
              </w:rPr>
              <w:t>Group II</w:t>
            </w:r>
          </w:p>
          <w:p w:rsidR="00F2750F" w:rsidRPr="00725DAE" w:rsidRDefault="00F2750F" w:rsidP="00725DAE">
            <w:pPr>
              <w:tabs>
                <w:tab w:val="left" w:pos="1994"/>
              </w:tabs>
              <w:spacing w:line="360" w:lineRule="auto"/>
              <w:jc w:val="both"/>
              <w:rPr>
                <w:sz w:val="20"/>
                <w:szCs w:val="20"/>
              </w:rPr>
            </w:pPr>
            <w:r w:rsidRPr="00725DAE">
              <w:rPr>
                <w:sz w:val="20"/>
                <w:szCs w:val="20"/>
              </w:rPr>
              <w:t>[</w:t>
            </w:r>
            <w:proofErr w:type="spellStart"/>
            <w:r w:rsidRPr="00725DAE">
              <w:rPr>
                <w:sz w:val="20"/>
                <w:szCs w:val="20"/>
              </w:rPr>
              <w:t>pio</w:t>
            </w:r>
            <w:proofErr w:type="spellEnd"/>
            <w:r w:rsidRPr="00725DAE">
              <w:rPr>
                <w:sz w:val="20"/>
                <w:szCs w:val="20"/>
              </w:rPr>
              <w:t>]</w:t>
            </w:r>
          </w:p>
        </w:tc>
        <w:tc>
          <w:tcPr>
            <w:tcW w:w="1583" w:type="dxa"/>
          </w:tcPr>
          <w:p w:rsidR="00F2750F" w:rsidRPr="00725DAE" w:rsidRDefault="00F2750F" w:rsidP="00725DAE">
            <w:pPr>
              <w:tabs>
                <w:tab w:val="left" w:pos="1994"/>
              </w:tabs>
              <w:spacing w:line="360" w:lineRule="auto"/>
              <w:jc w:val="both"/>
              <w:rPr>
                <w:sz w:val="20"/>
                <w:szCs w:val="20"/>
              </w:rPr>
            </w:pPr>
            <w:r w:rsidRPr="00725DAE">
              <w:rPr>
                <w:sz w:val="20"/>
                <w:szCs w:val="20"/>
              </w:rPr>
              <w:t xml:space="preserve">        1</w:t>
            </w:r>
          </w:p>
        </w:tc>
        <w:tc>
          <w:tcPr>
            <w:tcW w:w="1140" w:type="dxa"/>
          </w:tcPr>
          <w:p w:rsidR="00F2750F" w:rsidRPr="00725DAE" w:rsidRDefault="00F2750F" w:rsidP="00725DAE">
            <w:pPr>
              <w:tabs>
                <w:tab w:val="left" w:pos="1994"/>
              </w:tabs>
              <w:spacing w:line="360" w:lineRule="auto"/>
              <w:jc w:val="both"/>
              <w:rPr>
                <w:sz w:val="20"/>
                <w:szCs w:val="20"/>
              </w:rPr>
            </w:pPr>
          </w:p>
        </w:tc>
        <w:tc>
          <w:tcPr>
            <w:tcW w:w="1856" w:type="dxa"/>
          </w:tcPr>
          <w:p w:rsidR="00F2750F" w:rsidRPr="00725DAE" w:rsidRDefault="00F2750F" w:rsidP="00725DAE">
            <w:pPr>
              <w:tabs>
                <w:tab w:val="left" w:pos="1994"/>
              </w:tabs>
              <w:spacing w:line="360" w:lineRule="auto"/>
              <w:jc w:val="both"/>
              <w:rPr>
                <w:sz w:val="20"/>
                <w:szCs w:val="20"/>
              </w:rPr>
            </w:pPr>
          </w:p>
        </w:tc>
        <w:tc>
          <w:tcPr>
            <w:tcW w:w="1856" w:type="dxa"/>
          </w:tcPr>
          <w:p w:rsidR="00F2750F" w:rsidRPr="00725DAE" w:rsidRDefault="00F2750F" w:rsidP="00725DAE">
            <w:pPr>
              <w:tabs>
                <w:tab w:val="left" w:pos="1994"/>
              </w:tabs>
              <w:spacing w:line="360" w:lineRule="auto"/>
              <w:jc w:val="both"/>
              <w:rPr>
                <w:sz w:val="20"/>
                <w:szCs w:val="20"/>
              </w:rPr>
            </w:pPr>
          </w:p>
        </w:tc>
      </w:tr>
      <w:tr w:rsidR="00F2750F" w:rsidRPr="00725DAE" w:rsidTr="000B0696">
        <w:tc>
          <w:tcPr>
            <w:tcW w:w="1132" w:type="dxa"/>
          </w:tcPr>
          <w:p w:rsidR="00F2750F" w:rsidRPr="00725DAE" w:rsidRDefault="00F2750F" w:rsidP="00725DAE">
            <w:pPr>
              <w:tabs>
                <w:tab w:val="left" w:pos="1994"/>
              </w:tabs>
              <w:spacing w:line="360" w:lineRule="auto"/>
              <w:jc w:val="both"/>
              <w:rPr>
                <w:sz w:val="20"/>
                <w:szCs w:val="20"/>
              </w:rPr>
            </w:pPr>
            <w:r w:rsidRPr="00725DAE">
              <w:rPr>
                <w:sz w:val="20"/>
                <w:szCs w:val="20"/>
              </w:rPr>
              <w:t xml:space="preserve">Total </w:t>
            </w:r>
          </w:p>
          <w:p w:rsidR="00F2750F" w:rsidRPr="00725DAE" w:rsidRDefault="00F2750F" w:rsidP="00725DAE">
            <w:pPr>
              <w:tabs>
                <w:tab w:val="left" w:pos="1994"/>
              </w:tabs>
              <w:spacing w:line="360" w:lineRule="auto"/>
              <w:jc w:val="both"/>
              <w:rPr>
                <w:sz w:val="20"/>
                <w:szCs w:val="20"/>
              </w:rPr>
            </w:pPr>
          </w:p>
        </w:tc>
        <w:tc>
          <w:tcPr>
            <w:tcW w:w="1583" w:type="dxa"/>
          </w:tcPr>
          <w:p w:rsidR="00F2750F" w:rsidRPr="00725DAE" w:rsidRDefault="00F2750F" w:rsidP="00725DAE">
            <w:pPr>
              <w:tabs>
                <w:tab w:val="left" w:pos="1994"/>
              </w:tabs>
              <w:spacing w:line="360" w:lineRule="auto"/>
              <w:jc w:val="both"/>
              <w:rPr>
                <w:sz w:val="20"/>
                <w:szCs w:val="20"/>
              </w:rPr>
            </w:pPr>
            <w:r w:rsidRPr="00725DAE">
              <w:rPr>
                <w:sz w:val="20"/>
                <w:szCs w:val="20"/>
              </w:rPr>
              <w:t xml:space="preserve">        1</w:t>
            </w:r>
          </w:p>
        </w:tc>
        <w:tc>
          <w:tcPr>
            <w:tcW w:w="1140" w:type="dxa"/>
          </w:tcPr>
          <w:p w:rsidR="00F2750F" w:rsidRPr="00725DAE" w:rsidRDefault="00F2750F" w:rsidP="00725DAE">
            <w:pPr>
              <w:tabs>
                <w:tab w:val="left" w:pos="1994"/>
              </w:tabs>
              <w:spacing w:line="360" w:lineRule="auto"/>
              <w:jc w:val="both"/>
              <w:rPr>
                <w:sz w:val="20"/>
                <w:szCs w:val="20"/>
              </w:rPr>
            </w:pPr>
            <w:r w:rsidRPr="00725DAE">
              <w:rPr>
                <w:sz w:val="20"/>
                <w:szCs w:val="20"/>
              </w:rPr>
              <w:t xml:space="preserve">      2</w:t>
            </w:r>
          </w:p>
        </w:tc>
        <w:tc>
          <w:tcPr>
            <w:tcW w:w="1856" w:type="dxa"/>
          </w:tcPr>
          <w:p w:rsidR="00F2750F" w:rsidRPr="00725DAE" w:rsidRDefault="00F2750F" w:rsidP="00725DAE">
            <w:pPr>
              <w:tabs>
                <w:tab w:val="left" w:pos="1994"/>
              </w:tabs>
              <w:spacing w:line="360" w:lineRule="auto"/>
              <w:jc w:val="both"/>
              <w:rPr>
                <w:sz w:val="20"/>
                <w:szCs w:val="20"/>
              </w:rPr>
            </w:pPr>
            <w:r w:rsidRPr="00725DAE">
              <w:rPr>
                <w:sz w:val="20"/>
                <w:szCs w:val="20"/>
              </w:rPr>
              <w:t xml:space="preserve">            2</w:t>
            </w:r>
          </w:p>
        </w:tc>
        <w:tc>
          <w:tcPr>
            <w:tcW w:w="1856" w:type="dxa"/>
          </w:tcPr>
          <w:p w:rsidR="00F2750F" w:rsidRPr="00725DAE" w:rsidRDefault="00F2750F" w:rsidP="00725DAE">
            <w:pPr>
              <w:tabs>
                <w:tab w:val="left" w:pos="1994"/>
              </w:tabs>
              <w:spacing w:line="360" w:lineRule="auto"/>
              <w:jc w:val="both"/>
              <w:rPr>
                <w:sz w:val="20"/>
                <w:szCs w:val="20"/>
              </w:rPr>
            </w:pPr>
            <w:r w:rsidRPr="00725DAE">
              <w:rPr>
                <w:sz w:val="20"/>
                <w:szCs w:val="20"/>
              </w:rPr>
              <w:t>2</w:t>
            </w:r>
          </w:p>
        </w:tc>
      </w:tr>
    </w:tbl>
    <w:p w:rsidR="00725DAE" w:rsidRDefault="00725DAE" w:rsidP="00725DAE">
      <w:pPr>
        <w:tabs>
          <w:tab w:val="left" w:pos="1994"/>
        </w:tabs>
        <w:spacing w:line="360" w:lineRule="auto"/>
        <w:jc w:val="both"/>
        <w:rPr>
          <w:sz w:val="20"/>
          <w:szCs w:val="20"/>
        </w:rPr>
      </w:pPr>
    </w:p>
    <w:p w:rsidR="00725DAE" w:rsidRDefault="00F2750F" w:rsidP="00725DAE">
      <w:pPr>
        <w:tabs>
          <w:tab w:val="left" w:pos="1994"/>
        </w:tabs>
        <w:spacing w:line="360" w:lineRule="auto"/>
        <w:jc w:val="both"/>
        <w:rPr>
          <w:sz w:val="20"/>
          <w:szCs w:val="20"/>
        </w:rPr>
      </w:pPr>
      <w:r w:rsidRPr="00725DAE">
        <w:rPr>
          <w:sz w:val="20"/>
          <w:szCs w:val="20"/>
        </w:rPr>
        <w:t xml:space="preserve">Weight </w:t>
      </w:r>
      <w:proofErr w:type="gramStart"/>
      <w:r w:rsidRPr="00725DAE">
        <w:rPr>
          <w:sz w:val="20"/>
          <w:szCs w:val="20"/>
        </w:rPr>
        <w:t>gain  was</w:t>
      </w:r>
      <w:proofErr w:type="gramEnd"/>
      <w:r w:rsidRPr="00725DAE">
        <w:rPr>
          <w:sz w:val="20"/>
          <w:szCs w:val="20"/>
        </w:rPr>
        <w:t xml:space="preserve"> reported in group II in one patient only while diarrhea and abdominal pain was seen in two patients  in group I . </w:t>
      </w:r>
      <w:proofErr w:type="gramStart"/>
      <w:r w:rsidRPr="00725DAE">
        <w:rPr>
          <w:sz w:val="20"/>
          <w:szCs w:val="20"/>
        </w:rPr>
        <w:t>nausea/</w:t>
      </w:r>
      <w:proofErr w:type="gramEnd"/>
      <w:r w:rsidRPr="00725DAE">
        <w:rPr>
          <w:sz w:val="20"/>
          <w:szCs w:val="20"/>
        </w:rPr>
        <w:t>vomiting was reported b</w:t>
      </w:r>
      <w:r w:rsidR="00725DAE">
        <w:rPr>
          <w:sz w:val="20"/>
          <w:szCs w:val="20"/>
        </w:rPr>
        <w:t xml:space="preserve">uy  two patients in group I.   </w:t>
      </w:r>
    </w:p>
    <w:p w:rsidR="00F2750F" w:rsidRPr="00725DAE" w:rsidRDefault="00F2750F" w:rsidP="00725DAE">
      <w:pPr>
        <w:tabs>
          <w:tab w:val="left" w:pos="1994"/>
        </w:tabs>
        <w:spacing w:line="360" w:lineRule="auto"/>
        <w:jc w:val="both"/>
        <w:rPr>
          <w:sz w:val="20"/>
          <w:szCs w:val="20"/>
        </w:rPr>
      </w:pPr>
      <w:r w:rsidRPr="00725DAE">
        <w:rPr>
          <w:b/>
          <w:sz w:val="20"/>
          <w:szCs w:val="20"/>
        </w:rPr>
        <w:t>DISCUSSION</w:t>
      </w:r>
    </w:p>
    <w:p w:rsidR="00F2750F" w:rsidRPr="00725DAE" w:rsidRDefault="00F2750F" w:rsidP="00725DAE">
      <w:pPr>
        <w:autoSpaceDE w:val="0"/>
        <w:autoSpaceDN w:val="0"/>
        <w:adjustRightInd w:val="0"/>
        <w:spacing w:line="360" w:lineRule="auto"/>
        <w:jc w:val="both"/>
        <w:rPr>
          <w:sz w:val="20"/>
          <w:szCs w:val="20"/>
        </w:rPr>
      </w:pPr>
      <w:r w:rsidRPr="00725DAE">
        <w:rPr>
          <w:sz w:val="20"/>
          <w:szCs w:val="20"/>
        </w:rPr>
        <w:t>INSULIN RESISTANCE and relative insulin deficiency contribute to the pathogenesis of prediabetes</w:t>
      </w:r>
      <w:r w:rsidR="00531D3C" w:rsidRPr="00725DAE">
        <w:rPr>
          <w:sz w:val="20"/>
          <w:szCs w:val="20"/>
          <w:vertAlign w:val="superscript"/>
        </w:rPr>
        <w:t>12</w:t>
      </w:r>
      <w:r w:rsidRPr="00725DAE">
        <w:rPr>
          <w:sz w:val="20"/>
          <w:szCs w:val="20"/>
        </w:rPr>
        <w:t xml:space="preserve"> Presently, objectives for treatment of </w:t>
      </w:r>
      <w:proofErr w:type="spellStart"/>
      <w:r w:rsidRPr="00725DAE">
        <w:rPr>
          <w:sz w:val="20"/>
          <w:szCs w:val="20"/>
        </w:rPr>
        <w:t>prediabetes</w:t>
      </w:r>
      <w:proofErr w:type="spellEnd"/>
      <w:r w:rsidRPr="00725DAE">
        <w:rPr>
          <w:sz w:val="20"/>
          <w:szCs w:val="20"/>
        </w:rPr>
        <w:t xml:space="preserve"> include not only normalization of hyperglycemia, but also reduction </w:t>
      </w:r>
      <w:proofErr w:type="gramStart"/>
      <w:r w:rsidRPr="00725DAE">
        <w:rPr>
          <w:sz w:val="20"/>
          <w:szCs w:val="20"/>
        </w:rPr>
        <w:t>of  complication</w:t>
      </w:r>
      <w:proofErr w:type="gramEnd"/>
      <w:r w:rsidRPr="00725DAE">
        <w:rPr>
          <w:sz w:val="20"/>
          <w:szCs w:val="20"/>
        </w:rPr>
        <w:t xml:space="preserve"> associated with insulin resistance. Directly targeting underlying insulin resistance in the periphery is a relatively new approach for treating </w:t>
      </w:r>
      <w:proofErr w:type="spellStart"/>
      <w:r w:rsidRPr="00725DAE">
        <w:rPr>
          <w:sz w:val="20"/>
          <w:szCs w:val="20"/>
        </w:rPr>
        <w:t>prediabetes</w:t>
      </w:r>
      <w:proofErr w:type="spellEnd"/>
      <w:r w:rsidRPr="00725DAE">
        <w:rPr>
          <w:sz w:val="20"/>
          <w:szCs w:val="20"/>
        </w:rPr>
        <w:t xml:space="preserve"> and   type 2 diabetes. Beyond enhancements in glycemic control, reduction of insulin resistance may confer beneficial changes in additional components of insulin resistance syndrome, independent of improvements in glucose metabolism.</w:t>
      </w:r>
      <w:r w:rsidR="00531D3C" w:rsidRPr="00725DAE">
        <w:rPr>
          <w:sz w:val="20"/>
          <w:szCs w:val="20"/>
          <w:vertAlign w:val="superscript"/>
        </w:rPr>
        <w:t>13</w:t>
      </w:r>
      <w:r w:rsidRPr="00725DAE">
        <w:rPr>
          <w:sz w:val="20"/>
          <w:szCs w:val="20"/>
        </w:rPr>
        <w:t xml:space="preserve"> </w:t>
      </w:r>
      <w:proofErr w:type="gramStart"/>
      <w:r w:rsidRPr="00725DAE">
        <w:rPr>
          <w:sz w:val="20"/>
          <w:szCs w:val="20"/>
        </w:rPr>
        <w:t>Thus,</w:t>
      </w:r>
      <w:proofErr w:type="gramEnd"/>
      <w:r w:rsidRPr="00725DAE">
        <w:rPr>
          <w:sz w:val="20"/>
          <w:szCs w:val="20"/>
        </w:rPr>
        <w:t xml:space="preserve"> oral </w:t>
      </w:r>
      <w:proofErr w:type="spellStart"/>
      <w:r w:rsidRPr="00725DAE">
        <w:rPr>
          <w:sz w:val="20"/>
          <w:szCs w:val="20"/>
        </w:rPr>
        <w:t>antihyperglycemic</w:t>
      </w:r>
      <w:proofErr w:type="spellEnd"/>
      <w:r w:rsidRPr="00725DAE">
        <w:rPr>
          <w:sz w:val="20"/>
          <w:szCs w:val="20"/>
        </w:rPr>
        <w:t xml:space="preserve"> medication therapies that target elevated insulin resistance are rational treatment strategies that also improve the cardiovascular risk profile.</w:t>
      </w:r>
    </w:p>
    <w:p w:rsidR="00F2750F" w:rsidRPr="00725DAE" w:rsidRDefault="00F2750F" w:rsidP="00725DAE">
      <w:pPr>
        <w:autoSpaceDE w:val="0"/>
        <w:autoSpaceDN w:val="0"/>
        <w:adjustRightInd w:val="0"/>
        <w:spacing w:line="360" w:lineRule="auto"/>
        <w:jc w:val="both"/>
        <w:rPr>
          <w:sz w:val="20"/>
          <w:szCs w:val="20"/>
        </w:rPr>
      </w:pPr>
      <w:r w:rsidRPr="00725DAE">
        <w:rPr>
          <w:sz w:val="20"/>
          <w:szCs w:val="20"/>
        </w:rPr>
        <w:lastRenderedPageBreak/>
        <w:tab/>
        <w:t xml:space="preserve"> Pioglitazone is a thiazolidinedione (TZD) insulin </w:t>
      </w:r>
      <w:proofErr w:type="gramStart"/>
      <w:r w:rsidRPr="00725DAE">
        <w:rPr>
          <w:sz w:val="20"/>
          <w:szCs w:val="20"/>
        </w:rPr>
        <w:t>sensitizer .</w:t>
      </w:r>
      <w:proofErr w:type="gramEnd"/>
      <w:r w:rsidRPr="00725DAE">
        <w:rPr>
          <w:sz w:val="20"/>
          <w:szCs w:val="20"/>
        </w:rPr>
        <w:t xml:space="preserve"> As a nuclear peroxisome proliferator-activated receptor (PPAR- γ) agonist, it improves blood </w:t>
      </w:r>
      <w:proofErr w:type="gramStart"/>
      <w:r w:rsidRPr="00725DAE">
        <w:rPr>
          <w:sz w:val="20"/>
          <w:szCs w:val="20"/>
        </w:rPr>
        <w:t>glucose  by</w:t>
      </w:r>
      <w:proofErr w:type="gramEnd"/>
      <w:r w:rsidRPr="00725DAE">
        <w:rPr>
          <w:sz w:val="20"/>
          <w:szCs w:val="20"/>
        </w:rPr>
        <w:t xml:space="preserve"> modulating the transcription of genes that play key roles in carbohydrate metabolism respectively</w:t>
      </w:r>
    </w:p>
    <w:p w:rsidR="00F2750F" w:rsidRPr="00725DAE" w:rsidRDefault="00F2750F" w:rsidP="00725DAE">
      <w:pPr>
        <w:autoSpaceDE w:val="0"/>
        <w:autoSpaceDN w:val="0"/>
        <w:adjustRightInd w:val="0"/>
        <w:spacing w:line="360" w:lineRule="auto"/>
        <w:jc w:val="both"/>
        <w:rPr>
          <w:sz w:val="20"/>
          <w:szCs w:val="20"/>
        </w:rPr>
      </w:pPr>
      <w:r w:rsidRPr="00725DAE">
        <w:rPr>
          <w:sz w:val="20"/>
          <w:szCs w:val="20"/>
        </w:rPr>
        <w:t xml:space="preserve">Metformin (a </w:t>
      </w:r>
      <w:proofErr w:type="spellStart"/>
      <w:r w:rsidRPr="00725DAE">
        <w:rPr>
          <w:sz w:val="20"/>
          <w:szCs w:val="20"/>
        </w:rPr>
        <w:t>biguanide</w:t>
      </w:r>
      <w:proofErr w:type="spellEnd"/>
      <w:r w:rsidRPr="00725DAE">
        <w:rPr>
          <w:sz w:val="20"/>
          <w:szCs w:val="20"/>
        </w:rPr>
        <w:t xml:space="preserve">) improves glycemic control primarily by sensitizing the liver to the effects of insulin, thus decreasing hepatic insulin resistance and glucose output through a reduction in gluconeogenesis. </w:t>
      </w:r>
    </w:p>
    <w:p w:rsidR="00F2750F" w:rsidRPr="00725DAE" w:rsidRDefault="00F2750F" w:rsidP="00725DAE">
      <w:pPr>
        <w:autoSpaceDE w:val="0"/>
        <w:autoSpaceDN w:val="0"/>
        <w:adjustRightInd w:val="0"/>
        <w:spacing w:line="360" w:lineRule="auto"/>
        <w:jc w:val="both"/>
        <w:rPr>
          <w:sz w:val="20"/>
          <w:szCs w:val="20"/>
        </w:rPr>
      </w:pPr>
      <w:r w:rsidRPr="00725DAE">
        <w:rPr>
          <w:sz w:val="20"/>
          <w:szCs w:val="20"/>
        </w:rPr>
        <w:tab/>
        <w:t xml:space="preserve">Both pioglitazone and metformin are first-line therapeutic interventions in the management of type 2 diabetes patients, but their mechanisms of action are different and there are no data that directly compare their </w:t>
      </w:r>
      <w:proofErr w:type="spellStart"/>
      <w:r w:rsidRPr="00725DAE">
        <w:rPr>
          <w:sz w:val="20"/>
          <w:szCs w:val="20"/>
        </w:rPr>
        <w:t>antihyperglycemic</w:t>
      </w:r>
      <w:proofErr w:type="spellEnd"/>
      <w:r w:rsidRPr="00725DAE">
        <w:rPr>
          <w:sz w:val="20"/>
          <w:szCs w:val="20"/>
        </w:rPr>
        <w:t xml:space="preserve"> efficacy, their effects on insulin resistance, or their tolerability on </w:t>
      </w:r>
      <w:proofErr w:type="gramStart"/>
      <w:r w:rsidRPr="00725DAE">
        <w:rPr>
          <w:sz w:val="20"/>
          <w:szCs w:val="20"/>
        </w:rPr>
        <w:t>recently  diagnosed</w:t>
      </w:r>
      <w:proofErr w:type="gramEnd"/>
      <w:r w:rsidRPr="00725DAE">
        <w:rPr>
          <w:sz w:val="20"/>
          <w:szCs w:val="20"/>
        </w:rPr>
        <w:t xml:space="preserve">  </w:t>
      </w:r>
      <w:proofErr w:type="spellStart"/>
      <w:r w:rsidRPr="00725DAE">
        <w:rPr>
          <w:sz w:val="20"/>
          <w:szCs w:val="20"/>
        </w:rPr>
        <w:t>prediabetic</w:t>
      </w:r>
      <w:proofErr w:type="spellEnd"/>
      <w:r w:rsidRPr="00725DAE">
        <w:rPr>
          <w:sz w:val="20"/>
          <w:szCs w:val="20"/>
        </w:rPr>
        <w:t xml:space="preserve"> Oral </w:t>
      </w:r>
      <w:proofErr w:type="spellStart"/>
      <w:r w:rsidRPr="00725DAE">
        <w:rPr>
          <w:sz w:val="20"/>
          <w:szCs w:val="20"/>
        </w:rPr>
        <w:t>Antidiabetic</w:t>
      </w:r>
      <w:proofErr w:type="spellEnd"/>
      <w:r w:rsidRPr="00725DAE">
        <w:rPr>
          <w:sz w:val="20"/>
          <w:szCs w:val="20"/>
        </w:rPr>
        <w:t xml:space="preserve"> Medication naive patients. Therefore, we compared the efficacy and tolerability of </w:t>
      </w:r>
      <w:proofErr w:type="spellStart"/>
      <w:r w:rsidRPr="00725DAE">
        <w:rPr>
          <w:sz w:val="20"/>
          <w:szCs w:val="20"/>
        </w:rPr>
        <w:t>monotherapy</w:t>
      </w:r>
      <w:proofErr w:type="spellEnd"/>
      <w:r w:rsidRPr="00725DAE">
        <w:rPr>
          <w:sz w:val="20"/>
          <w:szCs w:val="20"/>
        </w:rPr>
        <w:t xml:space="preserve"> with pioglitazone to metformin in this population. The primary objective of the study was to compare the effect of each treatment on HOMA IR </w:t>
      </w:r>
      <w:proofErr w:type="gramStart"/>
      <w:r w:rsidRPr="00725DAE">
        <w:rPr>
          <w:sz w:val="20"/>
          <w:szCs w:val="20"/>
        </w:rPr>
        <w:t xml:space="preserve">and  </w:t>
      </w:r>
      <w:proofErr w:type="spellStart"/>
      <w:r w:rsidRPr="00725DAE">
        <w:rPr>
          <w:sz w:val="20"/>
          <w:szCs w:val="20"/>
        </w:rPr>
        <w:t>haemoglobin</w:t>
      </w:r>
      <w:proofErr w:type="spellEnd"/>
      <w:proofErr w:type="gramEnd"/>
      <w:r w:rsidRPr="00725DAE">
        <w:rPr>
          <w:sz w:val="20"/>
          <w:szCs w:val="20"/>
        </w:rPr>
        <w:t xml:space="preserve"> A1C (A1C).</w:t>
      </w:r>
    </w:p>
    <w:p w:rsidR="00F2750F" w:rsidRPr="00725DAE" w:rsidRDefault="00F2750F" w:rsidP="00725DAE">
      <w:pPr>
        <w:autoSpaceDE w:val="0"/>
        <w:autoSpaceDN w:val="0"/>
        <w:adjustRightInd w:val="0"/>
        <w:spacing w:line="360" w:lineRule="auto"/>
        <w:jc w:val="both"/>
        <w:rPr>
          <w:b/>
          <w:i/>
          <w:iCs/>
          <w:sz w:val="20"/>
          <w:szCs w:val="20"/>
        </w:rPr>
      </w:pPr>
      <w:proofErr w:type="gramStart"/>
      <w:r w:rsidRPr="00725DAE">
        <w:rPr>
          <w:b/>
          <w:i/>
          <w:iCs/>
          <w:sz w:val="20"/>
          <w:szCs w:val="20"/>
        </w:rPr>
        <w:t>Effects on HOMA IR.</w:t>
      </w:r>
      <w:proofErr w:type="gramEnd"/>
      <w:r w:rsidRPr="00725DAE">
        <w:rPr>
          <w:b/>
          <w:i/>
          <w:iCs/>
          <w:sz w:val="20"/>
          <w:szCs w:val="20"/>
        </w:rPr>
        <w:t xml:space="preserve">  </w:t>
      </w:r>
    </w:p>
    <w:p w:rsidR="00F2750F" w:rsidRPr="00725DAE" w:rsidRDefault="00F2750F" w:rsidP="00725DAE">
      <w:pPr>
        <w:autoSpaceDE w:val="0"/>
        <w:autoSpaceDN w:val="0"/>
        <w:adjustRightInd w:val="0"/>
        <w:spacing w:line="360" w:lineRule="auto"/>
        <w:jc w:val="both"/>
        <w:rPr>
          <w:sz w:val="20"/>
          <w:szCs w:val="20"/>
        </w:rPr>
      </w:pPr>
      <w:r w:rsidRPr="00725DAE">
        <w:rPr>
          <w:sz w:val="20"/>
          <w:szCs w:val="20"/>
        </w:rPr>
        <w:t xml:space="preserve">Both   groups showed significant reduction in HOMA-IR </w:t>
      </w:r>
      <w:proofErr w:type="gramStart"/>
      <w:r w:rsidRPr="00725DAE">
        <w:rPr>
          <w:sz w:val="20"/>
          <w:szCs w:val="20"/>
        </w:rPr>
        <w:t>level  at</w:t>
      </w:r>
      <w:proofErr w:type="gramEnd"/>
      <w:r w:rsidRPr="00725DAE">
        <w:rPr>
          <w:sz w:val="20"/>
          <w:szCs w:val="20"/>
        </w:rPr>
        <w:t xml:space="preserve"> the end of study period. After six months of treatment mean HOMA-IR was reduced from </w:t>
      </w:r>
      <w:proofErr w:type="gramStart"/>
      <w:r w:rsidRPr="00725DAE">
        <w:rPr>
          <w:sz w:val="20"/>
          <w:szCs w:val="20"/>
        </w:rPr>
        <w:t>3.82  to</w:t>
      </w:r>
      <w:proofErr w:type="gramEnd"/>
      <w:r w:rsidRPr="00725DAE">
        <w:rPr>
          <w:sz w:val="20"/>
          <w:szCs w:val="20"/>
        </w:rPr>
        <w:t xml:space="preserve"> 3.20 from baseline which was statistically highly significant [ -0.62,</w:t>
      </w:r>
      <w:r w:rsidR="00D05E11" w:rsidRPr="00725DAE">
        <w:rPr>
          <w:sz w:val="20"/>
          <w:szCs w:val="20"/>
        </w:rPr>
        <w:t xml:space="preserve"> </w:t>
      </w:r>
      <w:r w:rsidRPr="00725DAE">
        <w:rPr>
          <w:sz w:val="20"/>
          <w:szCs w:val="20"/>
        </w:rPr>
        <w:t>p&lt; 0.0001] in metformin group 1</w:t>
      </w:r>
      <w:r w:rsidRPr="00725DAE">
        <w:rPr>
          <w:b/>
          <w:sz w:val="20"/>
          <w:szCs w:val="20"/>
        </w:rPr>
        <w:t xml:space="preserve">. MP van der </w:t>
      </w:r>
      <w:proofErr w:type="spellStart"/>
      <w:proofErr w:type="gramStart"/>
      <w:r w:rsidRPr="00725DAE">
        <w:rPr>
          <w:b/>
          <w:sz w:val="20"/>
          <w:szCs w:val="20"/>
        </w:rPr>
        <w:t>Aa</w:t>
      </w:r>
      <w:proofErr w:type="spellEnd"/>
      <w:proofErr w:type="gramEnd"/>
      <w:r w:rsidRPr="00725DAE">
        <w:rPr>
          <w:b/>
          <w:sz w:val="20"/>
          <w:szCs w:val="20"/>
        </w:rPr>
        <w:t xml:space="preserve"> et al </w:t>
      </w:r>
      <w:r w:rsidR="00021EA2" w:rsidRPr="00725DAE">
        <w:rPr>
          <w:b/>
          <w:sz w:val="20"/>
          <w:szCs w:val="20"/>
          <w:vertAlign w:val="superscript"/>
        </w:rPr>
        <w:t>14</w:t>
      </w:r>
      <w:r w:rsidRPr="00725DAE">
        <w:rPr>
          <w:sz w:val="20"/>
          <w:szCs w:val="20"/>
        </w:rPr>
        <w:t xml:space="preserve"> showed mean HOMA IR reduction from baseline</w:t>
      </w:r>
      <w:r w:rsidR="00D05E11" w:rsidRPr="00725DAE">
        <w:rPr>
          <w:sz w:val="20"/>
          <w:szCs w:val="20"/>
        </w:rPr>
        <w:t xml:space="preserve"> </w:t>
      </w:r>
      <w:r w:rsidRPr="00725DAE">
        <w:rPr>
          <w:sz w:val="20"/>
          <w:szCs w:val="20"/>
        </w:rPr>
        <w:t>(-1.0, p&lt; 0.02) with metformin which is comparable with our study. Mean HOMA-IR was reduced f</w:t>
      </w:r>
      <w:r w:rsidR="00D05E11" w:rsidRPr="00725DAE">
        <w:rPr>
          <w:sz w:val="20"/>
          <w:szCs w:val="20"/>
        </w:rPr>
        <w:t xml:space="preserve">rom 4.04 to 3.03 from baseline which was statistically </w:t>
      </w:r>
      <w:r w:rsidRPr="00725DAE">
        <w:rPr>
          <w:sz w:val="20"/>
          <w:szCs w:val="20"/>
        </w:rPr>
        <w:t xml:space="preserve">highly significant [-1.01 p &lt;0.0001] in </w:t>
      </w:r>
      <w:proofErr w:type="gramStart"/>
      <w:r w:rsidRPr="00725DAE">
        <w:rPr>
          <w:sz w:val="20"/>
          <w:szCs w:val="20"/>
        </w:rPr>
        <w:t>pioglitazone  group</w:t>
      </w:r>
      <w:proofErr w:type="gramEnd"/>
      <w:r w:rsidRPr="00725DAE">
        <w:rPr>
          <w:sz w:val="20"/>
          <w:szCs w:val="20"/>
        </w:rPr>
        <w:t xml:space="preserve"> 2.  </w:t>
      </w:r>
      <w:r w:rsidRPr="00725DAE">
        <w:rPr>
          <w:b/>
          <w:sz w:val="20"/>
          <w:szCs w:val="20"/>
        </w:rPr>
        <w:t xml:space="preserve">Silvio E. </w:t>
      </w:r>
      <w:proofErr w:type="spellStart"/>
      <w:r w:rsidRPr="00725DAE">
        <w:rPr>
          <w:b/>
          <w:sz w:val="20"/>
          <w:szCs w:val="20"/>
        </w:rPr>
        <w:t>Inzucchi</w:t>
      </w:r>
      <w:proofErr w:type="spellEnd"/>
      <w:r w:rsidRPr="00725DAE">
        <w:rPr>
          <w:b/>
          <w:sz w:val="20"/>
          <w:szCs w:val="20"/>
        </w:rPr>
        <w:t xml:space="preserve"> et al</w:t>
      </w:r>
      <w:r w:rsidRPr="00725DAE">
        <w:rPr>
          <w:sz w:val="20"/>
          <w:szCs w:val="20"/>
        </w:rPr>
        <w:t xml:space="preserve"> </w:t>
      </w:r>
      <w:r w:rsidR="00021EA2" w:rsidRPr="00725DAE">
        <w:rPr>
          <w:sz w:val="20"/>
          <w:szCs w:val="20"/>
          <w:vertAlign w:val="superscript"/>
        </w:rPr>
        <w:t>15</w:t>
      </w:r>
      <w:r w:rsidRPr="00725DAE">
        <w:rPr>
          <w:sz w:val="20"/>
          <w:szCs w:val="20"/>
        </w:rPr>
        <w:t xml:space="preserve"> showed mean HOMA IR reduction from baseline</w:t>
      </w:r>
      <w:proofErr w:type="gramStart"/>
      <w:r w:rsidRPr="00725DAE">
        <w:rPr>
          <w:sz w:val="20"/>
          <w:szCs w:val="20"/>
        </w:rPr>
        <w:t>.(</w:t>
      </w:r>
      <w:proofErr w:type="gramEnd"/>
      <w:r w:rsidRPr="00725DAE">
        <w:rPr>
          <w:sz w:val="20"/>
          <w:szCs w:val="20"/>
        </w:rPr>
        <w:t xml:space="preserve">-1.3, p&lt; 0.0001) with pioglitazone.  However mean difference </w:t>
      </w:r>
      <w:proofErr w:type="gramStart"/>
      <w:r w:rsidRPr="00725DAE">
        <w:rPr>
          <w:sz w:val="20"/>
          <w:szCs w:val="20"/>
        </w:rPr>
        <w:t>change  from</w:t>
      </w:r>
      <w:proofErr w:type="gramEnd"/>
      <w:r w:rsidRPr="00725DAE">
        <w:rPr>
          <w:sz w:val="20"/>
          <w:szCs w:val="20"/>
        </w:rPr>
        <w:t xml:space="preserve"> baseline was greater with pioglitazone treated group  when compared with metformin group ( -1.01 </w:t>
      </w:r>
      <w:proofErr w:type="spellStart"/>
      <w:r w:rsidRPr="00725DAE">
        <w:rPr>
          <w:sz w:val="20"/>
          <w:szCs w:val="20"/>
        </w:rPr>
        <w:t>vs</w:t>
      </w:r>
      <w:proofErr w:type="spellEnd"/>
      <w:r w:rsidRPr="00725DAE">
        <w:rPr>
          <w:sz w:val="20"/>
          <w:szCs w:val="20"/>
        </w:rPr>
        <w:t xml:space="preserve"> -0.6).  Our finding is similar to the study done by </w:t>
      </w:r>
      <w:r w:rsidRPr="00725DAE">
        <w:rPr>
          <w:b/>
          <w:sz w:val="20"/>
          <w:szCs w:val="20"/>
        </w:rPr>
        <w:t xml:space="preserve">IMRE PAVO </w:t>
      </w:r>
      <w:r w:rsidRPr="00725DAE">
        <w:rPr>
          <w:b/>
          <w:i/>
          <w:sz w:val="20"/>
          <w:szCs w:val="20"/>
        </w:rPr>
        <w:t>et al</w:t>
      </w:r>
      <w:r w:rsidRPr="00725DAE">
        <w:rPr>
          <w:sz w:val="20"/>
          <w:szCs w:val="20"/>
        </w:rPr>
        <w:t xml:space="preserve">  </w:t>
      </w:r>
      <w:r w:rsidR="00021EA2" w:rsidRPr="00725DAE">
        <w:rPr>
          <w:sz w:val="20"/>
          <w:szCs w:val="20"/>
          <w:vertAlign w:val="superscript"/>
        </w:rPr>
        <w:t>16</w:t>
      </w:r>
      <w:r w:rsidRPr="00725DAE">
        <w:rPr>
          <w:sz w:val="20"/>
          <w:szCs w:val="20"/>
        </w:rPr>
        <w:t xml:space="preserve"> which showed  statistically significant reduction in  mean HOMA-IR (14.9,  p &lt; 0.002) with </w:t>
      </w:r>
      <w:proofErr w:type="spellStart"/>
      <w:r w:rsidRPr="00725DAE">
        <w:rPr>
          <w:sz w:val="20"/>
          <w:szCs w:val="20"/>
        </w:rPr>
        <w:t>poiglitazone</w:t>
      </w:r>
      <w:proofErr w:type="spellEnd"/>
      <w:r w:rsidRPr="00725DAE">
        <w:rPr>
          <w:sz w:val="20"/>
          <w:szCs w:val="20"/>
        </w:rPr>
        <w:t xml:space="preserve"> when compared with metformin.(-0.9, p &lt; 0.003).</w:t>
      </w:r>
    </w:p>
    <w:p w:rsidR="00F2750F" w:rsidRPr="00725DAE" w:rsidRDefault="00F2750F" w:rsidP="00725DAE">
      <w:pPr>
        <w:autoSpaceDE w:val="0"/>
        <w:autoSpaceDN w:val="0"/>
        <w:adjustRightInd w:val="0"/>
        <w:spacing w:line="360" w:lineRule="auto"/>
        <w:jc w:val="both"/>
        <w:rPr>
          <w:b/>
          <w:i/>
          <w:iCs/>
          <w:sz w:val="20"/>
          <w:szCs w:val="20"/>
        </w:rPr>
      </w:pPr>
      <w:proofErr w:type="gramStart"/>
      <w:r w:rsidRPr="00725DAE">
        <w:rPr>
          <w:b/>
          <w:i/>
          <w:iCs/>
          <w:sz w:val="20"/>
          <w:szCs w:val="20"/>
        </w:rPr>
        <w:t>Effects on HbA1c.</w:t>
      </w:r>
      <w:proofErr w:type="gramEnd"/>
    </w:p>
    <w:p w:rsidR="00F2750F" w:rsidRPr="00725DAE" w:rsidRDefault="00F2750F" w:rsidP="00725DAE">
      <w:pPr>
        <w:autoSpaceDE w:val="0"/>
        <w:autoSpaceDN w:val="0"/>
        <w:adjustRightInd w:val="0"/>
        <w:spacing w:line="360" w:lineRule="auto"/>
        <w:jc w:val="both"/>
        <w:rPr>
          <w:sz w:val="20"/>
          <w:szCs w:val="20"/>
        </w:rPr>
      </w:pPr>
      <w:r w:rsidRPr="00725DAE">
        <w:rPr>
          <w:sz w:val="20"/>
          <w:szCs w:val="20"/>
        </w:rPr>
        <w:t>T</w:t>
      </w:r>
      <w:r w:rsidR="00D05E11" w:rsidRPr="00725DAE">
        <w:rPr>
          <w:sz w:val="20"/>
          <w:szCs w:val="20"/>
        </w:rPr>
        <w:t xml:space="preserve">here was </w:t>
      </w:r>
      <w:r w:rsidRPr="00725DAE">
        <w:rPr>
          <w:sz w:val="20"/>
          <w:szCs w:val="20"/>
        </w:rPr>
        <w:t xml:space="preserve">statistically significant difference between the </w:t>
      </w:r>
      <w:proofErr w:type="gramStart"/>
      <w:r w:rsidRPr="00725DAE">
        <w:rPr>
          <w:sz w:val="20"/>
          <w:szCs w:val="20"/>
        </w:rPr>
        <w:t>treatment</w:t>
      </w:r>
      <w:proofErr w:type="gramEnd"/>
      <w:r w:rsidRPr="00725DAE">
        <w:rPr>
          <w:sz w:val="20"/>
          <w:szCs w:val="20"/>
        </w:rPr>
        <w:t xml:space="preserve"> groups in HbA1c change from baseline. </w:t>
      </w:r>
      <w:r w:rsidR="00D05E11" w:rsidRPr="00725DAE">
        <w:rPr>
          <w:sz w:val="20"/>
          <w:szCs w:val="20"/>
        </w:rPr>
        <w:t xml:space="preserve">There was </w:t>
      </w:r>
      <w:r w:rsidRPr="00725DAE">
        <w:rPr>
          <w:sz w:val="20"/>
          <w:szCs w:val="20"/>
        </w:rPr>
        <w:t xml:space="preserve">statistically </w:t>
      </w:r>
      <w:r w:rsidR="00D05E11" w:rsidRPr="00725DAE">
        <w:rPr>
          <w:sz w:val="20"/>
          <w:szCs w:val="20"/>
        </w:rPr>
        <w:t>significant difference between t</w:t>
      </w:r>
      <w:r w:rsidRPr="00725DAE">
        <w:rPr>
          <w:sz w:val="20"/>
          <w:szCs w:val="20"/>
        </w:rPr>
        <w:t>he two groups in HbA1c change fro</w:t>
      </w:r>
      <w:r w:rsidR="00D05E11" w:rsidRPr="00725DAE">
        <w:rPr>
          <w:sz w:val="20"/>
          <w:szCs w:val="20"/>
        </w:rPr>
        <w:t xml:space="preserve">m baseline.  Metformin group I </w:t>
      </w:r>
      <w:r w:rsidRPr="00725DAE">
        <w:rPr>
          <w:sz w:val="20"/>
          <w:szCs w:val="20"/>
        </w:rPr>
        <w:t xml:space="preserve">had significant decreases from baseline in HbA1c (-0.5, </w:t>
      </w:r>
      <w:r w:rsidRPr="00725DAE">
        <w:rPr>
          <w:i/>
          <w:iCs/>
          <w:sz w:val="20"/>
          <w:szCs w:val="20"/>
        </w:rPr>
        <w:t xml:space="preserve">P </w:t>
      </w:r>
      <w:r w:rsidRPr="00725DAE">
        <w:rPr>
          <w:sz w:val="20"/>
          <w:szCs w:val="20"/>
        </w:rPr>
        <w:t xml:space="preserve">&lt;0.001) after six month of treatment.  Our result matches with the study done by </w:t>
      </w:r>
      <w:r w:rsidRPr="00725DAE">
        <w:rPr>
          <w:bCs/>
          <w:sz w:val="20"/>
          <w:szCs w:val="20"/>
        </w:rPr>
        <w:t xml:space="preserve">BARRY J. GOLDSTEIN et al  </w:t>
      </w:r>
      <w:r w:rsidR="00021EA2" w:rsidRPr="00725DAE">
        <w:rPr>
          <w:bCs/>
          <w:sz w:val="20"/>
          <w:szCs w:val="20"/>
          <w:vertAlign w:val="superscript"/>
        </w:rPr>
        <w:t>17</w:t>
      </w:r>
      <w:r w:rsidRPr="00725DAE">
        <w:rPr>
          <w:b/>
          <w:bCs/>
          <w:sz w:val="20"/>
          <w:szCs w:val="20"/>
        </w:rPr>
        <w:t xml:space="preserve"> </w:t>
      </w:r>
      <w:r w:rsidRPr="00725DAE">
        <w:rPr>
          <w:sz w:val="20"/>
          <w:szCs w:val="20"/>
        </w:rPr>
        <w:t xml:space="preserve"> who showed reduction of HbA1c with metformin (-.0.82, p&lt;0.005). Similarly in </w:t>
      </w:r>
      <w:r w:rsidR="00D05E11" w:rsidRPr="00725DAE">
        <w:rPr>
          <w:sz w:val="20"/>
          <w:szCs w:val="20"/>
        </w:rPr>
        <w:t xml:space="preserve">pioglitazone group II there was a significant </w:t>
      </w:r>
      <w:r w:rsidRPr="00725DAE">
        <w:rPr>
          <w:sz w:val="20"/>
          <w:szCs w:val="20"/>
        </w:rPr>
        <w:t xml:space="preserve">mean decrease in HbA1c from </w:t>
      </w:r>
      <w:proofErr w:type="gramStart"/>
      <w:r w:rsidRPr="00725DAE">
        <w:rPr>
          <w:sz w:val="20"/>
          <w:szCs w:val="20"/>
        </w:rPr>
        <w:t>baseline(</w:t>
      </w:r>
      <w:proofErr w:type="gramEnd"/>
      <w:r w:rsidRPr="00725DAE">
        <w:rPr>
          <w:sz w:val="20"/>
          <w:szCs w:val="20"/>
        </w:rPr>
        <w:t xml:space="preserve">-0.8 , p&lt;0.0001). Ours finding correlate with study done by </w:t>
      </w:r>
      <w:hyperlink r:id="rId8" w:history="1">
        <w:proofErr w:type="spellStart"/>
        <w:r w:rsidRPr="00725DAE">
          <w:rPr>
            <w:rStyle w:val="Hyperlink"/>
            <w:color w:val="000000" w:themeColor="text1"/>
            <w:sz w:val="20"/>
            <w:szCs w:val="20"/>
            <w:shd w:val="clear" w:color="auto" w:fill="FFFFFF"/>
          </w:rPr>
          <w:t>Aronoff</w:t>
        </w:r>
        <w:proofErr w:type="spellEnd"/>
        <w:r w:rsidRPr="00725DAE">
          <w:rPr>
            <w:rStyle w:val="Hyperlink"/>
            <w:color w:val="000000" w:themeColor="text1"/>
            <w:sz w:val="20"/>
            <w:szCs w:val="20"/>
            <w:shd w:val="clear" w:color="auto" w:fill="FFFFFF"/>
          </w:rPr>
          <w:t xml:space="preserve"> S</w:t>
        </w:r>
      </w:hyperlink>
      <w:r w:rsidRPr="00725DAE">
        <w:rPr>
          <w:sz w:val="20"/>
          <w:szCs w:val="20"/>
        </w:rPr>
        <w:t xml:space="preserve"> et al </w:t>
      </w:r>
      <w:r w:rsidR="00021EA2" w:rsidRPr="00725DAE">
        <w:rPr>
          <w:b/>
          <w:sz w:val="20"/>
          <w:szCs w:val="20"/>
          <w:vertAlign w:val="superscript"/>
        </w:rPr>
        <w:t>18</w:t>
      </w:r>
      <w:r w:rsidRPr="00725DAE">
        <w:rPr>
          <w:sz w:val="20"/>
          <w:szCs w:val="20"/>
        </w:rPr>
        <w:t xml:space="preserve"> which showed significant mean decrease in HbA1c(-1.0, p&lt;0.05). Mean difference </w:t>
      </w:r>
      <w:proofErr w:type="gramStart"/>
      <w:r w:rsidRPr="00725DAE">
        <w:rPr>
          <w:sz w:val="20"/>
          <w:szCs w:val="20"/>
        </w:rPr>
        <w:t>change  from</w:t>
      </w:r>
      <w:proofErr w:type="gramEnd"/>
      <w:r w:rsidRPr="00725DAE">
        <w:rPr>
          <w:sz w:val="20"/>
          <w:szCs w:val="20"/>
        </w:rPr>
        <w:t xml:space="preserve"> baseline was greater with pioglitazone treated group  when compared with metformin group ( -0.8 </w:t>
      </w:r>
      <w:proofErr w:type="spellStart"/>
      <w:r w:rsidRPr="00725DAE">
        <w:rPr>
          <w:sz w:val="20"/>
          <w:szCs w:val="20"/>
        </w:rPr>
        <w:t>vs</w:t>
      </w:r>
      <w:proofErr w:type="spellEnd"/>
      <w:r w:rsidRPr="00725DAE">
        <w:rPr>
          <w:sz w:val="20"/>
          <w:szCs w:val="20"/>
        </w:rPr>
        <w:t xml:space="preserve"> -0.5).  Our finding is similar to the study done by IMRE PAVO </w:t>
      </w:r>
      <w:r w:rsidRPr="00725DAE">
        <w:rPr>
          <w:i/>
          <w:sz w:val="20"/>
          <w:szCs w:val="20"/>
        </w:rPr>
        <w:t>et al</w:t>
      </w:r>
      <w:r w:rsidRPr="00725DAE">
        <w:rPr>
          <w:sz w:val="20"/>
          <w:szCs w:val="20"/>
        </w:rPr>
        <w:t xml:space="preserve">  </w:t>
      </w:r>
      <w:r w:rsidR="00021EA2" w:rsidRPr="00725DAE">
        <w:rPr>
          <w:sz w:val="20"/>
          <w:szCs w:val="20"/>
          <w:vertAlign w:val="superscript"/>
        </w:rPr>
        <w:t>19</w:t>
      </w:r>
      <w:r w:rsidRPr="00725DAE">
        <w:rPr>
          <w:sz w:val="20"/>
          <w:szCs w:val="20"/>
        </w:rPr>
        <w:t xml:space="preserve"> which showed  statistically significant reduction in HbA1c (-1.3,  p &lt; 0.001) with </w:t>
      </w:r>
      <w:proofErr w:type="spellStart"/>
      <w:r w:rsidRPr="00725DAE">
        <w:rPr>
          <w:sz w:val="20"/>
          <w:szCs w:val="20"/>
        </w:rPr>
        <w:t>poiglitazone</w:t>
      </w:r>
      <w:proofErr w:type="spellEnd"/>
      <w:r w:rsidRPr="00725DAE">
        <w:rPr>
          <w:sz w:val="20"/>
          <w:szCs w:val="20"/>
        </w:rPr>
        <w:t xml:space="preserve"> w</w:t>
      </w:r>
      <w:r w:rsidR="00D05E11" w:rsidRPr="00725DAE">
        <w:rPr>
          <w:sz w:val="20"/>
          <w:szCs w:val="20"/>
        </w:rPr>
        <w:t xml:space="preserve">hen compared with metformin </w:t>
      </w:r>
      <w:r w:rsidRPr="00725DAE">
        <w:rPr>
          <w:sz w:val="20"/>
          <w:szCs w:val="20"/>
        </w:rPr>
        <w:t xml:space="preserve">(-1.2 , p &lt;0.001). Both treatments were generally well tolerated. In our study most common adverse effects reported were weight gain with pioglitazone and </w:t>
      </w:r>
      <w:proofErr w:type="gramStart"/>
      <w:r w:rsidRPr="00725DAE">
        <w:rPr>
          <w:sz w:val="20"/>
          <w:szCs w:val="20"/>
        </w:rPr>
        <w:t>nausea ,vomiting</w:t>
      </w:r>
      <w:proofErr w:type="gramEnd"/>
      <w:r w:rsidRPr="00725DAE">
        <w:rPr>
          <w:sz w:val="20"/>
          <w:szCs w:val="20"/>
        </w:rPr>
        <w:t xml:space="preserve"> and </w:t>
      </w:r>
      <w:proofErr w:type="spellStart"/>
      <w:r w:rsidRPr="00725DAE">
        <w:rPr>
          <w:sz w:val="20"/>
          <w:szCs w:val="20"/>
        </w:rPr>
        <w:t>diarrohea</w:t>
      </w:r>
      <w:proofErr w:type="spellEnd"/>
      <w:r w:rsidRPr="00725DAE">
        <w:rPr>
          <w:sz w:val="20"/>
          <w:szCs w:val="20"/>
        </w:rPr>
        <w:t xml:space="preserve"> with metformin. IMRE PAVO </w:t>
      </w:r>
      <w:r w:rsidRPr="00725DAE">
        <w:rPr>
          <w:i/>
          <w:sz w:val="20"/>
          <w:szCs w:val="20"/>
        </w:rPr>
        <w:t xml:space="preserve">et </w:t>
      </w:r>
      <w:proofErr w:type="gramStart"/>
      <w:r w:rsidRPr="00725DAE">
        <w:rPr>
          <w:i/>
          <w:sz w:val="20"/>
          <w:szCs w:val="20"/>
        </w:rPr>
        <w:t>al</w:t>
      </w:r>
      <w:r w:rsidRPr="00725DAE">
        <w:rPr>
          <w:sz w:val="20"/>
          <w:szCs w:val="20"/>
        </w:rPr>
        <w:t xml:space="preserve">  </w:t>
      </w:r>
      <w:r w:rsidR="00021EA2" w:rsidRPr="00725DAE">
        <w:rPr>
          <w:sz w:val="20"/>
          <w:szCs w:val="20"/>
          <w:vertAlign w:val="superscript"/>
        </w:rPr>
        <w:t>20</w:t>
      </w:r>
      <w:proofErr w:type="gramEnd"/>
      <w:r w:rsidRPr="00725DAE">
        <w:rPr>
          <w:sz w:val="20"/>
          <w:szCs w:val="20"/>
        </w:rPr>
        <w:t xml:space="preserve"> reported weight gain with pioglitazone and nausea , </w:t>
      </w:r>
      <w:proofErr w:type="spellStart"/>
      <w:r w:rsidRPr="00725DAE">
        <w:rPr>
          <w:sz w:val="20"/>
          <w:szCs w:val="20"/>
        </w:rPr>
        <w:t>diarrhoea</w:t>
      </w:r>
      <w:proofErr w:type="spellEnd"/>
      <w:r w:rsidRPr="00725DAE">
        <w:rPr>
          <w:sz w:val="20"/>
          <w:szCs w:val="20"/>
        </w:rPr>
        <w:t xml:space="preserve"> with metformin  in his study. No treatment was needed for </w:t>
      </w:r>
      <w:r w:rsidR="00D05E11" w:rsidRPr="00725DAE">
        <w:rPr>
          <w:sz w:val="20"/>
          <w:szCs w:val="20"/>
        </w:rPr>
        <w:t>this adverse effect</w:t>
      </w:r>
      <w:r w:rsidRPr="00725DAE">
        <w:rPr>
          <w:sz w:val="20"/>
          <w:szCs w:val="20"/>
        </w:rPr>
        <w:t xml:space="preserve">. </w:t>
      </w:r>
      <w:r w:rsidR="00D05E11" w:rsidRPr="00725DAE">
        <w:rPr>
          <w:sz w:val="20"/>
          <w:szCs w:val="20"/>
        </w:rPr>
        <w:t>There was no drop out in our</w:t>
      </w:r>
      <w:r w:rsidRPr="00725DAE">
        <w:rPr>
          <w:sz w:val="20"/>
          <w:szCs w:val="20"/>
        </w:rPr>
        <w:t xml:space="preserve"> study</w:t>
      </w:r>
    </w:p>
    <w:p w:rsidR="00F2750F" w:rsidRPr="00725DAE" w:rsidRDefault="00F2750F" w:rsidP="00725DAE">
      <w:pPr>
        <w:autoSpaceDE w:val="0"/>
        <w:autoSpaceDN w:val="0"/>
        <w:adjustRightInd w:val="0"/>
        <w:spacing w:line="360" w:lineRule="auto"/>
        <w:jc w:val="both"/>
        <w:rPr>
          <w:sz w:val="20"/>
          <w:szCs w:val="20"/>
        </w:rPr>
      </w:pPr>
      <w:r w:rsidRPr="00725DAE">
        <w:rPr>
          <w:sz w:val="20"/>
          <w:szCs w:val="20"/>
        </w:rPr>
        <w:lastRenderedPageBreak/>
        <w:tab/>
        <w:t xml:space="preserve">The present study clearly shows a difference in HOMA-IR and HbA1c between treatment groups (in favor of pioglitazone). Furthermore, the significant difference between HOMA-IR and HbA1c results for the two drugs in the current study is in accordance with a glucose disposal rate for pioglitazone that is two to four times higher than that observed with metformin, as measured </w:t>
      </w:r>
      <w:proofErr w:type="gramStart"/>
      <w:r w:rsidRPr="00725DAE">
        <w:rPr>
          <w:sz w:val="20"/>
          <w:szCs w:val="20"/>
        </w:rPr>
        <w:t>by  clamp</w:t>
      </w:r>
      <w:proofErr w:type="gramEnd"/>
      <w:r w:rsidRPr="00725DAE">
        <w:rPr>
          <w:sz w:val="20"/>
          <w:szCs w:val="20"/>
        </w:rPr>
        <w:t xml:space="preserve"> techniques used in the previously cited studies. </w:t>
      </w:r>
      <w:r w:rsidR="00021EA2" w:rsidRPr="00725DAE">
        <w:rPr>
          <w:sz w:val="20"/>
          <w:szCs w:val="20"/>
          <w:vertAlign w:val="superscript"/>
        </w:rPr>
        <w:t>21</w:t>
      </w:r>
      <w:proofErr w:type="gramStart"/>
      <w:r w:rsidR="00021EA2" w:rsidRPr="00725DAE">
        <w:rPr>
          <w:sz w:val="20"/>
          <w:szCs w:val="20"/>
          <w:vertAlign w:val="superscript"/>
        </w:rPr>
        <w:t>,22</w:t>
      </w:r>
      <w:proofErr w:type="gramEnd"/>
      <w:r w:rsidRPr="00725DAE">
        <w:rPr>
          <w:sz w:val="20"/>
          <w:szCs w:val="20"/>
        </w:rPr>
        <w:t xml:space="preserve">  Both metformin and pioglitazone have been shown to improve glycemic control as well as insulin resistance; therefore a direct comparison of these two drugs is of particular clinical interest.  </w:t>
      </w:r>
      <w:proofErr w:type="gramStart"/>
      <w:r w:rsidRPr="00725DAE">
        <w:rPr>
          <w:sz w:val="20"/>
          <w:szCs w:val="20"/>
        </w:rPr>
        <w:t>This  is</w:t>
      </w:r>
      <w:proofErr w:type="gramEnd"/>
      <w:r w:rsidRPr="00725DAE">
        <w:rPr>
          <w:sz w:val="20"/>
          <w:szCs w:val="20"/>
        </w:rPr>
        <w:t xml:space="preserve">  an innovative  head-to-head comparison of the effects of pioglitazone and metformin, and, together with the recent publication of </w:t>
      </w:r>
      <w:proofErr w:type="spellStart"/>
      <w:r w:rsidRPr="00725DAE">
        <w:rPr>
          <w:sz w:val="20"/>
          <w:szCs w:val="20"/>
        </w:rPr>
        <w:t>Hallsten</w:t>
      </w:r>
      <w:proofErr w:type="spellEnd"/>
      <w:r w:rsidRPr="00725DAE">
        <w:rPr>
          <w:sz w:val="20"/>
          <w:szCs w:val="20"/>
        </w:rPr>
        <w:t xml:space="preserve"> </w:t>
      </w:r>
      <w:r w:rsidRPr="00725DAE">
        <w:rPr>
          <w:i/>
          <w:iCs/>
          <w:sz w:val="20"/>
          <w:szCs w:val="20"/>
        </w:rPr>
        <w:t>et al.</w:t>
      </w:r>
      <w:r w:rsidR="00531D3C" w:rsidRPr="00725DAE">
        <w:rPr>
          <w:iCs/>
          <w:sz w:val="20"/>
          <w:szCs w:val="20"/>
          <w:vertAlign w:val="superscript"/>
        </w:rPr>
        <w:t>16</w:t>
      </w:r>
      <w:r w:rsidRPr="00725DAE">
        <w:rPr>
          <w:i/>
          <w:iCs/>
          <w:sz w:val="20"/>
          <w:szCs w:val="20"/>
        </w:rPr>
        <w:t xml:space="preserve"> </w:t>
      </w:r>
      <w:r w:rsidRPr="00725DAE">
        <w:rPr>
          <w:sz w:val="20"/>
          <w:szCs w:val="20"/>
        </w:rPr>
        <w:t xml:space="preserve">is one of the first trials to compare the effects of TZD and metformin </w:t>
      </w:r>
      <w:proofErr w:type="spellStart"/>
      <w:r w:rsidRPr="00725DAE">
        <w:rPr>
          <w:sz w:val="20"/>
          <w:szCs w:val="20"/>
        </w:rPr>
        <w:t>monotherapy</w:t>
      </w:r>
      <w:proofErr w:type="spellEnd"/>
      <w:r w:rsidRPr="00725DAE">
        <w:rPr>
          <w:sz w:val="20"/>
          <w:szCs w:val="20"/>
        </w:rPr>
        <w:t xml:space="preserve"> both in general and specifically in patients of </w:t>
      </w:r>
      <w:proofErr w:type="spellStart"/>
      <w:r w:rsidRPr="00725DAE">
        <w:rPr>
          <w:sz w:val="20"/>
          <w:szCs w:val="20"/>
        </w:rPr>
        <w:t>prediabetes</w:t>
      </w:r>
      <w:proofErr w:type="spellEnd"/>
      <w:r w:rsidRPr="00725DAE">
        <w:rPr>
          <w:sz w:val="20"/>
          <w:szCs w:val="20"/>
        </w:rPr>
        <w:t xml:space="preserve"> who are also naive to glucose-lowering medication. Because insulin resistance prevails in these patients, insulin-sensitizing agents represent viable treatment options. Hepatic function in </w:t>
      </w:r>
      <w:proofErr w:type="spellStart"/>
      <w:r w:rsidRPr="00725DAE">
        <w:rPr>
          <w:sz w:val="20"/>
          <w:szCs w:val="20"/>
        </w:rPr>
        <w:t>prediabetes</w:t>
      </w:r>
      <w:proofErr w:type="spellEnd"/>
      <w:r w:rsidRPr="00725DAE">
        <w:rPr>
          <w:sz w:val="20"/>
          <w:szCs w:val="20"/>
        </w:rPr>
        <w:t xml:space="preserve"> is of particular interest. A recent study has shown that pioglitazone decreased hepatic fat content in patients with type </w:t>
      </w:r>
      <w:proofErr w:type="gramStart"/>
      <w:r w:rsidRPr="00725DAE">
        <w:rPr>
          <w:sz w:val="20"/>
          <w:szCs w:val="20"/>
        </w:rPr>
        <w:t>2 diabetes,</w:t>
      </w:r>
      <w:proofErr w:type="gramEnd"/>
      <w:r w:rsidRPr="00725DAE">
        <w:rPr>
          <w:sz w:val="20"/>
          <w:szCs w:val="20"/>
        </w:rPr>
        <w:t xml:space="preserve"> and this decrease correlated with enhanced hepatic insulin </w:t>
      </w:r>
      <w:r w:rsidR="00D05E11" w:rsidRPr="00725DAE">
        <w:rPr>
          <w:sz w:val="20"/>
          <w:szCs w:val="20"/>
        </w:rPr>
        <w:t>sensitivity</w:t>
      </w:r>
      <w:r w:rsidRPr="00725DAE">
        <w:rPr>
          <w:sz w:val="20"/>
          <w:szCs w:val="20"/>
        </w:rPr>
        <w:t xml:space="preserve">. In addition to different effects on insulin sensitivity, pioglitazone and metformin had different effects on body weight; pioglitazone treatment resulted in weight gain, whereas metformin treatment resulted in weight loss. </w:t>
      </w:r>
    </w:p>
    <w:p w:rsidR="00F2750F" w:rsidRPr="00725DAE" w:rsidRDefault="00F2750F" w:rsidP="00725DAE">
      <w:pPr>
        <w:autoSpaceDE w:val="0"/>
        <w:autoSpaceDN w:val="0"/>
        <w:adjustRightInd w:val="0"/>
        <w:spacing w:line="360" w:lineRule="auto"/>
        <w:jc w:val="both"/>
        <w:rPr>
          <w:sz w:val="20"/>
          <w:szCs w:val="20"/>
        </w:rPr>
      </w:pPr>
      <w:r w:rsidRPr="00725DAE">
        <w:rPr>
          <w:sz w:val="20"/>
          <w:szCs w:val="20"/>
        </w:rPr>
        <w:tab/>
        <w:t xml:space="preserve">More consistently, increased body weight has been reported after treatment with PPAR-γ </w:t>
      </w:r>
      <w:proofErr w:type="spellStart"/>
      <w:r w:rsidRPr="00725DAE">
        <w:rPr>
          <w:sz w:val="20"/>
          <w:szCs w:val="20"/>
        </w:rPr>
        <w:t>agonists.Because</w:t>
      </w:r>
      <w:proofErr w:type="spellEnd"/>
      <w:r w:rsidRPr="00725DAE">
        <w:rPr>
          <w:sz w:val="20"/>
          <w:szCs w:val="20"/>
        </w:rPr>
        <w:t xml:space="preserve"> visceral adiposity was not assessed in the present study, we could not determine whether relationships existed between body fat distribution and the differential effects of pioglitazone and metformin on glycemic control and insulin sensitivity.</w:t>
      </w:r>
    </w:p>
    <w:p w:rsidR="00725DAE" w:rsidRDefault="00F2750F" w:rsidP="00725DAE">
      <w:pPr>
        <w:autoSpaceDE w:val="0"/>
        <w:autoSpaceDN w:val="0"/>
        <w:adjustRightInd w:val="0"/>
        <w:spacing w:line="360" w:lineRule="auto"/>
        <w:jc w:val="both"/>
        <w:rPr>
          <w:sz w:val="20"/>
          <w:szCs w:val="20"/>
        </w:rPr>
      </w:pPr>
      <w:r w:rsidRPr="00725DAE">
        <w:rPr>
          <w:sz w:val="20"/>
          <w:szCs w:val="20"/>
        </w:rPr>
        <w:tab/>
        <w:t xml:space="preserve">Limitations of this study include the use of indirect measures of insulin sensitivity as indicators of insulin resistance, instead of more invasive and logistically challenging techniques, such as the </w:t>
      </w:r>
      <w:proofErr w:type="spellStart"/>
      <w:r w:rsidRPr="00725DAE">
        <w:rPr>
          <w:sz w:val="20"/>
          <w:szCs w:val="20"/>
        </w:rPr>
        <w:t>hyperinsulinemic-euglycemic</w:t>
      </w:r>
      <w:proofErr w:type="spellEnd"/>
      <w:r w:rsidRPr="00725DAE">
        <w:rPr>
          <w:sz w:val="20"/>
          <w:szCs w:val="20"/>
        </w:rPr>
        <w:t xml:space="preserve"> clamp, or a frequently sampled </w:t>
      </w:r>
      <w:proofErr w:type="gramStart"/>
      <w:r w:rsidRPr="00725DAE">
        <w:rPr>
          <w:sz w:val="20"/>
          <w:szCs w:val="20"/>
        </w:rPr>
        <w:t>iv</w:t>
      </w:r>
      <w:proofErr w:type="gramEnd"/>
      <w:r w:rsidRPr="00725DAE">
        <w:rPr>
          <w:sz w:val="20"/>
          <w:szCs w:val="20"/>
        </w:rPr>
        <w:t xml:space="preserve"> glucose tolerance test.  </w:t>
      </w:r>
      <w:proofErr w:type="spellStart"/>
      <w:r w:rsidRPr="00725DAE">
        <w:rPr>
          <w:sz w:val="20"/>
          <w:szCs w:val="20"/>
        </w:rPr>
        <w:t>Quon</w:t>
      </w:r>
      <w:proofErr w:type="spellEnd"/>
      <w:r w:rsidRPr="00725DAE">
        <w:rPr>
          <w:sz w:val="20"/>
          <w:szCs w:val="20"/>
        </w:rPr>
        <w:t xml:space="preserve"> et al </w:t>
      </w:r>
      <w:r w:rsidR="00531D3C" w:rsidRPr="00725DAE">
        <w:rPr>
          <w:sz w:val="20"/>
          <w:szCs w:val="20"/>
          <w:vertAlign w:val="superscript"/>
        </w:rPr>
        <w:t>17</w:t>
      </w:r>
      <w:r w:rsidRPr="00725DAE">
        <w:rPr>
          <w:sz w:val="20"/>
          <w:szCs w:val="20"/>
        </w:rPr>
        <w:t xml:space="preserve"> has emphasized greater clinical utility of HOMA as compared with less predictive indirect measures of insulin sensitivity such as the fasting glucose to insulin ratio, especially when glucose levels are abnormal. Based on the ability of HOMA to accurately mimic the results of glucose clamp techniques, </w:t>
      </w:r>
      <w:proofErr w:type="spellStart"/>
      <w:r w:rsidRPr="00725DAE">
        <w:rPr>
          <w:sz w:val="20"/>
          <w:szCs w:val="20"/>
        </w:rPr>
        <w:t>Bonora</w:t>
      </w:r>
      <w:proofErr w:type="spellEnd"/>
      <w:r w:rsidRPr="00725DAE">
        <w:rPr>
          <w:sz w:val="20"/>
          <w:szCs w:val="20"/>
        </w:rPr>
        <w:t xml:space="preserve"> </w:t>
      </w:r>
      <w:r w:rsidRPr="00725DAE">
        <w:rPr>
          <w:i/>
          <w:iCs/>
          <w:sz w:val="20"/>
          <w:szCs w:val="20"/>
        </w:rPr>
        <w:t>et al.</w:t>
      </w:r>
      <w:r w:rsidR="00021EA2" w:rsidRPr="00725DAE">
        <w:rPr>
          <w:iCs/>
          <w:sz w:val="20"/>
          <w:szCs w:val="20"/>
          <w:vertAlign w:val="superscript"/>
        </w:rPr>
        <w:t>23</w:t>
      </w:r>
      <w:r w:rsidRPr="00725DAE">
        <w:rPr>
          <w:sz w:val="20"/>
          <w:szCs w:val="20"/>
        </w:rPr>
        <w:t xml:space="preserve"> have concluded that HOMA is a reliable indicator of insulin sensitivity in large-scale </w:t>
      </w:r>
      <w:proofErr w:type="spellStart"/>
      <w:r w:rsidRPr="00725DAE">
        <w:rPr>
          <w:sz w:val="20"/>
          <w:szCs w:val="20"/>
        </w:rPr>
        <w:t>studies.Results</w:t>
      </w:r>
      <w:proofErr w:type="spellEnd"/>
      <w:r w:rsidRPr="00725DAE">
        <w:rPr>
          <w:sz w:val="20"/>
          <w:szCs w:val="20"/>
        </w:rPr>
        <w:t xml:space="preserve"> of our study confirm that both pioglitazone and metformin represent effective and safe first-line pharmacological treatment options in recently diagnosed, Oral </w:t>
      </w:r>
      <w:proofErr w:type="spellStart"/>
      <w:r w:rsidRPr="00725DAE">
        <w:rPr>
          <w:sz w:val="20"/>
          <w:szCs w:val="20"/>
        </w:rPr>
        <w:t>Antidiabetic</w:t>
      </w:r>
      <w:proofErr w:type="spellEnd"/>
      <w:r w:rsidRPr="00725DAE">
        <w:rPr>
          <w:sz w:val="20"/>
          <w:szCs w:val="20"/>
        </w:rPr>
        <w:t xml:space="preserve"> Medication -naive patients of </w:t>
      </w:r>
      <w:proofErr w:type="spellStart"/>
      <w:r w:rsidRPr="00725DAE">
        <w:rPr>
          <w:sz w:val="20"/>
          <w:szCs w:val="20"/>
        </w:rPr>
        <w:t>prediabetes</w:t>
      </w:r>
      <w:proofErr w:type="spellEnd"/>
      <w:r w:rsidRPr="00725DAE">
        <w:rPr>
          <w:sz w:val="20"/>
          <w:szCs w:val="20"/>
        </w:rPr>
        <w:t xml:space="preserve">. The present study demonstrates that pioglitazone and metformin </w:t>
      </w:r>
      <w:proofErr w:type="spellStart"/>
      <w:r w:rsidRPr="00725DAE">
        <w:rPr>
          <w:sz w:val="20"/>
          <w:szCs w:val="20"/>
        </w:rPr>
        <w:t>monotherapies</w:t>
      </w:r>
      <w:proofErr w:type="spellEnd"/>
      <w:r w:rsidRPr="00725DAE">
        <w:rPr>
          <w:sz w:val="20"/>
          <w:szCs w:val="20"/>
        </w:rPr>
        <w:t xml:space="preserve"> are equally effective in lowering A1C and HOMA-IR, but improvements were more pronounced in patients on pioglitazone therapy. Further clinical investigations are indicated to clarify to what degree insulin sensitivity contributes to the efficacy of pioglitazone or metformin </w:t>
      </w:r>
      <w:proofErr w:type="spellStart"/>
      <w:r w:rsidRPr="00725DAE">
        <w:rPr>
          <w:sz w:val="20"/>
          <w:szCs w:val="20"/>
        </w:rPr>
        <w:t>monotherapy</w:t>
      </w:r>
      <w:proofErr w:type="spellEnd"/>
      <w:r w:rsidRPr="00725DAE">
        <w:rPr>
          <w:sz w:val="20"/>
          <w:szCs w:val="20"/>
        </w:rPr>
        <w:t xml:space="preserve"> in the early stages of </w:t>
      </w:r>
      <w:proofErr w:type="spellStart"/>
      <w:r w:rsidRPr="00725DAE">
        <w:rPr>
          <w:sz w:val="20"/>
          <w:szCs w:val="20"/>
        </w:rPr>
        <w:t>prediabetes.</w:t>
      </w:r>
      <w:proofErr w:type="spellEnd"/>
    </w:p>
    <w:p w:rsidR="00F2750F" w:rsidRPr="00725DAE" w:rsidRDefault="00F2750F" w:rsidP="00725DAE">
      <w:pPr>
        <w:autoSpaceDE w:val="0"/>
        <w:autoSpaceDN w:val="0"/>
        <w:adjustRightInd w:val="0"/>
        <w:spacing w:line="360" w:lineRule="auto"/>
        <w:jc w:val="both"/>
        <w:rPr>
          <w:sz w:val="20"/>
          <w:szCs w:val="20"/>
        </w:rPr>
      </w:pPr>
      <w:r w:rsidRPr="00725DAE">
        <w:rPr>
          <w:b/>
          <w:sz w:val="20"/>
          <w:szCs w:val="20"/>
        </w:rPr>
        <w:t>CONCLUSION</w:t>
      </w:r>
    </w:p>
    <w:p w:rsidR="002B425A" w:rsidRPr="00725DAE" w:rsidRDefault="00F2750F" w:rsidP="00725DAE">
      <w:pPr>
        <w:autoSpaceDE w:val="0"/>
        <w:autoSpaceDN w:val="0"/>
        <w:adjustRightInd w:val="0"/>
        <w:spacing w:line="360" w:lineRule="auto"/>
        <w:jc w:val="both"/>
        <w:rPr>
          <w:color w:val="000000" w:themeColor="text1"/>
          <w:sz w:val="20"/>
          <w:szCs w:val="20"/>
        </w:rPr>
      </w:pPr>
      <w:r w:rsidRPr="00725DAE">
        <w:rPr>
          <w:color w:val="000000" w:themeColor="text1"/>
          <w:sz w:val="20"/>
          <w:szCs w:val="20"/>
        </w:rPr>
        <w:t xml:space="preserve">Our study showed pioglitazone was superior in reducing HOMA-IR when compared with metformin. </w:t>
      </w:r>
      <w:proofErr w:type="gramStart"/>
      <w:r w:rsidRPr="00725DAE">
        <w:rPr>
          <w:color w:val="000000" w:themeColor="text1"/>
          <w:sz w:val="20"/>
          <w:szCs w:val="20"/>
        </w:rPr>
        <w:t>If  combination</w:t>
      </w:r>
      <w:proofErr w:type="gramEnd"/>
      <w:r w:rsidRPr="00725DAE">
        <w:rPr>
          <w:color w:val="000000" w:themeColor="text1"/>
          <w:sz w:val="20"/>
          <w:szCs w:val="20"/>
        </w:rPr>
        <w:t xml:space="preserve"> of pioglitazone and metformin is used far superior  reduction will be achieved on HOMA-IR.</w:t>
      </w:r>
    </w:p>
    <w:p w:rsidR="00725DAE" w:rsidRDefault="00725DAE" w:rsidP="00725DAE">
      <w:pPr>
        <w:autoSpaceDE w:val="0"/>
        <w:autoSpaceDN w:val="0"/>
        <w:adjustRightInd w:val="0"/>
        <w:spacing w:line="360" w:lineRule="auto"/>
        <w:jc w:val="both"/>
        <w:rPr>
          <w:b/>
          <w:color w:val="000000" w:themeColor="text1"/>
          <w:sz w:val="20"/>
          <w:szCs w:val="20"/>
        </w:rPr>
      </w:pPr>
    </w:p>
    <w:p w:rsidR="00FA6BA9" w:rsidRDefault="00FA6BA9" w:rsidP="00725DAE">
      <w:pPr>
        <w:autoSpaceDE w:val="0"/>
        <w:autoSpaceDN w:val="0"/>
        <w:adjustRightInd w:val="0"/>
        <w:spacing w:line="360" w:lineRule="auto"/>
        <w:jc w:val="both"/>
        <w:rPr>
          <w:b/>
          <w:color w:val="000000" w:themeColor="text1"/>
          <w:sz w:val="20"/>
          <w:szCs w:val="20"/>
        </w:rPr>
      </w:pPr>
    </w:p>
    <w:p w:rsidR="00FA6BA9" w:rsidRDefault="00FA6BA9" w:rsidP="00725DAE">
      <w:pPr>
        <w:autoSpaceDE w:val="0"/>
        <w:autoSpaceDN w:val="0"/>
        <w:adjustRightInd w:val="0"/>
        <w:spacing w:line="360" w:lineRule="auto"/>
        <w:jc w:val="both"/>
        <w:rPr>
          <w:b/>
          <w:color w:val="000000" w:themeColor="text1"/>
          <w:sz w:val="20"/>
          <w:szCs w:val="20"/>
        </w:rPr>
      </w:pPr>
    </w:p>
    <w:p w:rsidR="00FA6BA9" w:rsidRDefault="00FA6BA9" w:rsidP="00725DAE">
      <w:pPr>
        <w:autoSpaceDE w:val="0"/>
        <w:autoSpaceDN w:val="0"/>
        <w:adjustRightInd w:val="0"/>
        <w:spacing w:line="360" w:lineRule="auto"/>
        <w:jc w:val="both"/>
        <w:rPr>
          <w:b/>
          <w:color w:val="000000" w:themeColor="text1"/>
          <w:sz w:val="20"/>
          <w:szCs w:val="20"/>
        </w:rPr>
      </w:pPr>
    </w:p>
    <w:p w:rsidR="00FA6BA9" w:rsidRDefault="00FA6BA9" w:rsidP="00725DAE">
      <w:pPr>
        <w:autoSpaceDE w:val="0"/>
        <w:autoSpaceDN w:val="0"/>
        <w:adjustRightInd w:val="0"/>
        <w:spacing w:line="360" w:lineRule="auto"/>
        <w:jc w:val="both"/>
        <w:rPr>
          <w:b/>
          <w:color w:val="000000" w:themeColor="text1"/>
          <w:sz w:val="20"/>
          <w:szCs w:val="20"/>
        </w:rPr>
      </w:pPr>
    </w:p>
    <w:p w:rsidR="00725DAE" w:rsidRDefault="00725DAE" w:rsidP="00725DAE">
      <w:pPr>
        <w:autoSpaceDE w:val="0"/>
        <w:autoSpaceDN w:val="0"/>
        <w:adjustRightInd w:val="0"/>
        <w:spacing w:line="360" w:lineRule="auto"/>
        <w:jc w:val="both"/>
        <w:rPr>
          <w:b/>
          <w:color w:val="000000" w:themeColor="text1"/>
          <w:sz w:val="20"/>
          <w:szCs w:val="20"/>
        </w:rPr>
      </w:pPr>
      <w:r>
        <w:rPr>
          <w:b/>
          <w:color w:val="000000" w:themeColor="text1"/>
          <w:sz w:val="20"/>
          <w:szCs w:val="20"/>
        </w:rPr>
        <w:t xml:space="preserve">REFERENCES: </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eastAsia="Times New Roman" w:hAnsi="Times New Roman" w:cs="Times New Roman"/>
          <w:color w:val="000000"/>
          <w:sz w:val="18"/>
          <w:szCs w:val="18"/>
          <w:lang w:eastAsia="en-IN"/>
        </w:rPr>
        <w:t xml:space="preserve">World Health Organization, World Health Organization. Definition and diagnosis of diabetes mellitus and intermediate </w:t>
      </w:r>
      <w:proofErr w:type="spellStart"/>
      <w:r w:rsidRPr="00725DAE">
        <w:rPr>
          <w:rFonts w:ascii="Times New Roman" w:eastAsia="Times New Roman" w:hAnsi="Times New Roman" w:cs="Times New Roman"/>
          <w:color w:val="000000"/>
          <w:sz w:val="18"/>
          <w:szCs w:val="18"/>
          <w:lang w:eastAsia="en-IN"/>
        </w:rPr>
        <w:t>hyperglycemia</w:t>
      </w:r>
      <w:proofErr w:type="spellEnd"/>
      <w:r w:rsidRPr="00725DAE">
        <w:rPr>
          <w:rFonts w:ascii="Times New Roman" w:eastAsia="Times New Roman" w:hAnsi="Times New Roman" w:cs="Times New Roman"/>
          <w:color w:val="000000"/>
          <w:sz w:val="18"/>
          <w:szCs w:val="18"/>
          <w:lang w:eastAsia="en-IN"/>
        </w:rPr>
        <w:t>: report of a WHO/IDF consultation. Geneva: World Health Organization; 2006. pp. 1–50.</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eastAsia="Times New Roman" w:hAnsi="Times New Roman" w:cs="Times New Roman"/>
          <w:color w:val="000000"/>
          <w:sz w:val="18"/>
          <w:szCs w:val="18"/>
          <w:lang w:eastAsia="en-IN"/>
        </w:rPr>
        <w:t xml:space="preserve">American Diabetes Association. Diagnosis and classification of diabetes mellitus. Diabetes Care. 2014;37 </w:t>
      </w:r>
      <w:proofErr w:type="spellStart"/>
      <w:r w:rsidRPr="00725DAE">
        <w:rPr>
          <w:rFonts w:ascii="Times New Roman" w:eastAsia="Times New Roman" w:hAnsi="Times New Roman" w:cs="Times New Roman"/>
          <w:color w:val="000000"/>
          <w:sz w:val="18"/>
          <w:szCs w:val="18"/>
          <w:lang w:eastAsia="en-IN"/>
        </w:rPr>
        <w:t>Suppl</w:t>
      </w:r>
      <w:proofErr w:type="spellEnd"/>
      <w:r w:rsidRPr="00725DAE">
        <w:rPr>
          <w:rFonts w:ascii="Times New Roman" w:eastAsia="Times New Roman" w:hAnsi="Times New Roman" w:cs="Times New Roman"/>
          <w:color w:val="000000"/>
          <w:sz w:val="18"/>
          <w:szCs w:val="18"/>
          <w:lang w:eastAsia="en-IN"/>
        </w:rPr>
        <w:t xml:space="preserve"> 1:S81–S90</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hAnsi="Times New Roman" w:cs="Times New Roman"/>
          <w:color w:val="000000"/>
          <w:sz w:val="18"/>
          <w:szCs w:val="18"/>
        </w:rPr>
        <w:t>World Health Organization. Definition and diagnosis of dia</w:t>
      </w:r>
      <w:r w:rsidRPr="00725DAE">
        <w:rPr>
          <w:rFonts w:ascii="Times New Roman" w:hAnsi="Times New Roman" w:cs="Times New Roman"/>
          <w:color w:val="000000"/>
          <w:sz w:val="18"/>
          <w:szCs w:val="18"/>
        </w:rPr>
        <w:softHyphen/>
        <w:t xml:space="preserve">betes mellitus and intermediate </w:t>
      </w:r>
      <w:proofErr w:type="spellStart"/>
      <w:r w:rsidRPr="00725DAE">
        <w:rPr>
          <w:rFonts w:ascii="Times New Roman" w:hAnsi="Times New Roman" w:cs="Times New Roman"/>
          <w:color w:val="000000"/>
          <w:sz w:val="18"/>
          <w:szCs w:val="18"/>
        </w:rPr>
        <w:t>hyperglycemia</w:t>
      </w:r>
      <w:proofErr w:type="spellEnd"/>
      <w:r w:rsidRPr="00725DAE">
        <w:rPr>
          <w:rFonts w:ascii="Times New Roman" w:hAnsi="Times New Roman" w:cs="Times New Roman"/>
          <w:color w:val="000000"/>
          <w:sz w:val="18"/>
          <w:szCs w:val="18"/>
        </w:rPr>
        <w:t>: report of a WHO/IDF consultation. Geneva: World Health Organization; 2006.</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hAnsi="Times New Roman" w:cs="Times New Roman"/>
          <w:color w:val="000000"/>
          <w:sz w:val="18"/>
          <w:szCs w:val="18"/>
        </w:rPr>
        <w:t>International Diabetes Federation (IDF). IDF diabetes atlas. 4th ed. Brussels: IDF Executive Office; 2010.</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proofErr w:type="spellStart"/>
      <w:r w:rsidRPr="00725DAE">
        <w:rPr>
          <w:rFonts w:ascii="Times New Roman" w:hAnsi="Times New Roman" w:cs="Times New Roman"/>
          <w:color w:val="131413"/>
          <w:sz w:val="18"/>
          <w:szCs w:val="18"/>
        </w:rPr>
        <w:t>Anjana</w:t>
      </w:r>
      <w:proofErr w:type="spellEnd"/>
      <w:r w:rsidRPr="00725DAE">
        <w:rPr>
          <w:rFonts w:ascii="Times New Roman" w:hAnsi="Times New Roman" w:cs="Times New Roman"/>
          <w:color w:val="131413"/>
          <w:sz w:val="18"/>
          <w:szCs w:val="18"/>
        </w:rPr>
        <w:t xml:space="preserve"> RM, </w:t>
      </w:r>
      <w:proofErr w:type="spellStart"/>
      <w:r w:rsidRPr="00725DAE">
        <w:rPr>
          <w:rFonts w:ascii="Times New Roman" w:hAnsi="Times New Roman" w:cs="Times New Roman"/>
          <w:color w:val="131413"/>
          <w:sz w:val="18"/>
          <w:szCs w:val="18"/>
        </w:rPr>
        <w:t>Pradeepa</w:t>
      </w:r>
      <w:proofErr w:type="spellEnd"/>
      <w:r w:rsidRPr="00725DAE">
        <w:rPr>
          <w:rFonts w:ascii="Times New Roman" w:hAnsi="Times New Roman" w:cs="Times New Roman"/>
          <w:color w:val="131413"/>
          <w:sz w:val="18"/>
          <w:szCs w:val="18"/>
        </w:rPr>
        <w:t xml:space="preserve"> R, </w:t>
      </w:r>
      <w:proofErr w:type="spellStart"/>
      <w:r w:rsidRPr="00725DAE">
        <w:rPr>
          <w:rFonts w:ascii="Times New Roman" w:hAnsi="Times New Roman" w:cs="Times New Roman"/>
          <w:color w:val="131413"/>
          <w:sz w:val="18"/>
          <w:szCs w:val="18"/>
        </w:rPr>
        <w:t>Deepa</w:t>
      </w:r>
      <w:proofErr w:type="spellEnd"/>
      <w:r w:rsidRPr="00725DAE">
        <w:rPr>
          <w:rFonts w:ascii="Times New Roman" w:hAnsi="Times New Roman" w:cs="Times New Roman"/>
          <w:color w:val="131413"/>
          <w:sz w:val="18"/>
          <w:szCs w:val="18"/>
        </w:rPr>
        <w:t xml:space="preserve"> M et al (2011) The Indian Council of Medical Research–India Diabetes (ICMR–INDIAB) Study: methodological details. J Diabetes </w:t>
      </w:r>
      <w:proofErr w:type="spellStart"/>
      <w:r w:rsidRPr="00725DAE">
        <w:rPr>
          <w:rFonts w:ascii="Times New Roman" w:hAnsi="Times New Roman" w:cs="Times New Roman"/>
          <w:color w:val="131413"/>
          <w:sz w:val="18"/>
          <w:szCs w:val="18"/>
        </w:rPr>
        <w:t>Sci</w:t>
      </w:r>
      <w:proofErr w:type="spellEnd"/>
      <w:r w:rsidRPr="00725DAE">
        <w:rPr>
          <w:rFonts w:ascii="Times New Roman" w:hAnsi="Times New Roman" w:cs="Times New Roman"/>
          <w:color w:val="131413"/>
          <w:sz w:val="18"/>
          <w:szCs w:val="18"/>
        </w:rPr>
        <w:t xml:space="preserve"> </w:t>
      </w:r>
      <w:proofErr w:type="spellStart"/>
      <w:r w:rsidRPr="00725DAE">
        <w:rPr>
          <w:rFonts w:ascii="Times New Roman" w:hAnsi="Times New Roman" w:cs="Times New Roman"/>
          <w:color w:val="131413"/>
          <w:sz w:val="18"/>
          <w:szCs w:val="18"/>
        </w:rPr>
        <w:t>Technol</w:t>
      </w:r>
      <w:proofErr w:type="spellEnd"/>
      <w:r w:rsidRPr="00725DAE">
        <w:rPr>
          <w:rFonts w:ascii="Times New Roman" w:hAnsi="Times New Roman" w:cs="Times New Roman"/>
          <w:color w:val="131413"/>
          <w:sz w:val="18"/>
          <w:szCs w:val="18"/>
        </w:rPr>
        <w:t xml:space="preserve"> 5:906–914</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hAnsi="Times New Roman" w:cs="Times New Roman"/>
          <w:color w:val="000000"/>
          <w:sz w:val="18"/>
          <w:szCs w:val="18"/>
          <w:shd w:val="clear" w:color="auto" w:fill="FFFFFF"/>
        </w:rPr>
        <w:t>International Diabetes Federation.</w:t>
      </w:r>
      <w:r w:rsidRPr="00725DAE">
        <w:rPr>
          <w:rStyle w:val="apple-converted-space"/>
          <w:rFonts w:ascii="Times New Roman" w:hAnsi="Times New Roman" w:cs="Times New Roman"/>
          <w:color w:val="000000"/>
          <w:sz w:val="18"/>
          <w:szCs w:val="18"/>
          <w:shd w:val="clear" w:color="auto" w:fill="FFFFFF"/>
        </w:rPr>
        <w:t> </w:t>
      </w:r>
      <w:r w:rsidRPr="00725DAE">
        <w:rPr>
          <w:rStyle w:val="ref-journal"/>
          <w:rFonts w:ascii="Times New Roman" w:hAnsi="Times New Roman" w:cs="Times New Roman"/>
          <w:color w:val="000000"/>
          <w:sz w:val="18"/>
          <w:szCs w:val="18"/>
          <w:shd w:val="clear" w:color="auto" w:fill="FFFFFF"/>
        </w:rPr>
        <w:t>IDF Diabetes Atlas, 6th ed.</w:t>
      </w:r>
      <w:r w:rsidRPr="00725DAE">
        <w:rPr>
          <w:rStyle w:val="apple-converted-space"/>
          <w:rFonts w:ascii="Times New Roman" w:hAnsi="Times New Roman" w:cs="Times New Roman"/>
          <w:color w:val="000000"/>
          <w:sz w:val="18"/>
          <w:szCs w:val="18"/>
          <w:shd w:val="clear" w:color="auto" w:fill="FFFFFF"/>
        </w:rPr>
        <w:t> </w:t>
      </w:r>
      <w:r w:rsidRPr="00725DAE">
        <w:rPr>
          <w:rFonts w:ascii="Times New Roman" w:hAnsi="Times New Roman" w:cs="Times New Roman"/>
          <w:color w:val="000000"/>
          <w:sz w:val="18"/>
          <w:szCs w:val="18"/>
          <w:shd w:val="clear" w:color="auto" w:fill="FFFFFF"/>
        </w:rPr>
        <w:t>Brussels, Belgium: International Diabetes Federation; 2013.</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hAnsi="Times New Roman" w:cs="Times New Roman"/>
          <w:color w:val="000000"/>
          <w:sz w:val="18"/>
          <w:szCs w:val="18"/>
          <w:shd w:val="clear" w:color="auto" w:fill="FFFFFF"/>
        </w:rPr>
        <w:t xml:space="preserve">Diabetes Prevention Program Research Group, </w:t>
      </w:r>
      <w:proofErr w:type="spellStart"/>
      <w:r w:rsidRPr="00725DAE">
        <w:rPr>
          <w:rFonts w:ascii="Times New Roman" w:hAnsi="Times New Roman" w:cs="Times New Roman"/>
          <w:color w:val="000000"/>
          <w:sz w:val="18"/>
          <w:szCs w:val="18"/>
          <w:shd w:val="clear" w:color="auto" w:fill="FFFFFF"/>
        </w:rPr>
        <w:t>Knowler</w:t>
      </w:r>
      <w:proofErr w:type="spellEnd"/>
      <w:r w:rsidRPr="00725DAE">
        <w:rPr>
          <w:rFonts w:ascii="Times New Roman" w:hAnsi="Times New Roman" w:cs="Times New Roman"/>
          <w:color w:val="000000"/>
          <w:sz w:val="18"/>
          <w:szCs w:val="18"/>
          <w:shd w:val="clear" w:color="auto" w:fill="FFFFFF"/>
        </w:rPr>
        <w:t xml:space="preserve"> WC, Fowler SE, </w:t>
      </w:r>
      <w:proofErr w:type="spellStart"/>
      <w:r w:rsidRPr="00725DAE">
        <w:rPr>
          <w:rFonts w:ascii="Times New Roman" w:hAnsi="Times New Roman" w:cs="Times New Roman"/>
          <w:color w:val="000000"/>
          <w:sz w:val="18"/>
          <w:szCs w:val="18"/>
          <w:shd w:val="clear" w:color="auto" w:fill="FFFFFF"/>
        </w:rPr>
        <w:t>Hamman</w:t>
      </w:r>
      <w:proofErr w:type="spellEnd"/>
      <w:r w:rsidRPr="00725DAE">
        <w:rPr>
          <w:rFonts w:ascii="Times New Roman" w:hAnsi="Times New Roman" w:cs="Times New Roman"/>
          <w:color w:val="000000"/>
          <w:sz w:val="18"/>
          <w:szCs w:val="18"/>
          <w:shd w:val="clear" w:color="auto" w:fill="FFFFFF"/>
        </w:rPr>
        <w:t xml:space="preserve"> RF, </w:t>
      </w:r>
      <w:proofErr w:type="spellStart"/>
      <w:r w:rsidRPr="00725DAE">
        <w:rPr>
          <w:rFonts w:ascii="Times New Roman" w:hAnsi="Times New Roman" w:cs="Times New Roman"/>
          <w:color w:val="000000"/>
          <w:sz w:val="18"/>
          <w:szCs w:val="18"/>
          <w:shd w:val="clear" w:color="auto" w:fill="FFFFFF"/>
        </w:rPr>
        <w:t>Christophi</w:t>
      </w:r>
      <w:proofErr w:type="spellEnd"/>
      <w:r w:rsidRPr="00725DAE">
        <w:rPr>
          <w:rFonts w:ascii="Times New Roman" w:hAnsi="Times New Roman" w:cs="Times New Roman"/>
          <w:color w:val="000000"/>
          <w:sz w:val="18"/>
          <w:szCs w:val="18"/>
          <w:shd w:val="clear" w:color="auto" w:fill="FFFFFF"/>
        </w:rPr>
        <w:t xml:space="preserve"> CA, Hoffman HJ, </w:t>
      </w:r>
      <w:proofErr w:type="spellStart"/>
      <w:r w:rsidRPr="00725DAE">
        <w:rPr>
          <w:rFonts w:ascii="Times New Roman" w:hAnsi="Times New Roman" w:cs="Times New Roman"/>
          <w:color w:val="000000"/>
          <w:sz w:val="18"/>
          <w:szCs w:val="18"/>
          <w:shd w:val="clear" w:color="auto" w:fill="FFFFFF"/>
        </w:rPr>
        <w:t>Brenneman</w:t>
      </w:r>
      <w:proofErr w:type="spellEnd"/>
      <w:r w:rsidRPr="00725DAE">
        <w:rPr>
          <w:rFonts w:ascii="Times New Roman" w:hAnsi="Times New Roman" w:cs="Times New Roman"/>
          <w:color w:val="000000"/>
          <w:sz w:val="18"/>
          <w:szCs w:val="18"/>
          <w:shd w:val="clear" w:color="auto" w:fill="FFFFFF"/>
        </w:rPr>
        <w:t xml:space="preserve"> AT, Brown-Friday JO, Goldberg R, </w:t>
      </w:r>
      <w:proofErr w:type="spellStart"/>
      <w:r w:rsidRPr="00725DAE">
        <w:rPr>
          <w:rFonts w:ascii="Times New Roman" w:hAnsi="Times New Roman" w:cs="Times New Roman"/>
          <w:color w:val="000000"/>
          <w:sz w:val="18"/>
          <w:szCs w:val="18"/>
          <w:shd w:val="clear" w:color="auto" w:fill="FFFFFF"/>
        </w:rPr>
        <w:t>Venditti</w:t>
      </w:r>
      <w:proofErr w:type="spellEnd"/>
      <w:r w:rsidRPr="00725DAE">
        <w:rPr>
          <w:rFonts w:ascii="Times New Roman" w:hAnsi="Times New Roman" w:cs="Times New Roman"/>
          <w:color w:val="000000"/>
          <w:sz w:val="18"/>
          <w:szCs w:val="18"/>
          <w:shd w:val="clear" w:color="auto" w:fill="FFFFFF"/>
        </w:rPr>
        <w:t xml:space="preserve"> E, Nathan DM. 10-year follow-up of diabetes incidence and weight loss in the Diabetes Prevention Program Outcomes Study.</w:t>
      </w:r>
      <w:r w:rsidRPr="00725DAE">
        <w:rPr>
          <w:rStyle w:val="apple-converted-space"/>
          <w:rFonts w:ascii="Times New Roman" w:hAnsi="Times New Roman" w:cs="Times New Roman"/>
          <w:color w:val="000000"/>
          <w:sz w:val="18"/>
          <w:szCs w:val="18"/>
          <w:shd w:val="clear" w:color="auto" w:fill="FFFFFF"/>
        </w:rPr>
        <w:t> </w:t>
      </w:r>
      <w:r w:rsidRPr="00725DAE">
        <w:rPr>
          <w:rStyle w:val="ref-journal"/>
          <w:rFonts w:ascii="Times New Roman" w:hAnsi="Times New Roman" w:cs="Times New Roman"/>
          <w:color w:val="000000"/>
          <w:sz w:val="18"/>
          <w:szCs w:val="18"/>
          <w:shd w:val="clear" w:color="auto" w:fill="FFFFFF"/>
        </w:rPr>
        <w:t>Lancet.</w:t>
      </w:r>
      <w:r w:rsidRPr="00725DAE">
        <w:rPr>
          <w:rFonts w:ascii="Times New Roman" w:hAnsi="Times New Roman" w:cs="Times New Roman"/>
          <w:color w:val="000000"/>
          <w:sz w:val="18"/>
          <w:szCs w:val="18"/>
          <w:shd w:val="clear" w:color="auto" w:fill="FFFFFF"/>
        </w:rPr>
        <w:t>2009;</w:t>
      </w:r>
      <w:r w:rsidRPr="00725DAE">
        <w:rPr>
          <w:rStyle w:val="ref-vol"/>
          <w:rFonts w:ascii="Times New Roman" w:hAnsi="Times New Roman" w:cs="Times New Roman"/>
          <w:color w:val="000000"/>
          <w:sz w:val="18"/>
          <w:szCs w:val="18"/>
          <w:shd w:val="clear" w:color="auto" w:fill="FFFFFF"/>
        </w:rPr>
        <w:t>374</w:t>
      </w:r>
      <w:r w:rsidRPr="00725DAE">
        <w:rPr>
          <w:rFonts w:ascii="Times New Roman" w:hAnsi="Times New Roman" w:cs="Times New Roman"/>
          <w:color w:val="000000"/>
          <w:sz w:val="18"/>
          <w:szCs w:val="18"/>
          <w:shd w:val="clear" w:color="auto" w:fill="FFFFFF"/>
        </w:rPr>
        <w:t>:1677–1686</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hAnsi="Times New Roman" w:cs="Times New Roman"/>
          <w:color w:val="000000"/>
          <w:sz w:val="18"/>
          <w:szCs w:val="18"/>
          <w:shd w:val="clear" w:color="auto" w:fill="FFFFFF"/>
        </w:rPr>
        <w:t xml:space="preserve">Nathan DM, Davidson MB, </w:t>
      </w:r>
      <w:proofErr w:type="spellStart"/>
      <w:r w:rsidRPr="00725DAE">
        <w:rPr>
          <w:rFonts w:ascii="Times New Roman" w:hAnsi="Times New Roman" w:cs="Times New Roman"/>
          <w:color w:val="000000"/>
          <w:sz w:val="18"/>
          <w:szCs w:val="18"/>
          <w:shd w:val="clear" w:color="auto" w:fill="FFFFFF"/>
        </w:rPr>
        <w:t>DeFronzo</w:t>
      </w:r>
      <w:proofErr w:type="spellEnd"/>
      <w:r w:rsidRPr="00725DAE">
        <w:rPr>
          <w:rFonts w:ascii="Times New Roman" w:hAnsi="Times New Roman" w:cs="Times New Roman"/>
          <w:color w:val="000000"/>
          <w:sz w:val="18"/>
          <w:szCs w:val="18"/>
          <w:shd w:val="clear" w:color="auto" w:fill="FFFFFF"/>
        </w:rPr>
        <w:t xml:space="preserve"> RA, Heine RJ, Henry RR, Pratley R, </w:t>
      </w:r>
      <w:proofErr w:type="spellStart"/>
      <w:r w:rsidRPr="00725DAE">
        <w:rPr>
          <w:rFonts w:ascii="Times New Roman" w:hAnsi="Times New Roman" w:cs="Times New Roman"/>
          <w:color w:val="000000"/>
          <w:sz w:val="18"/>
          <w:szCs w:val="18"/>
          <w:shd w:val="clear" w:color="auto" w:fill="FFFFFF"/>
        </w:rPr>
        <w:t>Zinman</w:t>
      </w:r>
      <w:proofErr w:type="spellEnd"/>
      <w:r w:rsidRPr="00725DAE">
        <w:rPr>
          <w:rFonts w:ascii="Times New Roman" w:hAnsi="Times New Roman" w:cs="Times New Roman"/>
          <w:color w:val="000000"/>
          <w:sz w:val="18"/>
          <w:szCs w:val="18"/>
          <w:shd w:val="clear" w:color="auto" w:fill="FFFFFF"/>
        </w:rPr>
        <w:t xml:space="preserve"> B; American Diabetes Association. Impaired fasting glucose and impaired glucose tolerance: implications for care.</w:t>
      </w:r>
      <w:r w:rsidRPr="00725DAE">
        <w:rPr>
          <w:rStyle w:val="apple-converted-space"/>
          <w:rFonts w:ascii="Times New Roman" w:hAnsi="Times New Roman" w:cs="Times New Roman"/>
          <w:color w:val="000000"/>
          <w:sz w:val="18"/>
          <w:szCs w:val="18"/>
          <w:shd w:val="clear" w:color="auto" w:fill="FFFFFF"/>
        </w:rPr>
        <w:t> </w:t>
      </w:r>
      <w:r w:rsidRPr="00725DAE">
        <w:rPr>
          <w:rStyle w:val="ref-journal"/>
          <w:rFonts w:ascii="Times New Roman" w:hAnsi="Times New Roman" w:cs="Times New Roman"/>
          <w:color w:val="000000"/>
          <w:sz w:val="18"/>
          <w:szCs w:val="18"/>
          <w:shd w:val="clear" w:color="auto" w:fill="FFFFFF"/>
        </w:rPr>
        <w:t>Diabetes Care.</w:t>
      </w:r>
      <w:r w:rsidRPr="00725DAE">
        <w:rPr>
          <w:rStyle w:val="apple-converted-space"/>
          <w:rFonts w:ascii="Times New Roman" w:hAnsi="Times New Roman" w:cs="Times New Roman"/>
          <w:color w:val="000000"/>
          <w:sz w:val="18"/>
          <w:szCs w:val="18"/>
          <w:shd w:val="clear" w:color="auto" w:fill="FFFFFF"/>
        </w:rPr>
        <w:t> </w:t>
      </w:r>
      <w:r w:rsidRPr="00725DAE">
        <w:rPr>
          <w:rFonts w:ascii="Times New Roman" w:hAnsi="Times New Roman" w:cs="Times New Roman"/>
          <w:color w:val="000000"/>
          <w:sz w:val="18"/>
          <w:szCs w:val="18"/>
          <w:shd w:val="clear" w:color="auto" w:fill="FFFFFF"/>
        </w:rPr>
        <w:t>2007;</w:t>
      </w:r>
      <w:r w:rsidRPr="00725DAE">
        <w:rPr>
          <w:rStyle w:val="ref-vol"/>
          <w:rFonts w:ascii="Times New Roman" w:hAnsi="Times New Roman" w:cs="Times New Roman"/>
          <w:color w:val="000000"/>
          <w:sz w:val="18"/>
          <w:szCs w:val="18"/>
          <w:shd w:val="clear" w:color="auto" w:fill="FFFFFF"/>
        </w:rPr>
        <w:t>30</w:t>
      </w:r>
      <w:r w:rsidRPr="00725DAE">
        <w:rPr>
          <w:rFonts w:ascii="Times New Roman" w:hAnsi="Times New Roman" w:cs="Times New Roman"/>
          <w:color w:val="000000"/>
          <w:sz w:val="18"/>
          <w:szCs w:val="18"/>
          <w:shd w:val="clear" w:color="auto" w:fill="FFFFFF"/>
        </w:rPr>
        <w:t xml:space="preserve">:753–759 </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proofErr w:type="spellStart"/>
      <w:r w:rsidRPr="00725DAE">
        <w:rPr>
          <w:rFonts w:ascii="Times New Roman" w:hAnsi="Times New Roman" w:cs="Times New Roman"/>
          <w:sz w:val="18"/>
          <w:szCs w:val="18"/>
        </w:rPr>
        <w:t>Bonora</w:t>
      </w:r>
      <w:proofErr w:type="spellEnd"/>
      <w:r w:rsidRPr="00725DAE">
        <w:rPr>
          <w:rFonts w:ascii="Times New Roman" w:hAnsi="Times New Roman" w:cs="Times New Roman"/>
          <w:sz w:val="18"/>
          <w:szCs w:val="18"/>
        </w:rPr>
        <w:t xml:space="preserve"> E, </w:t>
      </w:r>
      <w:proofErr w:type="spellStart"/>
      <w:r w:rsidRPr="00725DAE">
        <w:rPr>
          <w:rFonts w:ascii="Times New Roman" w:hAnsi="Times New Roman" w:cs="Times New Roman"/>
          <w:sz w:val="18"/>
          <w:szCs w:val="18"/>
        </w:rPr>
        <w:t>Kiechl</w:t>
      </w:r>
      <w:proofErr w:type="spellEnd"/>
      <w:r w:rsidRPr="00725DAE">
        <w:rPr>
          <w:rFonts w:ascii="Times New Roman" w:hAnsi="Times New Roman" w:cs="Times New Roman"/>
          <w:sz w:val="18"/>
          <w:szCs w:val="18"/>
        </w:rPr>
        <w:t xml:space="preserve"> S, </w:t>
      </w:r>
      <w:proofErr w:type="spellStart"/>
      <w:r w:rsidRPr="00725DAE">
        <w:rPr>
          <w:rFonts w:ascii="Times New Roman" w:hAnsi="Times New Roman" w:cs="Times New Roman"/>
          <w:sz w:val="18"/>
          <w:szCs w:val="18"/>
        </w:rPr>
        <w:t>Willeit</w:t>
      </w:r>
      <w:proofErr w:type="spellEnd"/>
      <w:r w:rsidRPr="00725DAE">
        <w:rPr>
          <w:rFonts w:ascii="Times New Roman" w:hAnsi="Times New Roman" w:cs="Times New Roman"/>
          <w:sz w:val="18"/>
          <w:szCs w:val="18"/>
        </w:rPr>
        <w:t xml:space="preserve"> J, </w:t>
      </w:r>
      <w:proofErr w:type="spellStart"/>
      <w:r w:rsidRPr="00725DAE">
        <w:rPr>
          <w:rFonts w:ascii="Times New Roman" w:hAnsi="Times New Roman" w:cs="Times New Roman"/>
          <w:sz w:val="18"/>
          <w:szCs w:val="18"/>
        </w:rPr>
        <w:t>Oberhollenzer</w:t>
      </w:r>
      <w:proofErr w:type="spellEnd"/>
      <w:r w:rsidRPr="00725DAE">
        <w:rPr>
          <w:rFonts w:ascii="Times New Roman" w:hAnsi="Times New Roman" w:cs="Times New Roman"/>
          <w:sz w:val="18"/>
          <w:szCs w:val="18"/>
        </w:rPr>
        <w:t xml:space="preserve"> F, Egger G, </w:t>
      </w:r>
      <w:proofErr w:type="spellStart"/>
      <w:r w:rsidRPr="00725DAE">
        <w:rPr>
          <w:rFonts w:ascii="Times New Roman" w:hAnsi="Times New Roman" w:cs="Times New Roman"/>
          <w:sz w:val="18"/>
          <w:szCs w:val="18"/>
        </w:rPr>
        <w:t>Targher</w:t>
      </w:r>
      <w:proofErr w:type="spellEnd"/>
      <w:r w:rsidRPr="00725DAE">
        <w:rPr>
          <w:rFonts w:ascii="Times New Roman" w:hAnsi="Times New Roman" w:cs="Times New Roman"/>
          <w:sz w:val="18"/>
          <w:szCs w:val="18"/>
        </w:rPr>
        <w:t xml:space="preserve"> G, et al. Prevalence of insulin resistance in metabolic disorders.</w:t>
      </w:r>
      <w:r w:rsidRPr="00725DAE">
        <w:rPr>
          <w:rFonts w:ascii="Times New Roman" w:eastAsia="Times New Roman" w:hAnsi="Times New Roman" w:cs="Times New Roman"/>
          <w:color w:val="000000"/>
          <w:sz w:val="18"/>
          <w:szCs w:val="18"/>
          <w:lang w:eastAsia="en-IN"/>
        </w:rPr>
        <w:t xml:space="preserve"> </w:t>
      </w:r>
      <w:r w:rsidRPr="00725DAE">
        <w:rPr>
          <w:rFonts w:ascii="Times New Roman" w:hAnsi="Times New Roman" w:cs="Times New Roman"/>
          <w:sz w:val="18"/>
          <w:szCs w:val="18"/>
        </w:rPr>
        <w:t xml:space="preserve">The </w:t>
      </w:r>
      <w:proofErr w:type="spellStart"/>
      <w:r w:rsidRPr="00725DAE">
        <w:rPr>
          <w:rFonts w:ascii="Times New Roman" w:hAnsi="Times New Roman" w:cs="Times New Roman"/>
          <w:sz w:val="18"/>
          <w:szCs w:val="18"/>
        </w:rPr>
        <w:t>Bruneck</w:t>
      </w:r>
      <w:proofErr w:type="spellEnd"/>
      <w:r w:rsidRPr="00725DAE">
        <w:rPr>
          <w:rFonts w:ascii="Times New Roman" w:hAnsi="Times New Roman" w:cs="Times New Roman"/>
          <w:sz w:val="18"/>
          <w:szCs w:val="18"/>
        </w:rPr>
        <w:t xml:space="preserve"> Study. Diabetes 1998; 47: 1643-1649.</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hAnsi="Times New Roman" w:cs="Times New Roman"/>
          <w:color w:val="000000"/>
          <w:sz w:val="18"/>
          <w:szCs w:val="18"/>
        </w:rPr>
        <w:t>Abdul-</w:t>
      </w:r>
      <w:proofErr w:type="spellStart"/>
      <w:r w:rsidRPr="00725DAE">
        <w:rPr>
          <w:rFonts w:ascii="Times New Roman" w:hAnsi="Times New Roman" w:cs="Times New Roman"/>
          <w:color w:val="000000"/>
          <w:sz w:val="18"/>
          <w:szCs w:val="18"/>
        </w:rPr>
        <w:t>Ghani</w:t>
      </w:r>
      <w:proofErr w:type="spellEnd"/>
      <w:r w:rsidRPr="00725DAE">
        <w:rPr>
          <w:rFonts w:ascii="Times New Roman" w:hAnsi="Times New Roman" w:cs="Times New Roman"/>
          <w:color w:val="000000"/>
          <w:sz w:val="18"/>
          <w:szCs w:val="18"/>
        </w:rPr>
        <w:t xml:space="preserve"> MA, </w:t>
      </w:r>
      <w:proofErr w:type="spellStart"/>
      <w:r w:rsidRPr="00725DAE">
        <w:rPr>
          <w:rFonts w:ascii="Times New Roman" w:hAnsi="Times New Roman" w:cs="Times New Roman"/>
          <w:color w:val="000000"/>
          <w:sz w:val="18"/>
          <w:szCs w:val="18"/>
        </w:rPr>
        <w:t>DeFronzo</w:t>
      </w:r>
      <w:proofErr w:type="spellEnd"/>
      <w:r w:rsidRPr="00725DAE">
        <w:rPr>
          <w:rFonts w:ascii="Times New Roman" w:hAnsi="Times New Roman" w:cs="Times New Roman"/>
          <w:color w:val="000000"/>
          <w:sz w:val="18"/>
          <w:szCs w:val="18"/>
        </w:rPr>
        <w:t xml:space="preserve"> RA. Pathophysiology of </w:t>
      </w:r>
      <w:proofErr w:type="spellStart"/>
      <w:r w:rsidRPr="00725DAE">
        <w:rPr>
          <w:rFonts w:ascii="Times New Roman" w:hAnsi="Times New Roman" w:cs="Times New Roman"/>
          <w:color w:val="000000"/>
          <w:sz w:val="18"/>
          <w:szCs w:val="18"/>
        </w:rPr>
        <w:t>predia</w:t>
      </w:r>
      <w:r w:rsidRPr="00725DAE">
        <w:rPr>
          <w:rFonts w:ascii="Times New Roman" w:hAnsi="Times New Roman" w:cs="Times New Roman"/>
          <w:color w:val="000000"/>
          <w:sz w:val="18"/>
          <w:szCs w:val="18"/>
        </w:rPr>
        <w:softHyphen/>
        <w:t>betes</w:t>
      </w:r>
      <w:proofErr w:type="spellEnd"/>
      <w:r w:rsidRPr="00725DAE">
        <w:rPr>
          <w:rFonts w:ascii="Times New Roman" w:hAnsi="Times New Roman" w:cs="Times New Roman"/>
          <w:color w:val="000000"/>
          <w:sz w:val="18"/>
          <w:szCs w:val="18"/>
        </w:rPr>
        <w:t xml:space="preserve">. </w:t>
      </w:r>
      <w:proofErr w:type="spellStart"/>
      <w:r w:rsidRPr="00725DAE">
        <w:rPr>
          <w:rFonts w:ascii="Times New Roman" w:hAnsi="Times New Roman" w:cs="Times New Roman"/>
          <w:color w:val="000000"/>
          <w:sz w:val="18"/>
          <w:szCs w:val="18"/>
        </w:rPr>
        <w:t>Curr</w:t>
      </w:r>
      <w:proofErr w:type="spellEnd"/>
      <w:r w:rsidRPr="00725DAE">
        <w:rPr>
          <w:rFonts w:ascii="Times New Roman" w:hAnsi="Times New Roman" w:cs="Times New Roman"/>
          <w:color w:val="000000"/>
          <w:sz w:val="18"/>
          <w:szCs w:val="18"/>
        </w:rPr>
        <w:t xml:space="preserve"> </w:t>
      </w:r>
      <w:proofErr w:type="spellStart"/>
      <w:r w:rsidRPr="00725DAE">
        <w:rPr>
          <w:rFonts w:ascii="Times New Roman" w:hAnsi="Times New Roman" w:cs="Times New Roman"/>
          <w:color w:val="000000"/>
          <w:sz w:val="18"/>
          <w:szCs w:val="18"/>
        </w:rPr>
        <w:t>Diab</w:t>
      </w:r>
      <w:proofErr w:type="spellEnd"/>
      <w:r w:rsidRPr="00725DAE">
        <w:rPr>
          <w:rFonts w:ascii="Times New Roman" w:hAnsi="Times New Roman" w:cs="Times New Roman"/>
          <w:color w:val="000000"/>
          <w:sz w:val="18"/>
          <w:szCs w:val="18"/>
        </w:rPr>
        <w:t xml:space="preserve"> Rep 2009</w:t>
      </w:r>
      <w:proofErr w:type="gramStart"/>
      <w:r w:rsidRPr="00725DAE">
        <w:rPr>
          <w:rFonts w:ascii="Times New Roman" w:hAnsi="Times New Roman" w:cs="Times New Roman"/>
          <w:color w:val="000000"/>
          <w:sz w:val="18"/>
          <w:szCs w:val="18"/>
        </w:rPr>
        <w:t>;9:193</w:t>
      </w:r>
      <w:proofErr w:type="gramEnd"/>
      <w:r w:rsidRPr="00725DAE">
        <w:rPr>
          <w:rFonts w:ascii="Times New Roman" w:hAnsi="Times New Roman" w:cs="Times New Roman"/>
          <w:color w:val="000000"/>
          <w:sz w:val="18"/>
          <w:szCs w:val="18"/>
        </w:rPr>
        <w:t>-9.</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eastAsia="Times New Roman" w:hAnsi="Times New Roman" w:cs="Times New Roman"/>
          <w:color w:val="000000"/>
          <w:sz w:val="18"/>
          <w:szCs w:val="18"/>
          <w:lang w:eastAsia="en-IN"/>
        </w:rPr>
        <w:t xml:space="preserve"> </w:t>
      </w:r>
      <w:r w:rsidRPr="00725DAE">
        <w:rPr>
          <w:rFonts w:ascii="Times New Roman" w:hAnsi="Times New Roman" w:cs="Times New Roman"/>
          <w:sz w:val="18"/>
          <w:szCs w:val="18"/>
        </w:rPr>
        <w:t xml:space="preserve">Matthews DR, </w:t>
      </w:r>
      <w:proofErr w:type="spellStart"/>
      <w:r w:rsidRPr="00725DAE">
        <w:rPr>
          <w:rFonts w:ascii="Times New Roman" w:hAnsi="Times New Roman" w:cs="Times New Roman"/>
          <w:sz w:val="18"/>
          <w:szCs w:val="18"/>
        </w:rPr>
        <w:t>Hosker</w:t>
      </w:r>
      <w:proofErr w:type="spellEnd"/>
      <w:r w:rsidRPr="00725DAE">
        <w:rPr>
          <w:rFonts w:ascii="Times New Roman" w:hAnsi="Times New Roman" w:cs="Times New Roman"/>
          <w:sz w:val="18"/>
          <w:szCs w:val="18"/>
        </w:rPr>
        <w:t xml:space="preserve"> JP, </w:t>
      </w:r>
      <w:proofErr w:type="spellStart"/>
      <w:r w:rsidRPr="00725DAE">
        <w:rPr>
          <w:rFonts w:ascii="Times New Roman" w:hAnsi="Times New Roman" w:cs="Times New Roman"/>
          <w:sz w:val="18"/>
          <w:szCs w:val="18"/>
        </w:rPr>
        <w:t>Rudenski</w:t>
      </w:r>
      <w:proofErr w:type="spellEnd"/>
      <w:r w:rsidRPr="00725DAE">
        <w:rPr>
          <w:rFonts w:ascii="Times New Roman" w:hAnsi="Times New Roman" w:cs="Times New Roman"/>
          <w:sz w:val="18"/>
          <w:szCs w:val="18"/>
        </w:rPr>
        <w:t xml:space="preserve"> AS, Naylor BA, </w:t>
      </w:r>
      <w:proofErr w:type="spellStart"/>
      <w:r w:rsidRPr="00725DAE">
        <w:rPr>
          <w:rFonts w:ascii="Times New Roman" w:hAnsi="Times New Roman" w:cs="Times New Roman"/>
          <w:sz w:val="18"/>
          <w:szCs w:val="18"/>
        </w:rPr>
        <w:t>Treacher</w:t>
      </w:r>
      <w:proofErr w:type="spellEnd"/>
      <w:r w:rsidRPr="00725DAE">
        <w:rPr>
          <w:rFonts w:ascii="Times New Roman" w:hAnsi="Times New Roman" w:cs="Times New Roman"/>
          <w:sz w:val="18"/>
          <w:szCs w:val="18"/>
        </w:rPr>
        <w:t xml:space="preserve"> DF, </w:t>
      </w:r>
      <w:proofErr w:type="gramStart"/>
      <w:r w:rsidRPr="00725DAE">
        <w:rPr>
          <w:rFonts w:ascii="Times New Roman" w:hAnsi="Times New Roman" w:cs="Times New Roman"/>
          <w:sz w:val="18"/>
          <w:szCs w:val="18"/>
        </w:rPr>
        <w:t>Turner</w:t>
      </w:r>
      <w:proofErr w:type="gramEnd"/>
      <w:r w:rsidRPr="00725DAE">
        <w:rPr>
          <w:rFonts w:ascii="Times New Roman" w:hAnsi="Times New Roman" w:cs="Times New Roman"/>
          <w:sz w:val="18"/>
          <w:szCs w:val="18"/>
        </w:rPr>
        <w:t xml:space="preserve"> RC: Homeostasis model assessment: insulin resistance and beta-cell function from fasting plasma glucose and insulin concentrations in man. </w:t>
      </w:r>
      <w:proofErr w:type="spellStart"/>
      <w:r w:rsidRPr="00725DAE">
        <w:rPr>
          <w:rFonts w:ascii="Times New Roman" w:hAnsi="Times New Roman" w:cs="Times New Roman"/>
          <w:i/>
          <w:iCs/>
          <w:sz w:val="18"/>
          <w:szCs w:val="18"/>
        </w:rPr>
        <w:t>Diabetologia</w:t>
      </w:r>
      <w:proofErr w:type="spellEnd"/>
      <w:r w:rsidRPr="00725DAE">
        <w:rPr>
          <w:rFonts w:ascii="Times New Roman" w:hAnsi="Times New Roman" w:cs="Times New Roman"/>
          <w:i/>
          <w:iCs/>
          <w:sz w:val="18"/>
          <w:szCs w:val="18"/>
        </w:rPr>
        <w:t xml:space="preserve"> </w:t>
      </w:r>
      <w:r w:rsidRPr="00725DAE">
        <w:rPr>
          <w:rFonts w:ascii="Times New Roman" w:hAnsi="Times New Roman" w:cs="Times New Roman"/>
          <w:sz w:val="18"/>
          <w:szCs w:val="18"/>
        </w:rPr>
        <w:t>28:412–</w:t>
      </w:r>
      <w:r w:rsidRPr="00725DAE">
        <w:rPr>
          <w:rFonts w:ascii="Times New Roman" w:eastAsia="Times New Roman" w:hAnsi="Times New Roman" w:cs="Times New Roman"/>
          <w:color w:val="000000"/>
          <w:sz w:val="18"/>
          <w:szCs w:val="18"/>
          <w:lang w:eastAsia="en-IN"/>
        </w:rPr>
        <w:t xml:space="preserve"> </w:t>
      </w:r>
      <w:r w:rsidRPr="00725DAE">
        <w:rPr>
          <w:rFonts w:ascii="Times New Roman" w:hAnsi="Times New Roman" w:cs="Times New Roman"/>
          <w:sz w:val="18"/>
          <w:szCs w:val="18"/>
        </w:rPr>
        <w:t>419, 1985</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Style w:val="apple-converted-space"/>
          <w:rFonts w:ascii="Times New Roman" w:hAnsi="Times New Roman" w:cs="Times New Roman"/>
          <w:color w:val="000000"/>
          <w:sz w:val="18"/>
          <w:szCs w:val="18"/>
          <w:shd w:val="clear" w:color="auto" w:fill="FFFFFF"/>
        </w:rPr>
        <w:t> </w:t>
      </w:r>
      <w:r w:rsidRPr="00725DAE">
        <w:rPr>
          <w:rStyle w:val="element-citation"/>
          <w:rFonts w:ascii="Times New Roman" w:hAnsi="Times New Roman" w:cs="Times New Roman"/>
          <w:color w:val="000000"/>
          <w:sz w:val="18"/>
          <w:szCs w:val="18"/>
          <w:shd w:val="clear" w:color="auto" w:fill="FFFFFF"/>
        </w:rPr>
        <w:t xml:space="preserve">Lily M, Godwin M. Treating </w:t>
      </w:r>
      <w:proofErr w:type="spellStart"/>
      <w:r w:rsidRPr="00725DAE">
        <w:rPr>
          <w:rStyle w:val="element-citation"/>
          <w:rFonts w:ascii="Times New Roman" w:hAnsi="Times New Roman" w:cs="Times New Roman"/>
          <w:color w:val="000000"/>
          <w:sz w:val="18"/>
          <w:szCs w:val="18"/>
          <w:shd w:val="clear" w:color="auto" w:fill="FFFFFF"/>
        </w:rPr>
        <w:t>prediabetes</w:t>
      </w:r>
      <w:proofErr w:type="spellEnd"/>
      <w:r w:rsidRPr="00725DAE">
        <w:rPr>
          <w:rStyle w:val="element-citation"/>
          <w:rFonts w:ascii="Times New Roman" w:hAnsi="Times New Roman" w:cs="Times New Roman"/>
          <w:color w:val="000000"/>
          <w:sz w:val="18"/>
          <w:szCs w:val="18"/>
          <w:shd w:val="clear" w:color="auto" w:fill="FFFFFF"/>
        </w:rPr>
        <w:t xml:space="preserve"> with metformin: systematic review and meta-analysis.</w:t>
      </w:r>
      <w:r w:rsidRPr="00725DAE">
        <w:rPr>
          <w:rStyle w:val="apple-converted-space"/>
          <w:rFonts w:ascii="Times New Roman" w:hAnsi="Times New Roman" w:cs="Times New Roman"/>
          <w:color w:val="000000"/>
          <w:sz w:val="18"/>
          <w:szCs w:val="18"/>
          <w:shd w:val="clear" w:color="auto" w:fill="FFFFFF"/>
        </w:rPr>
        <w:t> </w:t>
      </w:r>
      <w:r w:rsidRPr="00725DAE">
        <w:rPr>
          <w:rStyle w:val="ref-journal"/>
          <w:rFonts w:ascii="Times New Roman" w:hAnsi="Times New Roman" w:cs="Times New Roman"/>
          <w:color w:val="000000"/>
          <w:sz w:val="18"/>
          <w:szCs w:val="18"/>
          <w:shd w:val="clear" w:color="auto" w:fill="FFFFFF"/>
        </w:rPr>
        <w:t xml:space="preserve">Can </w:t>
      </w:r>
      <w:proofErr w:type="spellStart"/>
      <w:proofErr w:type="gramStart"/>
      <w:r w:rsidRPr="00725DAE">
        <w:rPr>
          <w:rStyle w:val="ref-journal"/>
          <w:rFonts w:ascii="Times New Roman" w:hAnsi="Times New Roman" w:cs="Times New Roman"/>
          <w:color w:val="000000"/>
          <w:sz w:val="18"/>
          <w:szCs w:val="18"/>
          <w:shd w:val="clear" w:color="auto" w:fill="FFFFFF"/>
        </w:rPr>
        <w:t>Fam</w:t>
      </w:r>
      <w:proofErr w:type="spellEnd"/>
      <w:proofErr w:type="gramEnd"/>
      <w:r w:rsidRPr="00725DAE">
        <w:rPr>
          <w:rStyle w:val="ref-journal"/>
          <w:rFonts w:ascii="Times New Roman" w:hAnsi="Times New Roman" w:cs="Times New Roman"/>
          <w:color w:val="000000"/>
          <w:sz w:val="18"/>
          <w:szCs w:val="18"/>
          <w:shd w:val="clear" w:color="auto" w:fill="FFFFFF"/>
        </w:rPr>
        <w:t xml:space="preserve"> Physician.</w:t>
      </w:r>
      <w:r w:rsidRPr="00725DAE">
        <w:rPr>
          <w:rStyle w:val="apple-converted-space"/>
          <w:rFonts w:ascii="Times New Roman" w:hAnsi="Times New Roman" w:cs="Times New Roman"/>
          <w:color w:val="000000"/>
          <w:sz w:val="18"/>
          <w:szCs w:val="18"/>
          <w:shd w:val="clear" w:color="auto" w:fill="FFFFFF"/>
        </w:rPr>
        <w:t> </w:t>
      </w:r>
      <w:r w:rsidRPr="00725DAE">
        <w:rPr>
          <w:rStyle w:val="element-citation"/>
          <w:rFonts w:ascii="Times New Roman" w:hAnsi="Times New Roman" w:cs="Times New Roman"/>
          <w:color w:val="000000"/>
          <w:sz w:val="18"/>
          <w:szCs w:val="18"/>
          <w:shd w:val="clear" w:color="auto" w:fill="FFFFFF"/>
        </w:rPr>
        <w:t>2009;</w:t>
      </w:r>
      <w:r w:rsidRPr="00725DAE">
        <w:rPr>
          <w:rStyle w:val="ref-vol"/>
          <w:rFonts w:ascii="Times New Roman" w:hAnsi="Times New Roman" w:cs="Times New Roman"/>
          <w:color w:val="000000"/>
          <w:sz w:val="18"/>
          <w:szCs w:val="18"/>
          <w:shd w:val="clear" w:color="auto" w:fill="FFFFFF"/>
        </w:rPr>
        <w:t>55</w:t>
      </w:r>
      <w:r w:rsidRPr="00725DAE">
        <w:rPr>
          <w:rStyle w:val="element-citation"/>
          <w:rFonts w:ascii="Times New Roman" w:hAnsi="Times New Roman" w:cs="Times New Roman"/>
          <w:color w:val="000000"/>
          <w:sz w:val="18"/>
          <w:szCs w:val="18"/>
          <w:shd w:val="clear" w:color="auto" w:fill="FFFFFF"/>
        </w:rPr>
        <w:t>:363–369</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eastAsia="Times New Roman" w:hAnsi="Times New Roman" w:cs="Times New Roman"/>
          <w:color w:val="000000"/>
          <w:sz w:val="18"/>
          <w:szCs w:val="18"/>
          <w:lang w:eastAsia="en-IN"/>
        </w:rPr>
        <w:t xml:space="preserve"> </w:t>
      </w:r>
      <w:r w:rsidRPr="00725DAE">
        <w:rPr>
          <w:rStyle w:val="apple-converted-space"/>
          <w:rFonts w:ascii="Times New Roman" w:hAnsi="Times New Roman" w:cs="Times New Roman"/>
          <w:color w:val="000000"/>
          <w:sz w:val="18"/>
          <w:szCs w:val="18"/>
          <w:shd w:val="clear" w:color="auto" w:fill="FFFFFF"/>
        </w:rPr>
        <w:t> </w:t>
      </w:r>
      <w:r w:rsidRPr="00725DAE">
        <w:rPr>
          <w:rStyle w:val="element-citation"/>
          <w:rFonts w:ascii="Times New Roman" w:hAnsi="Times New Roman" w:cs="Times New Roman"/>
          <w:color w:val="000000"/>
          <w:sz w:val="18"/>
          <w:szCs w:val="18"/>
          <w:shd w:val="clear" w:color="auto" w:fill="FFFFFF"/>
        </w:rPr>
        <w:t>Smith U. Pioglitazone: mechanism of action.</w:t>
      </w:r>
      <w:r w:rsidRPr="00725DAE">
        <w:rPr>
          <w:rStyle w:val="apple-converted-space"/>
          <w:rFonts w:ascii="Times New Roman" w:hAnsi="Times New Roman" w:cs="Times New Roman"/>
          <w:color w:val="000000"/>
          <w:sz w:val="18"/>
          <w:szCs w:val="18"/>
          <w:shd w:val="clear" w:color="auto" w:fill="FFFFFF"/>
        </w:rPr>
        <w:t> </w:t>
      </w:r>
      <w:proofErr w:type="spellStart"/>
      <w:r w:rsidRPr="00725DAE">
        <w:rPr>
          <w:rStyle w:val="ref-journal"/>
          <w:rFonts w:ascii="Times New Roman" w:hAnsi="Times New Roman" w:cs="Times New Roman"/>
          <w:color w:val="000000"/>
          <w:sz w:val="18"/>
          <w:szCs w:val="18"/>
          <w:shd w:val="clear" w:color="auto" w:fill="FFFFFF"/>
        </w:rPr>
        <w:t>Int</w:t>
      </w:r>
      <w:proofErr w:type="spellEnd"/>
      <w:r w:rsidRPr="00725DAE">
        <w:rPr>
          <w:rStyle w:val="ref-journal"/>
          <w:rFonts w:ascii="Times New Roman" w:hAnsi="Times New Roman" w:cs="Times New Roman"/>
          <w:color w:val="000000"/>
          <w:sz w:val="18"/>
          <w:szCs w:val="18"/>
          <w:shd w:val="clear" w:color="auto" w:fill="FFFFFF"/>
        </w:rPr>
        <w:t xml:space="preserve"> J </w:t>
      </w:r>
      <w:proofErr w:type="spellStart"/>
      <w:r w:rsidRPr="00725DAE">
        <w:rPr>
          <w:rStyle w:val="ref-journal"/>
          <w:rFonts w:ascii="Times New Roman" w:hAnsi="Times New Roman" w:cs="Times New Roman"/>
          <w:color w:val="000000"/>
          <w:sz w:val="18"/>
          <w:szCs w:val="18"/>
          <w:shd w:val="clear" w:color="auto" w:fill="FFFFFF"/>
        </w:rPr>
        <w:t>Clin</w:t>
      </w:r>
      <w:proofErr w:type="spellEnd"/>
      <w:r w:rsidRPr="00725DAE">
        <w:rPr>
          <w:rStyle w:val="ref-journal"/>
          <w:rFonts w:ascii="Times New Roman" w:hAnsi="Times New Roman" w:cs="Times New Roman"/>
          <w:color w:val="000000"/>
          <w:sz w:val="18"/>
          <w:szCs w:val="18"/>
          <w:shd w:val="clear" w:color="auto" w:fill="FFFFFF"/>
        </w:rPr>
        <w:t xml:space="preserve"> </w:t>
      </w:r>
      <w:proofErr w:type="spellStart"/>
      <w:r w:rsidRPr="00725DAE">
        <w:rPr>
          <w:rStyle w:val="ref-journal"/>
          <w:rFonts w:ascii="Times New Roman" w:hAnsi="Times New Roman" w:cs="Times New Roman"/>
          <w:color w:val="000000"/>
          <w:sz w:val="18"/>
          <w:szCs w:val="18"/>
          <w:shd w:val="clear" w:color="auto" w:fill="FFFFFF"/>
        </w:rPr>
        <w:t>Pract</w:t>
      </w:r>
      <w:proofErr w:type="spellEnd"/>
      <w:r w:rsidRPr="00725DAE">
        <w:rPr>
          <w:rStyle w:val="ref-journal"/>
          <w:rFonts w:ascii="Times New Roman" w:hAnsi="Times New Roman" w:cs="Times New Roman"/>
          <w:color w:val="000000"/>
          <w:sz w:val="18"/>
          <w:szCs w:val="18"/>
          <w:shd w:val="clear" w:color="auto" w:fill="FFFFFF"/>
        </w:rPr>
        <w:t xml:space="preserve"> Suppl.</w:t>
      </w:r>
      <w:r w:rsidRPr="00725DAE">
        <w:rPr>
          <w:rStyle w:val="apple-converted-space"/>
          <w:rFonts w:ascii="Times New Roman" w:hAnsi="Times New Roman" w:cs="Times New Roman"/>
          <w:color w:val="000000"/>
          <w:sz w:val="18"/>
          <w:szCs w:val="18"/>
          <w:shd w:val="clear" w:color="auto" w:fill="FFFFFF"/>
        </w:rPr>
        <w:t> </w:t>
      </w:r>
      <w:r w:rsidRPr="00725DAE">
        <w:rPr>
          <w:rStyle w:val="element-citation"/>
          <w:rFonts w:ascii="Times New Roman" w:hAnsi="Times New Roman" w:cs="Times New Roman"/>
          <w:color w:val="000000"/>
          <w:sz w:val="18"/>
          <w:szCs w:val="18"/>
          <w:shd w:val="clear" w:color="auto" w:fill="FFFFFF"/>
        </w:rPr>
        <w:t>2001;(121):13–18</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proofErr w:type="spellStart"/>
      <w:r w:rsidRPr="00725DAE">
        <w:rPr>
          <w:rFonts w:ascii="Times New Roman" w:hAnsi="Times New Roman" w:cs="Times New Roman"/>
          <w:color w:val="000000"/>
          <w:sz w:val="18"/>
          <w:szCs w:val="18"/>
        </w:rPr>
        <w:t>Unwin</w:t>
      </w:r>
      <w:proofErr w:type="spellEnd"/>
      <w:r w:rsidRPr="00725DAE">
        <w:rPr>
          <w:rFonts w:ascii="Times New Roman" w:hAnsi="Times New Roman" w:cs="Times New Roman"/>
          <w:color w:val="000000"/>
          <w:sz w:val="18"/>
          <w:szCs w:val="18"/>
        </w:rPr>
        <w:t xml:space="preserve"> N, Shaw J, </w:t>
      </w:r>
      <w:proofErr w:type="spellStart"/>
      <w:r w:rsidRPr="00725DAE">
        <w:rPr>
          <w:rFonts w:ascii="Times New Roman" w:hAnsi="Times New Roman" w:cs="Times New Roman"/>
          <w:color w:val="000000"/>
          <w:sz w:val="18"/>
          <w:szCs w:val="18"/>
        </w:rPr>
        <w:t>Zimmet</w:t>
      </w:r>
      <w:proofErr w:type="spellEnd"/>
      <w:r w:rsidRPr="00725DAE">
        <w:rPr>
          <w:rFonts w:ascii="Times New Roman" w:hAnsi="Times New Roman" w:cs="Times New Roman"/>
          <w:color w:val="000000"/>
          <w:sz w:val="18"/>
          <w:szCs w:val="18"/>
        </w:rPr>
        <w:t xml:space="preserve"> P, </w:t>
      </w:r>
      <w:proofErr w:type="spellStart"/>
      <w:r w:rsidRPr="00725DAE">
        <w:rPr>
          <w:rFonts w:ascii="Times New Roman" w:hAnsi="Times New Roman" w:cs="Times New Roman"/>
          <w:color w:val="000000"/>
          <w:sz w:val="18"/>
          <w:szCs w:val="18"/>
        </w:rPr>
        <w:t>Alberti</w:t>
      </w:r>
      <w:proofErr w:type="spellEnd"/>
      <w:r w:rsidRPr="00725DAE">
        <w:rPr>
          <w:rFonts w:ascii="Times New Roman" w:hAnsi="Times New Roman" w:cs="Times New Roman"/>
          <w:color w:val="000000"/>
          <w:sz w:val="18"/>
          <w:szCs w:val="18"/>
        </w:rPr>
        <w:t xml:space="preserve"> KG. Impaired glucose tol</w:t>
      </w:r>
      <w:r w:rsidRPr="00725DAE">
        <w:rPr>
          <w:rFonts w:ascii="Times New Roman" w:hAnsi="Times New Roman" w:cs="Times New Roman"/>
          <w:color w:val="000000"/>
          <w:sz w:val="18"/>
          <w:szCs w:val="18"/>
        </w:rPr>
        <w:softHyphen/>
        <w:t xml:space="preserve">erance and impaired fasting glycaemia: the current status on definition and intervention. </w:t>
      </w:r>
      <w:proofErr w:type="spellStart"/>
      <w:r w:rsidRPr="00725DAE">
        <w:rPr>
          <w:rFonts w:ascii="Times New Roman" w:hAnsi="Times New Roman" w:cs="Times New Roman"/>
          <w:color w:val="000000"/>
          <w:sz w:val="18"/>
          <w:szCs w:val="18"/>
        </w:rPr>
        <w:t>Diabet</w:t>
      </w:r>
      <w:proofErr w:type="spellEnd"/>
      <w:r w:rsidRPr="00725DAE">
        <w:rPr>
          <w:rFonts w:ascii="Times New Roman" w:hAnsi="Times New Roman" w:cs="Times New Roman"/>
          <w:color w:val="000000"/>
          <w:sz w:val="18"/>
          <w:szCs w:val="18"/>
        </w:rPr>
        <w:t xml:space="preserve"> Med 2002</w:t>
      </w:r>
      <w:proofErr w:type="gramStart"/>
      <w:r w:rsidRPr="00725DAE">
        <w:rPr>
          <w:rFonts w:ascii="Times New Roman" w:hAnsi="Times New Roman" w:cs="Times New Roman"/>
          <w:color w:val="000000"/>
          <w:sz w:val="18"/>
          <w:szCs w:val="18"/>
        </w:rPr>
        <w:t>;19:708</w:t>
      </w:r>
      <w:proofErr w:type="gramEnd"/>
      <w:r w:rsidRPr="00725DAE">
        <w:rPr>
          <w:rFonts w:ascii="Times New Roman" w:hAnsi="Times New Roman" w:cs="Times New Roman"/>
          <w:color w:val="000000"/>
          <w:sz w:val="18"/>
          <w:szCs w:val="18"/>
        </w:rPr>
        <w:t>-23.</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hAnsi="Times New Roman" w:cs="Times New Roman"/>
          <w:color w:val="000000"/>
          <w:sz w:val="18"/>
          <w:szCs w:val="18"/>
        </w:rPr>
        <w:t>American Diabetes Association. Diagnosis and classification of diabetes mellitus. Diabetes Care 2010</w:t>
      </w:r>
      <w:proofErr w:type="gramStart"/>
      <w:r w:rsidRPr="00725DAE">
        <w:rPr>
          <w:rFonts w:ascii="Times New Roman" w:hAnsi="Times New Roman" w:cs="Times New Roman"/>
          <w:color w:val="000000"/>
          <w:sz w:val="18"/>
          <w:szCs w:val="18"/>
        </w:rPr>
        <w:t>;33</w:t>
      </w:r>
      <w:proofErr w:type="gramEnd"/>
      <w:r w:rsidRPr="00725DAE">
        <w:rPr>
          <w:rFonts w:ascii="Times New Roman" w:hAnsi="Times New Roman" w:cs="Times New Roman"/>
          <w:color w:val="000000"/>
          <w:sz w:val="18"/>
          <w:szCs w:val="18"/>
        </w:rPr>
        <w:t xml:space="preserve"> </w:t>
      </w:r>
      <w:proofErr w:type="spellStart"/>
      <w:r w:rsidRPr="00725DAE">
        <w:rPr>
          <w:rFonts w:ascii="Times New Roman" w:hAnsi="Times New Roman" w:cs="Times New Roman"/>
          <w:color w:val="000000"/>
          <w:sz w:val="18"/>
          <w:szCs w:val="18"/>
        </w:rPr>
        <w:t>Suppl</w:t>
      </w:r>
      <w:proofErr w:type="spellEnd"/>
      <w:r w:rsidRPr="00725DAE">
        <w:rPr>
          <w:rFonts w:ascii="Times New Roman" w:hAnsi="Times New Roman" w:cs="Times New Roman"/>
          <w:color w:val="000000"/>
          <w:sz w:val="18"/>
          <w:szCs w:val="18"/>
        </w:rPr>
        <w:t xml:space="preserve"> 1:S62-9.</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hAnsi="Times New Roman" w:cs="Times New Roman"/>
          <w:color w:val="000000"/>
          <w:sz w:val="18"/>
          <w:szCs w:val="18"/>
        </w:rPr>
        <w:t>Expert Committee on the Diagnosis and Classification of Dia</w:t>
      </w:r>
      <w:r w:rsidRPr="00725DAE">
        <w:rPr>
          <w:rFonts w:ascii="Times New Roman" w:hAnsi="Times New Roman" w:cs="Times New Roman"/>
          <w:color w:val="000000"/>
          <w:sz w:val="18"/>
          <w:szCs w:val="18"/>
        </w:rPr>
        <w:softHyphen/>
        <w:t>betes Mellitus. Report of the Expert Committee on the Diag</w:t>
      </w:r>
      <w:r w:rsidRPr="00725DAE">
        <w:rPr>
          <w:rFonts w:ascii="Times New Roman" w:hAnsi="Times New Roman" w:cs="Times New Roman"/>
          <w:color w:val="000000"/>
          <w:sz w:val="18"/>
          <w:szCs w:val="18"/>
        </w:rPr>
        <w:softHyphen/>
        <w:t xml:space="preserve">nosis and Classification of Diabetes Mellitus. Diabetes Care 2003;26 </w:t>
      </w:r>
      <w:proofErr w:type="spellStart"/>
      <w:r w:rsidRPr="00725DAE">
        <w:rPr>
          <w:rFonts w:ascii="Times New Roman" w:hAnsi="Times New Roman" w:cs="Times New Roman"/>
          <w:color w:val="000000"/>
          <w:sz w:val="18"/>
          <w:szCs w:val="18"/>
        </w:rPr>
        <w:t>Suppl</w:t>
      </w:r>
      <w:proofErr w:type="spellEnd"/>
      <w:r w:rsidRPr="00725DAE">
        <w:rPr>
          <w:rFonts w:ascii="Times New Roman" w:hAnsi="Times New Roman" w:cs="Times New Roman"/>
          <w:color w:val="000000"/>
          <w:sz w:val="18"/>
          <w:szCs w:val="18"/>
        </w:rPr>
        <w:t xml:space="preserve"> 1:S5-20</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proofErr w:type="spellStart"/>
      <w:r w:rsidRPr="00725DAE">
        <w:rPr>
          <w:rFonts w:ascii="Times New Roman" w:hAnsi="Times New Roman" w:cs="Times New Roman"/>
          <w:color w:val="000000"/>
          <w:sz w:val="18"/>
          <w:szCs w:val="18"/>
        </w:rPr>
        <w:t>Puavilai</w:t>
      </w:r>
      <w:proofErr w:type="spellEnd"/>
      <w:r w:rsidRPr="00725DAE">
        <w:rPr>
          <w:rFonts w:ascii="Times New Roman" w:hAnsi="Times New Roman" w:cs="Times New Roman"/>
          <w:color w:val="000000"/>
          <w:sz w:val="18"/>
          <w:szCs w:val="18"/>
        </w:rPr>
        <w:t xml:space="preserve"> G, </w:t>
      </w:r>
      <w:proofErr w:type="spellStart"/>
      <w:r w:rsidRPr="00725DAE">
        <w:rPr>
          <w:rFonts w:ascii="Times New Roman" w:hAnsi="Times New Roman" w:cs="Times New Roman"/>
          <w:color w:val="000000"/>
          <w:sz w:val="18"/>
          <w:szCs w:val="18"/>
        </w:rPr>
        <w:t>Chanprasertyotin</w:t>
      </w:r>
      <w:proofErr w:type="spellEnd"/>
      <w:r w:rsidRPr="00725DAE">
        <w:rPr>
          <w:rFonts w:ascii="Times New Roman" w:hAnsi="Times New Roman" w:cs="Times New Roman"/>
          <w:color w:val="000000"/>
          <w:sz w:val="18"/>
          <w:szCs w:val="18"/>
        </w:rPr>
        <w:t xml:space="preserve"> S, </w:t>
      </w:r>
      <w:proofErr w:type="spellStart"/>
      <w:r w:rsidRPr="00725DAE">
        <w:rPr>
          <w:rFonts w:ascii="Times New Roman" w:hAnsi="Times New Roman" w:cs="Times New Roman"/>
          <w:color w:val="000000"/>
          <w:sz w:val="18"/>
          <w:szCs w:val="18"/>
        </w:rPr>
        <w:t>Sriphrapradaeng</w:t>
      </w:r>
      <w:proofErr w:type="spellEnd"/>
      <w:r w:rsidRPr="00725DAE">
        <w:rPr>
          <w:rFonts w:ascii="Times New Roman" w:hAnsi="Times New Roman" w:cs="Times New Roman"/>
          <w:color w:val="000000"/>
          <w:sz w:val="18"/>
          <w:szCs w:val="18"/>
        </w:rPr>
        <w:t xml:space="preserve"> A. Diagnos</w:t>
      </w:r>
      <w:r w:rsidRPr="00725DAE">
        <w:rPr>
          <w:rFonts w:ascii="Times New Roman" w:hAnsi="Times New Roman" w:cs="Times New Roman"/>
          <w:color w:val="000000"/>
          <w:sz w:val="18"/>
          <w:szCs w:val="18"/>
        </w:rPr>
        <w:softHyphen/>
        <w:t>tic criteria for diabetes mellitus and other categories of glucose intolerance: 1997 criteria by the Expert Committee on the Di</w:t>
      </w:r>
      <w:r w:rsidRPr="00725DAE">
        <w:rPr>
          <w:rFonts w:ascii="Times New Roman" w:hAnsi="Times New Roman" w:cs="Times New Roman"/>
          <w:color w:val="000000"/>
          <w:sz w:val="18"/>
          <w:szCs w:val="18"/>
        </w:rPr>
        <w:softHyphen/>
        <w:t xml:space="preserve">agnosis and Classification of Diabetes Mellitus (ADA), 1998 WHO consultation criteria, and 1985 WHO criteria. World Health Organization. Diabetes Res </w:t>
      </w:r>
      <w:proofErr w:type="spellStart"/>
      <w:r w:rsidRPr="00725DAE">
        <w:rPr>
          <w:rFonts w:ascii="Times New Roman" w:hAnsi="Times New Roman" w:cs="Times New Roman"/>
          <w:color w:val="000000"/>
          <w:sz w:val="18"/>
          <w:szCs w:val="18"/>
        </w:rPr>
        <w:t>Clin</w:t>
      </w:r>
      <w:proofErr w:type="spellEnd"/>
      <w:r w:rsidRPr="00725DAE">
        <w:rPr>
          <w:rFonts w:ascii="Times New Roman" w:hAnsi="Times New Roman" w:cs="Times New Roman"/>
          <w:color w:val="000000"/>
          <w:sz w:val="18"/>
          <w:szCs w:val="18"/>
        </w:rPr>
        <w:t xml:space="preserve"> </w:t>
      </w:r>
      <w:proofErr w:type="spellStart"/>
      <w:r w:rsidRPr="00725DAE">
        <w:rPr>
          <w:rFonts w:ascii="Times New Roman" w:hAnsi="Times New Roman" w:cs="Times New Roman"/>
          <w:color w:val="000000"/>
          <w:sz w:val="18"/>
          <w:szCs w:val="18"/>
        </w:rPr>
        <w:t>Pract</w:t>
      </w:r>
      <w:proofErr w:type="spellEnd"/>
      <w:r w:rsidRPr="00725DAE">
        <w:rPr>
          <w:rFonts w:ascii="Times New Roman" w:hAnsi="Times New Roman" w:cs="Times New Roman"/>
          <w:color w:val="000000"/>
          <w:sz w:val="18"/>
          <w:szCs w:val="18"/>
        </w:rPr>
        <w:t xml:space="preserve"> 1999</w:t>
      </w:r>
      <w:proofErr w:type="gramStart"/>
      <w:r w:rsidRPr="00725DAE">
        <w:rPr>
          <w:rFonts w:ascii="Times New Roman" w:hAnsi="Times New Roman" w:cs="Times New Roman"/>
          <w:color w:val="000000"/>
          <w:sz w:val="18"/>
          <w:szCs w:val="18"/>
        </w:rPr>
        <w:t>;44:21</w:t>
      </w:r>
      <w:proofErr w:type="gramEnd"/>
      <w:r w:rsidRPr="00725DAE">
        <w:rPr>
          <w:rFonts w:ascii="Times New Roman" w:hAnsi="Times New Roman" w:cs="Times New Roman"/>
          <w:color w:val="000000"/>
          <w:sz w:val="18"/>
          <w:szCs w:val="18"/>
        </w:rPr>
        <w:t>-6.</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hAnsi="Times New Roman" w:cs="Times New Roman"/>
          <w:color w:val="000000"/>
          <w:sz w:val="18"/>
          <w:szCs w:val="18"/>
        </w:rPr>
        <w:t>International Diabetes Federation (IDF). IDF diabetes atlas. 4th ed. Brussels: IDF Executive Office; 2010.</w:t>
      </w:r>
    </w:p>
    <w:p w:rsidR="002B425A"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hAnsi="Times New Roman" w:cs="Times New Roman"/>
          <w:color w:val="000000"/>
          <w:sz w:val="18"/>
          <w:szCs w:val="18"/>
        </w:rPr>
        <w:lastRenderedPageBreak/>
        <w:t>DECODE Study Group on behalf of the European Diabetes Epidemiology Study Group. Will new diagnostic criteria for diabetes mellitus change phenotype of patients with diabetes? Reanalysis of European epidemiological data. BMJ 1998</w:t>
      </w:r>
      <w:proofErr w:type="gramStart"/>
      <w:r w:rsidRPr="00725DAE">
        <w:rPr>
          <w:rFonts w:ascii="Times New Roman" w:hAnsi="Times New Roman" w:cs="Times New Roman"/>
          <w:color w:val="000000"/>
          <w:sz w:val="18"/>
          <w:szCs w:val="18"/>
        </w:rPr>
        <w:t>;317</w:t>
      </w:r>
      <w:proofErr w:type="gramEnd"/>
      <w:r w:rsidRPr="00725DAE">
        <w:rPr>
          <w:rFonts w:ascii="Times New Roman" w:hAnsi="Times New Roman" w:cs="Times New Roman"/>
          <w:color w:val="000000"/>
          <w:sz w:val="18"/>
          <w:szCs w:val="18"/>
        </w:rPr>
        <w:t>: 371-5.</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proofErr w:type="spellStart"/>
      <w:r w:rsidRPr="00725DAE">
        <w:rPr>
          <w:rFonts w:ascii="Times New Roman" w:hAnsi="Times New Roman" w:cs="Times New Roman"/>
          <w:color w:val="000000"/>
          <w:sz w:val="18"/>
          <w:szCs w:val="18"/>
        </w:rPr>
        <w:t>Qiao</w:t>
      </w:r>
      <w:proofErr w:type="spellEnd"/>
      <w:r w:rsidRPr="00725DAE">
        <w:rPr>
          <w:rFonts w:ascii="Times New Roman" w:hAnsi="Times New Roman" w:cs="Times New Roman"/>
          <w:color w:val="000000"/>
          <w:sz w:val="18"/>
          <w:szCs w:val="18"/>
        </w:rPr>
        <w:t xml:space="preserve"> Q, Hu G, </w:t>
      </w:r>
      <w:proofErr w:type="spellStart"/>
      <w:r w:rsidRPr="00725DAE">
        <w:rPr>
          <w:rFonts w:ascii="Times New Roman" w:hAnsi="Times New Roman" w:cs="Times New Roman"/>
          <w:color w:val="000000"/>
          <w:sz w:val="18"/>
          <w:szCs w:val="18"/>
        </w:rPr>
        <w:t>Tuomilehto</w:t>
      </w:r>
      <w:proofErr w:type="spellEnd"/>
      <w:r w:rsidRPr="00725DAE">
        <w:rPr>
          <w:rFonts w:ascii="Times New Roman" w:hAnsi="Times New Roman" w:cs="Times New Roman"/>
          <w:color w:val="000000"/>
          <w:sz w:val="18"/>
          <w:szCs w:val="18"/>
        </w:rPr>
        <w:t xml:space="preserve"> J, </w:t>
      </w:r>
      <w:proofErr w:type="spellStart"/>
      <w:r w:rsidRPr="00725DAE">
        <w:rPr>
          <w:rFonts w:ascii="Times New Roman" w:hAnsi="Times New Roman" w:cs="Times New Roman"/>
          <w:color w:val="000000"/>
          <w:sz w:val="18"/>
          <w:szCs w:val="18"/>
        </w:rPr>
        <w:t>Nakagami</w:t>
      </w:r>
      <w:proofErr w:type="spellEnd"/>
      <w:r w:rsidRPr="00725DAE">
        <w:rPr>
          <w:rFonts w:ascii="Times New Roman" w:hAnsi="Times New Roman" w:cs="Times New Roman"/>
          <w:color w:val="000000"/>
          <w:sz w:val="18"/>
          <w:szCs w:val="18"/>
        </w:rPr>
        <w:t xml:space="preserve"> T, </w:t>
      </w:r>
      <w:proofErr w:type="spellStart"/>
      <w:r w:rsidRPr="00725DAE">
        <w:rPr>
          <w:rFonts w:ascii="Times New Roman" w:hAnsi="Times New Roman" w:cs="Times New Roman"/>
          <w:color w:val="000000"/>
          <w:sz w:val="18"/>
          <w:szCs w:val="18"/>
        </w:rPr>
        <w:t>Balkau</w:t>
      </w:r>
      <w:proofErr w:type="spellEnd"/>
      <w:r w:rsidRPr="00725DAE">
        <w:rPr>
          <w:rFonts w:ascii="Times New Roman" w:hAnsi="Times New Roman" w:cs="Times New Roman"/>
          <w:color w:val="000000"/>
          <w:sz w:val="18"/>
          <w:szCs w:val="18"/>
        </w:rPr>
        <w:t xml:space="preserve"> B, </w:t>
      </w:r>
      <w:proofErr w:type="spellStart"/>
      <w:r w:rsidRPr="00725DAE">
        <w:rPr>
          <w:rFonts w:ascii="Times New Roman" w:hAnsi="Times New Roman" w:cs="Times New Roman"/>
          <w:color w:val="000000"/>
          <w:sz w:val="18"/>
          <w:szCs w:val="18"/>
        </w:rPr>
        <w:t>Borch</w:t>
      </w:r>
      <w:proofErr w:type="spellEnd"/>
      <w:r w:rsidRPr="00725DAE">
        <w:rPr>
          <w:rFonts w:ascii="Times New Roman" w:hAnsi="Times New Roman" w:cs="Times New Roman"/>
          <w:color w:val="000000"/>
          <w:sz w:val="18"/>
          <w:szCs w:val="18"/>
        </w:rPr>
        <w:t xml:space="preserve">- </w:t>
      </w:r>
      <w:proofErr w:type="spellStart"/>
      <w:r w:rsidRPr="00725DAE">
        <w:rPr>
          <w:rFonts w:ascii="Times New Roman" w:hAnsi="Times New Roman" w:cs="Times New Roman"/>
          <w:color w:val="000000"/>
          <w:sz w:val="18"/>
          <w:szCs w:val="18"/>
        </w:rPr>
        <w:t>Johnsen</w:t>
      </w:r>
      <w:proofErr w:type="spellEnd"/>
      <w:r w:rsidRPr="00725DAE">
        <w:rPr>
          <w:rFonts w:ascii="Times New Roman" w:hAnsi="Times New Roman" w:cs="Times New Roman"/>
          <w:color w:val="000000"/>
          <w:sz w:val="18"/>
          <w:szCs w:val="18"/>
        </w:rPr>
        <w:t xml:space="preserve"> K, </w:t>
      </w:r>
      <w:proofErr w:type="spellStart"/>
      <w:r w:rsidRPr="00725DAE">
        <w:rPr>
          <w:rFonts w:ascii="Times New Roman" w:hAnsi="Times New Roman" w:cs="Times New Roman"/>
          <w:color w:val="000000"/>
          <w:sz w:val="18"/>
          <w:szCs w:val="18"/>
        </w:rPr>
        <w:t>Ramachandran</w:t>
      </w:r>
      <w:proofErr w:type="spellEnd"/>
      <w:r w:rsidRPr="00725DAE">
        <w:rPr>
          <w:rFonts w:ascii="Times New Roman" w:hAnsi="Times New Roman" w:cs="Times New Roman"/>
          <w:color w:val="000000"/>
          <w:sz w:val="18"/>
          <w:szCs w:val="18"/>
        </w:rPr>
        <w:t xml:space="preserve"> A, Mohan V, </w:t>
      </w:r>
      <w:proofErr w:type="spellStart"/>
      <w:r w:rsidRPr="00725DAE">
        <w:rPr>
          <w:rFonts w:ascii="Times New Roman" w:hAnsi="Times New Roman" w:cs="Times New Roman"/>
          <w:color w:val="000000"/>
          <w:sz w:val="18"/>
          <w:szCs w:val="18"/>
        </w:rPr>
        <w:t>Iyer</w:t>
      </w:r>
      <w:proofErr w:type="spellEnd"/>
      <w:r w:rsidRPr="00725DAE">
        <w:rPr>
          <w:rFonts w:ascii="Times New Roman" w:hAnsi="Times New Roman" w:cs="Times New Roman"/>
          <w:color w:val="000000"/>
          <w:sz w:val="18"/>
          <w:szCs w:val="18"/>
        </w:rPr>
        <w:t xml:space="preserve"> SR, </w:t>
      </w:r>
      <w:proofErr w:type="spellStart"/>
      <w:r w:rsidRPr="00725DAE">
        <w:rPr>
          <w:rFonts w:ascii="Times New Roman" w:hAnsi="Times New Roman" w:cs="Times New Roman"/>
          <w:color w:val="000000"/>
          <w:sz w:val="18"/>
          <w:szCs w:val="18"/>
        </w:rPr>
        <w:t>Tominaga</w:t>
      </w:r>
      <w:proofErr w:type="spellEnd"/>
      <w:r w:rsidRPr="00725DAE">
        <w:rPr>
          <w:rFonts w:ascii="Times New Roman" w:hAnsi="Times New Roman" w:cs="Times New Roman"/>
          <w:color w:val="000000"/>
          <w:sz w:val="18"/>
          <w:szCs w:val="18"/>
        </w:rPr>
        <w:t xml:space="preserve"> M, </w:t>
      </w:r>
      <w:proofErr w:type="spellStart"/>
      <w:r w:rsidRPr="00725DAE">
        <w:rPr>
          <w:rFonts w:ascii="Times New Roman" w:hAnsi="Times New Roman" w:cs="Times New Roman"/>
          <w:color w:val="000000"/>
          <w:sz w:val="18"/>
          <w:szCs w:val="18"/>
        </w:rPr>
        <w:t>Kiyohara</w:t>
      </w:r>
      <w:proofErr w:type="spellEnd"/>
      <w:r w:rsidRPr="00725DAE">
        <w:rPr>
          <w:rFonts w:ascii="Times New Roman" w:hAnsi="Times New Roman" w:cs="Times New Roman"/>
          <w:color w:val="000000"/>
          <w:sz w:val="18"/>
          <w:szCs w:val="18"/>
        </w:rPr>
        <w:t xml:space="preserve"> Y, Kato I, Okubo K, Nagai M, </w:t>
      </w:r>
      <w:proofErr w:type="spellStart"/>
      <w:r w:rsidRPr="00725DAE">
        <w:rPr>
          <w:rFonts w:ascii="Times New Roman" w:hAnsi="Times New Roman" w:cs="Times New Roman"/>
          <w:color w:val="000000"/>
          <w:sz w:val="18"/>
          <w:szCs w:val="18"/>
        </w:rPr>
        <w:t>Shibazaki</w:t>
      </w:r>
      <w:proofErr w:type="spellEnd"/>
      <w:r w:rsidRPr="00725DAE">
        <w:rPr>
          <w:rFonts w:ascii="Times New Roman" w:hAnsi="Times New Roman" w:cs="Times New Roman"/>
          <w:color w:val="000000"/>
          <w:sz w:val="18"/>
          <w:szCs w:val="18"/>
        </w:rPr>
        <w:t xml:space="preserve"> S, Yang Z, Tong Z, Fan Q, Wang B, Chew SK, Tan BY, </w:t>
      </w:r>
      <w:proofErr w:type="spellStart"/>
      <w:r w:rsidRPr="00725DAE">
        <w:rPr>
          <w:rFonts w:ascii="Times New Roman" w:hAnsi="Times New Roman" w:cs="Times New Roman"/>
          <w:color w:val="000000"/>
          <w:sz w:val="18"/>
          <w:szCs w:val="18"/>
        </w:rPr>
        <w:t>Heng</w:t>
      </w:r>
      <w:proofErr w:type="spellEnd"/>
      <w:r w:rsidRPr="00725DAE">
        <w:rPr>
          <w:rFonts w:ascii="Times New Roman" w:hAnsi="Times New Roman" w:cs="Times New Roman"/>
          <w:color w:val="000000"/>
          <w:sz w:val="18"/>
          <w:szCs w:val="18"/>
        </w:rPr>
        <w:t xml:space="preserve"> D, Emmanu</w:t>
      </w:r>
      <w:r w:rsidRPr="00725DAE">
        <w:rPr>
          <w:rFonts w:ascii="Times New Roman" w:hAnsi="Times New Roman" w:cs="Times New Roman"/>
          <w:color w:val="000000"/>
          <w:sz w:val="18"/>
          <w:szCs w:val="18"/>
        </w:rPr>
        <w:softHyphen/>
        <w:t xml:space="preserve">el S, Tajima N, Iwamoto Y, </w:t>
      </w:r>
      <w:proofErr w:type="spellStart"/>
      <w:r w:rsidRPr="00725DAE">
        <w:rPr>
          <w:rFonts w:ascii="Times New Roman" w:hAnsi="Times New Roman" w:cs="Times New Roman"/>
          <w:color w:val="000000"/>
          <w:sz w:val="18"/>
          <w:szCs w:val="18"/>
        </w:rPr>
        <w:t>Snehalatha</w:t>
      </w:r>
      <w:proofErr w:type="spellEnd"/>
      <w:r w:rsidRPr="00725DAE">
        <w:rPr>
          <w:rFonts w:ascii="Times New Roman" w:hAnsi="Times New Roman" w:cs="Times New Roman"/>
          <w:color w:val="000000"/>
          <w:sz w:val="18"/>
          <w:szCs w:val="18"/>
        </w:rPr>
        <w:t xml:space="preserve"> C, Vijay V, </w:t>
      </w:r>
      <w:proofErr w:type="spellStart"/>
      <w:r w:rsidRPr="00725DAE">
        <w:rPr>
          <w:rFonts w:ascii="Times New Roman" w:hAnsi="Times New Roman" w:cs="Times New Roman"/>
          <w:color w:val="000000"/>
          <w:sz w:val="18"/>
          <w:szCs w:val="18"/>
        </w:rPr>
        <w:t>Kapur</w:t>
      </w:r>
      <w:proofErr w:type="spellEnd"/>
      <w:r w:rsidRPr="00725DAE">
        <w:rPr>
          <w:rFonts w:ascii="Times New Roman" w:hAnsi="Times New Roman" w:cs="Times New Roman"/>
          <w:color w:val="000000"/>
          <w:sz w:val="18"/>
          <w:szCs w:val="18"/>
        </w:rPr>
        <w:t xml:space="preserve"> A, Dong Y, Nan H, </w:t>
      </w:r>
      <w:proofErr w:type="spellStart"/>
      <w:r w:rsidRPr="00725DAE">
        <w:rPr>
          <w:rFonts w:ascii="Times New Roman" w:hAnsi="Times New Roman" w:cs="Times New Roman"/>
          <w:color w:val="000000"/>
          <w:sz w:val="18"/>
          <w:szCs w:val="18"/>
        </w:rPr>
        <w:t>Gao</w:t>
      </w:r>
      <w:proofErr w:type="spellEnd"/>
      <w:r w:rsidRPr="00725DAE">
        <w:rPr>
          <w:rFonts w:ascii="Times New Roman" w:hAnsi="Times New Roman" w:cs="Times New Roman"/>
          <w:color w:val="000000"/>
          <w:sz w:val="18"/>
          <w:szCs w:val="18"/>
        </w:rPr>
        <w:t xml:space="preserve"> W, Shi H, Fu F; DECODA Study Group. Age- and sex-specific prevalence of diabetes and impaired glu</w:t>
      </w:r>
      <w:r w:rsidRPr="00725DAE">
        <w:rPr>
          <w:rFonts w:ascii="Times New Roman" w:hAnsi="Times New Roman" w:cs="Times New Roman"/>
          <w:color w:val="000000"/>
          <w:sz w:val="18"/>
          <w:szCs w:val="18"/>
        </w:rPr>
        <w:softHyphen/>
        <w:t>cose regulation in 11 Asian cohorts. Diabetes Care 2003</w:t>
      </w:r>
      <w:proofErr w:type="gramStart"/>
      <w:r w:rsidRPr="00725DAE">
        <w:rPr>
          <w:rFonts w:ascii="Times New Roman" w:hAnsi="Times New Roman" w:cs="Times New Roman"/>
          <w:color w:val="000000"/>
          <w:sz w:val="18"/>
          <w:szCs w:val="18"/>
        </w:rPr>
        <w:t>;26</w:t>
      </w:r>
      <w:proofErr w:type="gramEnd"/>
      <w:r w:rsidRPr="00725DAE">
        <w:rPr>
          <w:rFonts w:ascii="Times New Roman" w:hAnsi="Times New Roman" w:cs="Times New Roman"/>
          <w:color w:val="000000"/>
          <w:sz w:val="18"/>
          <w:szCs w:val="18"/>
        </w:rPr>
        <w:t>: 1770-80.</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hAnsi="Times New Roman" w:cs="Times New Roman"/>
          <w:color w:val="000000"/>
          <w:sz w:val="18"/>
          <w:szCs w:val="18"/>
        </w:rPr>
        <w:t xml:space="preserve">de </w:t>
      </w:r>
      <w:proofErr w:type="spellStart"/>
      <w:r w:rsidRPr="00725DAE">
        <w:rPr>
          <w:rFonts w:ascii="Times New Roman" w:hAnsi="Times New Roman" w:cs="Times New Roman"/>
          <w:color w:val="000000"/>
          <w:sz w:val="18"/>
          <w:szCs w:val="18"/>
        </w:rPr>
        <w:t>Vegt</w:t>
      </w:r>
      <w:proofErr w:type="spellEnd"/>
      <w:r w:rsidRPr="00725DAE">
        <w:rPr>
          <w:rFonts w:ascii="Times New Roman" w:hAnsi="Times New Roman" w:cs="Times New Roman"/>
          <w:color w:val="000000"/>
          <w:sz w:val="18"/>
          <w:szCs w:val="18"/>
        </w:rPr>
        <w:t xml:space="preserve"> F, Dekker JM, </w:t>
      </w:r>
      <w:proofErr w:type="spellStart"/>
      <w:r w:rsidRPr="00725DAE">
        <w:rPr>
          <w:rFonts w:ascii="Times New Roman" w:hAnsi="Times New Roman" w:cs="Times New Roman"/>
          <w:color w:val="000000"/>
          <w:sz w:val="18"/>
          <w:szCs w:val="18"/>
        </w:rPr>
        <w:t>Stehouwer</w:t>
      </w:r>
      <w:proofErr w:type="spellEnd"/>
      <w:r w:rsidRPr="00725DAE">
        <w:rPr>
          <w:rFonts w:ascii="Times New Roman" w:hAnsi="Times New Roman" w:cs="Times New Roman"/>
          <w:color w:val="000000"/>
          <w:sz w:val="18"/>
          <w:szCs w:val="18"/>
        </w:rPr>
        <w:t xml:space="preserve"> CD, </w:t>
      </w:r>
      <w:proofErr w:type="spellStart"/>
      <w:r w:rsidRPr="00725DAE">
        <w:rPr>
          <w:rFonts w:ascii="Times New Roman" w:hAnsi="Times New Roman" w:cs="Times New Roman"/>
          <w:color w:val="000000"/>
          <w:sz w:val="18"/>
          <w:szCs w:val="18"/>
        </w:rPr>
        <w:t>Nijpels</w:t>
      </w:r>
      <w:proofErr w:type="spellEnd"/>
      <w:r w:rsidRPr="00725DAE">
        <w:rPr>
          <w:rFonts w:ascii="Times New Roman" w:hAnsi="Times New Roman" w:cs="Times New Roman"/>
          <w:color w:val="000000"/>
          <w:sz w:val="18"/>
          <w:szCs w:val="18"/>
        </w:rPr>
        <w:t xml:space="preserve"> G, </w:t>
      </w:r>
      <w:proofErr w:type="spellStart"/>
      <w:r w:rsidRPr="00725DAE">
        <w:rPr>
          <w:rFonts w:ascii="Times New Roman" w:hAnsi="Times New Roman" w:cs="Times New Roman"/>
          <w:color w:val="000000"/>
          <w:sz w:val="18"/>
          <w:szCs w:val="18"/>
        </w:rPr>
        <w:t>Bouter</w:t>
      </w:r>
      <w:proofErr w:type="spellEnd"/>
      <w:r w:rsidRPr="00725DAE">
        <w:rPr>
          <w:rFonts w:ascii="Times New Roman" w:hAnsi="Times New Roman" w:cs="Times New Roman"/>
          <w:color w:val="000000"/>
          <w:sz w:val="18"/>
          <w:szCs w:val="18"/>
        </w:rPr>
        <w:t xml:space="preserve"> LM, Heine RJ. The 1997 American Diabetes Association criteria versus the 1985 World Health Organization criteria for the di</w:t>
      </w:r>
      <w:r w:rsidRPr="00725DAE">
        <w:rPr>
          <w:rFonts w:ascii="Times New Roman" w:hAnsi="Times New Roman" w:cs="Times New Roman"/>
          <w:color w:val="000000"/>
          <w:sz w:val="18"/>
          <w:szCs w:val="18"/>
        </w:rPr>
        <w:softHyphen/>
        <w:t>agnosis of abnormal glucose tolerance: poor agreement in the Hoorn Study. Diabetes Care 1998</w:t>
      </w:r>
      <w:proofErr w:type="gramStart"/>
      <w:r w:rsidRPr="00725DAE">
        <w:rPr>
          <w:rFonts w:ascii="Times New Roman" w:hAnsi="Times New Roman" w:cs="Times New Roman"/>
          <w:color w:val="000000"/>
          <w:sz w:val="18"/>
          <w:szCs w:val="18"/>
        </w:rPr>
        <w:t>;21:1686</w:t>
      </w:r>
      <w:proofErr w:type="gramEnd"/>
      <w:r w:rsidRPr="00725DAE">
        <w:rPr>
          <w:rFonts w:ascii="Times New Roman" w:hAnsi="Times New Roman" w:cs="Times New Roman"/>
          <w:color w:val="000000"/>
          <w:sz w:val="18"/>
          <w:szCs w:val="18"/>
        </w:rPr>
        <w:t>-90.</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hAnsi="Times New Roman" w:cs="Times New Roman"/>
          <w:color w:val="000000"/>
          <w:sz w:val="18"/>
          <w:szCs w:val="18"/>
        </w:rPr>
        <w:t>Abdul-</w:t>
      </w:r>
      <w:proofErr w:type="spellStart"/>
      <w:r w:rsidRPr="00725DAE">
        <w:rPr>
          <w:rFonts w:ascii="Times New Roman" w:hAnsi="Times New Roman" w:cs="Times New Roman"/>
          <w:color w:val="000000"/>
          <w:sz w:val="18"/>
          <w:szCs w:val="18"/>
        </w:rPr>
        <w:t>Ghani</w:t>
      </w:r>
      <w:proofErr w:type="spellEnd"/>
      <w:r w:rsidRPr="00725DAE">
        <w:rPr>
          <w:rFonts w:ascii="Times New Roman" w:hAnsi="Times New Roman" w:cs="Times New Roman"/>
          <w:color w:val="000000"/>
          <w:sz w:val="18"/>
          <w:szCs w:val="18"/>
        </w:rPr>
        <w:t xml:space="preserve"> MA, </w:t>
      </w:r>
      <w:proofErr w:type="spellStart"/>
      <w:r w:rsidRPr="00725DAE">
        <w:rPr>
          <w:rFonts w:ascii="Times New Roman" w:hAnsi="Times New Roman" w:cs="Times New Roman"/>
          <w:color w:val="000000"/>
          <w:sz w:val="18"/>
          <w:szCs w:val="18"/>
        </w:rPr>
        <w:t>Jenkinson</w:t>
      </w:r>
      <w:proofErr w:type="spellEnd"/>
      <w:r w:rsidRPr="00725DAE">
        <w:rPr>
          <w:rFonts w:ascii="Times New Roman" w:hAnsi="Times New Roman" w:cs="Times New Roman"/>
          <w:color w:val="000000"/>
          <w:sz w:val="18"/>
          <w:szCs w:val="18"/>
        </w:rPr>
        <w:t xml:space="preserve"> CP, Richardson DK, </w:t>
      </w:r>
      <w:proofErr w:type="spellStart"/>
      <w:r w:rsidRPr="00725DAE">
        <w:rPr>
          <w:rFonts w:ascii="Times New Roman" w:hAnsi="Times New Roman" w:cs="Times New Roman"/>
          <w:color w:val="000000"/>
          <w:sz w:val="18"/>
          <w:szCs w:val="18"/>
        </w:rPr>
        <w:t>Tripathy</w:t>
      </w:r>
      <w:proofErr w:type="spellEnd"/>
      <w:r w:rsidRPr="00725DAE">
        <w:rPr>
          <w:rFonts w:ascii="Times New Roman" w:hAnsi="Times New Roman" w:cs="Times New Roman"/>
          <w:color w:val="000000"/>
          <w:sz w:val="18"/>
          <w:szCs w:val="18"/>
        </w:rPr>
        <w:t xml:space="preserve"> D, </w:t>
      </w:r>
      <w:proofErr w:type="spellStart"/>
      <w:r w:rsidRPr="00725DAE">
        <w:rPr>
          <w:rFonts w:ascii="Times New Roman" w:hAnsi="Times New Roman" w:cs="Times New Roman"/>
          <w:color w:val="000000"/>
          <w:sz w:val="18"/>
          <w:szCs w:val="18"/>
        </w:rPr>
        <w:t>DeFronzo</w:t>
      </w:r>
      <w:proofErr w:type="spellEnd"/>
      <w:r w:rsidRPr="00725DAE">
        <w:rPr>
          <w:rFonts w:ascii="Times New Roman" w:hAnsi="Times New Roman" w:cs="Times New Roman"/>
          <w:color w:val="000000"/>
          <w:sz w:val="18"/>
          <w:szCs w:val="18"/>
        </w:rPr>
        <w:t xml:space="preserve"> RA. Insulin secretion and action in subjects with impaired fasting glucose and impaired glucose tolerance: re</w:t>
      </w:r>
      <w:r w:rsidRPr="00725DAE">
        <w:rPr>
          <w:rFonts w:ascii="Times New Roman" w:hAnsi="Times New Roman" w:cs="Times New Roman"/>
          <w:color w:val="000000"/>
          <w:sz w:val="18"/>
          <w:szCs w:val="18"/>
        </w:rPr>
        <w:softHyphen/>
        <w:t>sults from the Veterans Administration Genetic Epidemiology Study. Diabetes 2006</w:t>
      </w:r>
      <w:proofErr w:type="gramStart"/>
      <w:r w:rsidRPr="00725DAE">
        <w:rPr>
          <w:rFonts w:ascii="Times New Roman" w:hAnsi="Times New Roman" w:cs="Times New Roman"/>
          <w:color w:val="000000"/>
          <w:sz w:val="18"/>
          <w:szCs w:val="18"/>
        </w:rPr>
        <w:t>;55:1430</w:t>
      </w:r>
      <w:proofErr w:type="gramEnd"/>
      <w:r w:rsidRPr="00725DAE">
        <w:rPr>
          <w:rFonts w:ascii="Times New Roman" w:hAnsi="Times New Roman" w:cs="Times New Roman"/>
          <w:color w:val="000000"/>
          <w:sz w:val="18"/>
          <w:szCs w:val="18"/>
        </w:rPr>
        <w:t>-5.</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proofErr w:type="spellStart"/>
      <w:r w:rsidRPr="00725DAE">
        <w:rPr>
          <w:rFonts w:ascii="Times New Roman" w:hAnsi="Times New Roman" w:cs="Times New Roman"/>
          <w:color w:val="000000"/>
          <w:sz w:val="18"/>
          <w:szCs w:val="18"/>
        </w:rPr>
        <w:t>Faerch</w:t>
      </w:r>
      <w:proofErr w:type="spellEnd"/>
      <w:r w:rsidRPr="00725DAE">
        <w:rPr>
          <w:rFonts w:ascii="Times New Roman" w:hAnsi="Times New Roman" w:cs="Times New Roman"/>
          <w:color w:val="000000"/>
          <w:sz w:val="18"/>
          <w:szCs w:val="18"/>
        </w:rPr>
        <w:t xml:space="preserve"> K, </w:t>
      </w:r>
      <w:proofErr w:type="spellStart"/>
      <w:r w:rsidRPr="00725DAE">
        <w:rPr>
          <w:rFonts w:ascii="Times New Roman" w:hAnsi="Times New Roman" w:cs="Times New Roman"/>
          <w:color w:val="000000"/>
          <w:sz w:val="18"/>
          <w:szCs w:val="18"/>
        </w:rPr>
        <w:t>Vaag</w:t>
      </w:r>
      <w:proofErr w:type="spellEnd"/>
      <w:r w:rsidRPr="00725DAE">
        <w:rPr>
          <w:rFonts w:ascii="Times New Roman" w:hAnsi="Times New Roman" w:cs="Times New Roman"/>
          <w:color w:val="000000"/>
          <w:sz w:val="18"/>
          <w:szCs w:val="18"/>
        </w:rPr>
        <w:t xml:space="preserve"> A, Holst JJ, Hansen T, Jorgensen T, </w:t>
      </w:r>
      <w:proofErr w:type="spellStart"/>
      <w:r w:rsidRPr="00725DAE">
        <w:rPr>
          <w:rFonts w:ascii="Times New Roman" w:hAnsi="Times New Roman" w:cs="Times New Roman"/>
          <w:color w:val="000000"/>
          <w:sz w:val="18"/>
          <w:szCs w:val="18"/>
        </w:rPr>
        <w:t>Borch</w:t>
      </w:r>
      <w:proofErr w:type="spellEnd"/>
      <w:r w:rsidRPr="00725DAE">
        <w:rPr>
          <w:rFonts w:ascii="Times New Roman" w:hAnsi="Times New Roman" w:cs="Times New Roman"/>
          <w:color w:val="000000"/>
          <w:sz w:val="18"/>
          <w:szCs w:val="18"/>
        </w:rPr>
        <w:t xml:space="preserve">- </w:t>
      </w:r>
      <w:proofErr w:type="spellStart"/>
      <w:r w:rsidRPr="00725DAE">
        <w:rPr>
          <w:rFonts w:ascii="Times New Roman" w:hAnsi="Times New Roman" w:cs="Times New Roman"/>
          <w:color w:val="000000"/>
          <w:sz w:val="18"/>
          <w:szCs w:val="18"/>
        </w:rPr>
        <w:t>Johnsen</w:t>
      </w:r>
      <w:proofErr w:type="spellEnd"/>
      <w:r w:rsidRPr="00725DAE">
        <w:rPr>
          <w:rFonts w:ascii="Times New Roman" w:hAnsi="Times New Roman" w:cs="Times New Roman"/>
          <w:color w:val="000000"/>
          <w:sz w:val="18"/>
          <w:szCs w:val="18"/>
        </w:rPr>
        <w:t xml:space="preserve"> K. Natural history of insulin sensitivity and insulin secretion in the progression from normal glucose tolerance to impaired fasting </w:t>
      </w:r>
      <w:proofErr w:type="spellStart"/>
      <w:r w:rsidRPr="00725DAE">
        <w:rPr>
          <w:rFonts w:ascii="Times New Roman" w:hAnsi="Times New Roman" w:cs="Times New Roman"/>
          <w:color w:val="000000"/>
          <w:sz w:val="18"/>
          <w:szCs w:val="18"/>
        </w:rPr>
        <w:t>glycemia</w:t>
      </w:r>
      <w:proofErr w:type="spellEnd"/>
      <w:r w:rsidRPr="00725DAE">
        <w:rPr>
          <w:rFonts w:ascii="Times New Roman" w:hAnsi="Times New Roman" w:cs="Times New Roman"/>
          <w:color w:val="000000"/>
          <w:sz w:val="18"/>
          <w:szCs w:val="18"/>
        </w:rPr>
        <w:t xml:space="preserve"> and impaired glucose tolerance: the Inter99 study. Diabetes Care 2009</w:t>
      </w:r>
      <w:proofErr w:type="gramStart"/>
      <w:r w:rsidRPr="00725DAE">
        <w:rPr>
          <w:rFonts w:ascii="Times New Roman" w:hAnsi="Times New Roman" w:cs="Times New Roman"/>
          <w:color w:val="000000"/>
          <w:sz w:val="18"/>
          <w:szCs w:val="18"/>
        </w:rPr>
        <w:t>;32:439</w:t>
      </w:r>
      <w:proofErr w:type="gramEnd"/>
      <w:r w:rsidRPr="00725DAE">
        <w:rPr>
          <w:rFonts w:ascii="Times New Roman" w:hAnsi="Times New Roman" w:cs="Times New Roman"/>
          <w:color w:val="000000"/>
          <w:sz w:val="18"/>
          <w:szCs w:val="18"/>
        </w:rPr>
        <w:t>-44.</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proofErr w:type="spellStart"/>
      <w:r w:rsidRPr="00725DAE">
        <w:rPr>
          <w:rFonts w:ascii="Times New Roman" w:hAnsi="Times New Roman" w:cs="Times New Roman"/>
          <w:sz w:val="18"/>
          <w:szCs w:val="18"/>
        </w:rPr>
        <w:t>Zavaroni</w:t>
      </w:r>
      <w:proofErr w:type="spellEnd"/>
      <w:r w:rsidRPr="00725DAE">
        <w:rPr>
          <w:rFonts w:ascii="Times New Roman" w:hAnsi="Times New Roman" w:cs="Times New Roman"/>
          <w:sz w:val="18"/>
          <w:szCs w:val="18"/>
        </w:rPr>
        <w:t xml:space="preserve"> I, </w:t>
      </w:r>
      <w:proofErr w:type="spellStart"/>
      <w:r w:rsidRPr="00725DAE">
        <w:rPr>
          <w:rFonts w:ascii="Times New Roman" w:hAnsi="Times New Roman" w:cs="Times New Roman"/>
          <w:sz w:val="18"/>
          <w:szCs w:val="18"/>
        </w:rPr>
        <w:t>Bonora</w:t>
      </w:r>
      <w:proofErr w:type="spellEnd"/>
      <w:r w:rsidRPr="00725DAE">
        <w:rPr>
          <w:rFonts w:ascii="Times New Roman" w:hAnsi="Times New Roman" w:cs="Times New Roman"/>
          <w:sz w:val="18"/>
          <w:szCs w:val="18"/>
        </w:rPr>
        <w:t xml:space="preserve"> E, </w:t>
      </w:r>
      <w:proofErr w:type="spellStart"/>
      <w:r w:rsidRPr="00725DAE">
        <w:rPr>
          <w:rFonts w:ascii="Times New Roman" w:hAnsi="Times New Roman" w:cs="Times New Roman"/>
          <w:sz w:val="18"/>
          <w:szCs w:val="18"/>
        </w:rPr>
        <w:t>Pagliara</w:t>
      </w:r>
      <w:proofErr w:type="spellEnd"/>
      <w:r w:rsidRPr="00725DAE">
        <w:rPr>
          <w:rFonts w:ascii="Times New Roman" w:hAnsi="Times New Roman" w:cs="Times New Roman"/>
          <w:sz w:val="18"/>
          <w:szCs w:val="18"/>
        </w:rPr>
        <w:t xml:space="preserve"> M, </w:t>
      </w:r>
      <w:proofErr w:type="spellStart"/>
      <w:r w:rsidRPr="00725DAE">
        <w:rPr>
          <w:rFonts w:ascii="Times New Roman" w:hAnsi="Times New Roman" w:cs="Times New Roman"/>
          <w:sz w:val="18"/>
          <w:szCs w:val="18"/>
        </w:rPr>
        <w:t>Dall'Aglio</w:t>
      </w:r>
      <w:proofErr w:type="spellEnd"/>
      <w:r w:rsidRPr="00725DAE">
        <w:rPr>
          <w:rFonts w:ascii="Times New Roman" w:hAnsi="Times New Roman" w:cs="Times New Roman"/>
          <w:sz w:val="18"/>
          <w:szCs w:val="18"/>
        </w:rPr>
        <w:t xml:space="preserve"> E, </w:t>
      </w:r>
      <w:proofErr w:type="spellStart"/>
      <w:r w:rsidRPr="00725DAE">
        <w:rPr>
          <w:rFonts w:ascii="Times New Roman" w:hAnsi="Times New Roman" w:cs="Times New Roman"/>
          <w:sz w:val="18"/>
          <w:szCs w:val="18"/>
        </w:rPr>
        <w:t>Luchetti</w:t>
      </w:r>
      <w:proofErr w:type="spellEnd"/>
      <w:r w:rsidRPr="00725DAE">
        <w:rPr>
          <w:rFonts w:ascii="Times New Roman" w:hAnsi="Times New Roman" w:cs="Times New Roman"/>
          <w:sz w:val="18"/>
          <w:szCs w:val="18"/>
        </w:rPr>
        <w:t xml:space="preserve"> L, </w:t>
      </w:r>
      <w:proofErr w:type="spellStart"/>
      <w:r w:rsidRPr="00725DAE">
        <w:rPr>
          <w:rFonts w:ascii="Times New Roman" w:hAnsi="Times New Roman" w:cs="Times New Roman"/>
          <w:sz w:val="18"/>
          <w:szCs w:val="18"/>
        </w:rPr>
        <w:t>Buonanno</w:t>
      </w:r>
      <w:proofErr w:type="spellEnd"/>
      <w:r w:rsidRPr="00725DAE">
        <w:rPr>
          <w:rFonts w:ascii="Times New Roman" w:hAnsi="Times New Roman" w:cs="Times New Roman"/>
          <w:sz w:val="18"/>
          <w:szCs w:val="18"/>
        </w:rPr>
        <w:t xml:space="preserve"> G, et al. Risk factors for coronary artery disease in healthy persons with </w:t>
      </w:r>
      <w:proofErr w:type="spellStart"/>
      <w:r w:rsidRPr="00725DAE">
        <w:rPr>
          <w:rFonts w:ascii="Times New Roman" w:hAnsi="Times New Roman" w:cs="Times New Roman"/>
          <w:sz w:val="18"/>
          <w:szCs w:val="18"/>
        </w:rPr>
        <w:t>hyperinsulinemia</w:t>
      </w:r>
      <w:proofErr w:type="spellEnd"/>
      <w:r w:rsidRPr="00725DAE">
        <w:rPr>
          <w:rFonts w:ascii="Times New Roman" w:hAnsi="Times New Roman" w:cs="Times New Roman"/>
          <w:sz w:val="18"/>
          <w:szCs w:val="18"/>
        </w:rPr>
        <w:t xml:space="preserve"> and normal glucose tolerance. N</w:t>
      </w:r>
      <w:r w:rsidRPr="00725DAE">
        <w:rPr>
          <w:rFonts w:ascii="Times New Roman" w:eastAsia="Times New Roman" w:hAnsi="Times New Roman" w:cs="Times New Roman"/>
          <w:color w:val="000000"/>
          <w:sz w:val="18"/>
          <w:szCs w:val="18"/>
          <w:lang w:eastAsia="en-IN"/>
        </w:rPr>
        <w:t xml:space="preserve"> </w:t>
      </w:r>
      <w:proofErr w:type="spellStart"/>
      <w:r w:rsidRPr="00725DAE">
        <w:rPr>
          <w:rFonts w:ascii="Times New Roman" w:hAnsi="Times New Roman" w:cs="Times New Roman"/>
          <w:sz w:val="18"/>
          <w:szCs w:val="18"/>
        </w:rPr>
        <w:t>Engl</w:t>
      </w:r>
      <w:proofErr w:type="spellEnd"/>
      <w:r w:rsidRPr="00725DAE">
        <w:rPr>
          <w:rFonts w:ascii="Times New Roman" w:hAnsi="Times New Roman" w:cs="Times New Roman"/>
          <w:sz w:val="18"/>
          <w:szCs w:val="18"/>
        </w:rPr>
        <w:t xml:space="preserve"> J Med 1989; 320: 703-706</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proofErr w:type="spellStart"/>
      <w:r w:rsidRPr="00725DAE">
        <w:rPr>
          <w:rFonts w:ascii="Times New Roman" w:hAnsi="Times New Roman" w:cs="Times New Roman"/>
          <w:sz w:val="18"/>
          <w:szCs w:val="18"/>
        </w:rPr>
        <w:t>DeFronzo</w:t>
      </w:r>
      <w:proofErr w:type="spellEnd"/>
      <w:r w:rsidRPr="00725DAE">
        <w:rPr>
          <w:rFonts w:ascii="Times New Roman" w:hAnsi="Times New Roman" w:cs="Times New Roman"/>
          <w:sz w:val="18"/>
          <w:szCs w:val="18"/>
        </w:rPr>
        <w:t xml:space="preserve"> RA, Tobin JD, Andres R. The glucose clamp technique. A method for the quantification of beta cell sensitivity to glucose and of tissue sensitivity to insulin. Am J </w:t>
      </w:r>
      <w:proofErr w:type="spellStart"/>
      <w:r w:rsidRPr="00725DAE">
        <w:rPr>
          <w:rFonts w:ascii="Times New Roman" w:hAnsi="Times New Roman" w:cs="Times New Roman"/>
          <w:sz w:val="18"/>
          <w:szCs w:val="18"/>
        </w:rPr>
        <w:t>Physiol</w:t>
      </w:r>
      <w:proofErr w:type="spellEnd"/>
      <w:r w:rsidRPr="00725DAE">
        <w:rPr>
          <w:rFonts w:ascii="Times New Roman" w:hAnsi="Times New Roman" w:cs="Times New Roman"/>
          <w:sz w:val="18"/>
          <w:szCs w:val="18"/>
        </w:rPr>
        <w:t xml:space="preserve"> 237: E214-</w:t>
      </w:r>
      <w:r w:rsidRPr="00725DAE">
        <w:rPr>
          <w:rFonts w:ascii="Times New Roman" w:eastAsia="Times New Roman" w:hAnsi="Times New Roman" w:cs="Times New Roman"/>
          <w:color w:val="000000"/>
          <w:sz w:val="18"/>
          <w:szCs w:val="18"/>
          <w:lang w:eastAsia="en-IN"/>
        </w:rPr>
        <w:t xml:space="preserve"> </w:t>
      </w:r>
      <w:r w:rsidRPr="00725DAE">
        <w:rPr>
          <w:rFonts w:ascii="Times New Roman" w:hAnsi="Times New Roman" w:cs="Times New Roman"/>
          <w:sz w:val="18"/>
          <w:szCs w:val="18"/>
        </w:rPr>
        <w:t xml:space="preserve">E223, </w:t>
      </w:r>
      <w:proofErr w:type="gramStart"/>
      <w:r w:rsidRPr="00725DAE">
        <w:rPr>
          <w:rFonts w:ascii="Times New Roman" w:hAnsi="Times New Roman" w:cs="Times New Roman"/>
          <w:sz w:val="18"/>
          <w:szCs w:val="18"/>
        </w:rPr>
        <w:t>197</w:t>
      </w:r>
      <w:bookmarkStart w:id="0" w:name="_GoBack"/>
      <w:bookmarkEnd w:id="0"/>
      <w:r w:rsidRPr="00725DAE">
        <w:rPr>
          <w:rFonts w:ascii="Times New Roman" w:hAnsi="Times New Roman" w:cs="Times New Roman"/>
          <w:sz w:val="18"/>
          <w:szCs w:val="18"/>
        </w:rPr>
        <w:t>9.</w:t>
      </w:r>
      <w:proofErr w:type="gramEnd"/>
      <w:r w:rsidRPr="00725DAE">
        <w:rPr>
          <w:rFonts w:ascii="Times New Roman" w:eastAsia="Times New Roman" w:hAnsi="Times New Roman" w:cs="Times New Roman"/>
          <w:color w:val="000000"/>
          <w:sz w:val="18"/>
          <w:szCs w:val="18"/>
          <w:lang w:eastAsia="en-IN"/>
        </w:rPr>
        <w:t xml:space="preserve"> </w:t>
      </w:r>
    </w:p>
    <w:p w:rsidR="00F2750F" w:rsidRPr="00725DAE" w:rsidRDefault="00F2750F" w:rsidP="00725DAE">
      <w:pPr>
        <w:pStyle w:val="ListParagraph"/>
        <w:numPr>
          <w:ilvl w:val="0"/>
          <w:numId w:val="11"/>
        </w:numPr>
        <w:shd w:val="clear" w:color="auto" w:fill="FFFFFF"/>
        <w:spacing w:after="0" w:line="360" w:lineRule="auto"/>
        <w:jc w:val="both"/>
        <w:rPr>
          <w:rFonts w:ascii="Times New Roman" w:eastAsia="Times New Roman" w:hAnsi="Times New Roman" w:cs="Times New Roman"/>
          <w:color w:val="000000"/>
          <w:sz w:val="18"/>
          <w:szCs w:val="18"/>
          <w:lang w:eastAsia="en-IN"/>
        </w:rPr>
      </w:pPr>
      <w:r w:rsidRPr="00725DAE">
        <w:rPr>
          <w:rFonts w:ascii="Times New Roman" w:hAnsi="Times New Roman" w:cs="Times New Roman"/>
          <w:sz w:val="18"/>
          <w:szCs w:val="18"/>
        </w:rPr>
        <w:t xml:space="preserve">Bergman RN, Phillips LS, </w:t>
      </w:r>
      <w:proofErr w:type="spellStart"/>
      <w:r w:rsidRPr="00725DAE">
        <w:rPr>
          <w:rFonts w:ascii="Times New Roman" w:hAnsi="Times New Roman" w:cs="Times New Roman"/>
          <w:sz w:val="18"/>
          <w:szCs w:val="18"/>
        </w:rPr>
        <w:t>Cobelli</w:t>
      </w:r>
      <w:proofErr w:type="spellEnd"/>
      <w:r w:rsidRPr="00725DAE">
        <w:rPr>
          <w:rFonts w:ascii="Times New Roman" w:hAnsi="Times New Roman" w:cs="Times New Roman"/>
          <w:sz w:val="18"/>
          <w:szCs w:val="18"/>
        </w:rPr>
        <w:t xml:space="preserve"> C. Physiologic evaluation of factors controlling glucose tolerance in man. Measurement of insulin sensitivity and beta-cell glucose sensitivity from the response to intravenous glucose. J </w:t>
      </w:r>
      <w:proofErr w:type="spellStart"/>
      <w:r w:rsidRPr="00725DAE">
        <w:rPr>
          <w:rFonts w:ascii="Times New Roman" w:hAnsi="Times New Roman" w:cs="Times New Roman"/>
          <w:sz w:val="18"/>
          <w:szCs w:val="18"/>
        </w:rPr>
        <w:t>Clin</w:t>
      </w:r>
      <w:proofErr w:type="spellEnd"/>
      <w:r w:rsidRPr="00725DAE">
        <w:rPr>
          <w:rFonts w:ascii="Times New Roman" w:hAnsi="Times New Roman" w:cs="Times New Roman"/>
          <w:sz w:val="18"/>
          <w:szCs w:val="18"/>
        </w:rPr>
        <w:t xml:space="preserve"> Invest 1981; 68: 1456-1467.</w:t>
      </w:r>
    </w:p>
    <w:p w:rsidR="00F2750F" w:rsidRPr="00725DAE" w:rsidRDefault="00F2750F" w:rsidP="00725DAE">
      <w:pPr>
        <w:pStyle w:val="ListParagraph"/>
        <w:spacing w:after="0" w:line="360" w:lineRule="auto"/>
        <w:jc w:val="both"/>
        <w:rPr>
          <w:rFonts w:ascii="Times New Roman" w:hAnsi="Times New Roman" w:cs="Times New Roman"/>
          <w:sz w:val="20"/>
          <w:szCs w:val="20"/>
        </w:rPr>
      </w:pPr>
    </w:p>
    <w:p w:rsidR="00FA6BA9" w:rsidRPr="00FA6BA9" w:rsidRDefault="00FA6BA9" w:rsidP="00FA6BA9">
      <w:pPr>
        <w:spacing w:line="276" w:lineRule="auto"/>
        <w:rPr>
          <w:rFonts w:ascii="Cambria" w:eastAsia="SimSun" w:hAnsi="Cambria"/>
          <w:sz w:val="16"/>
          <w:szCs w:val="16"/>
          <w:lang w:val="en-IN" w:eastAsia="en-IN"/>
        </w:rPr>
      </w:pPr>
      <w:r>
        <w:rPr>
          <w:rFonts w:ascii="Cambria" w:eastAsia="SimSun" w:hAnsi="Cambria"/>
          <w:sz w:val="16"/>
          <w:szCs w:val="16"/>
          <w:lang w:val="en-IN" w:eastAsia="en-IN"/>
        </w:rPr>
        <w:t xml:space="preserve">            </w:t>
      </w:r>
      <w:r w:rsidRPr="00FA6BA9">
        <w:rPr>
          <w:rFonts w:ascii="Cambria" w:eastAsia="SimSun" w:hAnsi="Cambria"/>
          <w:sz w:val="16"/>
          <w:szCs w:val="16"/>
          <w:lang w:val="en-IN" w:eastAsia="en-IN"/>
        </w:rPr>
        <w:t xml:space="preserve">Date of Publishing:  05 June 2021 </w:t>
      </w:r>
    </w:p>
    <w:p w:rsidR="00FA6BA9" w:rsidRPr="00FA6BA9" w:rsidRDefault="00FA6BA9" w:rsidP="00FA6BA9">
      <w:pPr>
        <w:spacing w:line="276" w:lineRule="auto"/>
        <w:ind w:left="454"/>
        <w:rPr>
          <w:rFonts w:ascii="Cambria" w:eastAsia="SimSun" w:hAnsi="Cambria"/>
          <w:sz w:val="16"/>
          <w:szCs w:val="16"/>
          <w:lang w:val="en-IN" w:eastAsia="en-IN"/>
        </w:rPr>
      </w:pPr>
      <w:r w:rsidRPr="00FA6BA9">
        <w:rPr>
          <w:rFonts w:ascii="Cambria" w:eastAsia="SimSun" w:hAnsi="Cambria"/>
          <w:sz w:val="16"/>
          <w:szCs w:val="16"/>
          <w:lang w:val="en-IN" w:eastAsia="en-IN"/>
        </w:rPr>
        <w:t xml:space="preserve">Author Declaration:  Source of support: Nil, Conflict of interest: Nil </w:t>
      </w:r>
    </w:p>
    <w:p w:rsidR="00FA6BA9" w:rsidRPr="00FA6BA9" w:rsidRDefault="00FA6BA9" w:rsidP="00FA6BA9">
      <w:pPr>
        <w:spacing w:line="276" w:lineRule="auto"/>
        <w:ind w:left="454"/>
        <w:rPr>
          <w:rFonts w:ascii="Cambria" w:eastAsia="SimSun" w:hAnsi="Cambria"/>
          <w:sz w:val="16"/>
          <w:szCs w:val="16"/>
          <w:lang w:val="en-IN" w:eastAsia="en-IN"/>
        </w:rPr>
      </w:pPr>
      <w:r w:rsidRPr="00FA6BA9">
        <w:rPr>
          <w:rFonts w:ascii="Cambria" w:eastAsia="SimSun" w:hAnsi="Cambria"/>
          <w:sz w:val="16"/>
          <w:szCs w:val="16"/>
          <w:lang w:val="en-IN" w:eastAsia="en-IN"/>
        </w:rPr>
        <w:t>Ethics Committee Approval obtained for this study?  YES</w:t>
      </w:r>
    </w:p>
    <w:p w:rsidR="00FA6BA9" w:rsidRPr="00FA6BA9" w:rsidRDefault="00FA6BA9" w:rsidP="00FA6BA9">
      <w:pPr>
        <w:spacing w:line="276" w:lineRule="auto"/>
        <w:ind w:left="454"/>
        <w:rPr>
          <w:rFonts w:ascii="Cambria" w:eastAsia="SimSun" w:hAnsi="Cambria"/>
          <w:sz w:val="16"/>
          <w:szCs w:val="16"/>
          <w:lang w:val="en-IN" w:eastAsia="en-IN"/>
        </w:rPr>
      </w:pPr>
      <w:r w:rsidRPr="00FA6BA9">
        <w:rPr>
          <w:rFonts w:ascii="Cambria" w:eastAsia="SimSun" w:hAnsi="Cambria"/>
          <w:sz w:val="16"/>
          <w:szCs w:val="16"/>
          <w:lang w:val="en-IN" w:eastAsia="en-IN"/>
        </w:rPr>
        <w:t>Was informed consent obtained from the subjects involved in the study?  YES</w:t>
      </w:r>
    </w:p>
    <w:p w:rsidR="00FA6BA9" w:rsidRPr="00FA6BA9" w:rsidRDefault="00FA6BA9" w:rsidP="00FA6BA9">
      <w:pPr>
        <w:spacing w:line="276" w:lineRule="auto"/>
        <w:ind w:left="454"/>
        <w:rPr>
          <w:rFonts w:ascii="Cambria" w:eastAsia="SimSun" w:hAnsi="Cambria"/>
          <w:sz w:val="16"/>
          <w:szCs w:val="16"/>
          <w:lang w:val="en-IN" w:eastAsia="en-IN"/>
        </w:rPr>
      </w:pPr>
      <w:r w:rsidRPr="00FA6BA9">
        <w:rPr>
          <w:rFonts w:ascii="Cambria" w:eastAsia="SimSun" w:hAnsi="Cambria"/>
          <w:sz w:val="16"/>
          <w:szCs w:val="16"/>
          <w:lang w:val="en-IN" w:eastAsia="en-IN"/>
        </w:rPr>
        <w:t>For any images presented appropriate consent has been obtained from the subjects: NA</w:t>
      </w:r>
    </w:p>
    <w:p w:rsidR="00FA6BA9" w:rsidRPr="00FA6BA9" w:rsidRDefault="00FA6BA9" w:rsidP="00FA6BA9">
      <w:pPr>
        <w:spacing w:line="276" w:lineRule="auto"/>
        <w:ind w:left="454"/>
        <w:rPr>
          <w:rFonts w:ascii="Cambria" w:eastAsia="SimSun" w:hAnsi="Cambria"/>
          <w:sz w:val="16"/>
          <w:szCs w:val="16"/>
          <w:lang w:val="en-IN" w:eastAsia="en-IN"/>
        </w:rPr>
      </w:pPr>
      <w:r w:rsidRPr="00FA6BA9">
        <w:rPr>
          <w:rFonts w:ascii="Cambria" w:eastAsia="SimSun" w:hAnsi="Cambria"/>
          <w:sz w:val="16"/>
          <w:szCs w:val="16"/>
          <w:lang w:val="en-IN" w:eastAsia="en-IN"/>
        </w:rPr>
        <w:t xml:space="preserve">Plagiarism Checked: </w:t>
      </w:r>
      <w:proofErr w:type="spellStart"/>
      <w:r w:rsidRPr="00FA6BA9">
        <w:rPr>
          <w:rFonts w:ascii="Cambria" w:eastAsia="SimSun" w:hAnsi="Cambria"/>
          <w:sz w:val="16"/>
          <w:szCs w:val="16"/>
          <w:lang w:val="en-IN" w:eastAsia="en-IN"/>
        </w:rPr>
        <w:t>Urkund</w:t>
      </w:r>
      <w:proofErr w:type="spellEnd"/>
      <w:r w:rsidRPr="00FA6BA9">
        <w:rPr>
          <w:rFonts w:ascii="Cambria" w:eastAsia="SimSun" w:hAnsi="Cambria"/>
          <w:sz w:val="16"/>
          <w:szCs w:val="16"/>
          <w:lang w:val="en-IN" w:eastAsia="en-IN"/>
        </w:rPr>
        <w:t xml:space="preserve"> Software </w:t>
      </w:r>
    </w:p>
    <w:p w:rsidR="00FA6BA9" w:rsidRPr="00FA6BA9" w:rsidRDefault="00FA6BA9" w:rsidP="00FA6BA9">
      <w:pPr>
        <w:spacing w:line="276" w:lineRule="auto"/>
        <w:ind w:left="454"/>
        <w:rPr>
          <w:rFonts w:ascii="Cambria" w:eastAsia="SimSun" w:hAnsi="Cambria"/>
          <w:spacing w:val="2"/>
          <w:sz w:val="16"/>
          <w:szCs w:val="16"/>
          <w:shd w:val="clear" w:color="auto" w:fill="FFFFFF"/>
          <w:lang w:val="en-IN" w:eastAsia="en-IN"/>
        </w:rPr>
      </w:pPr>
      <w:r w:rsidRPr="00FA6BA9">
        <w:rPr>
          <w:rFonts w:ascii="Cambria" w:eastAsia="SimSun" w:hAnsi="Cambria"/>
          <w:sz w:val="16"/>
          <w:szCs w:val="16"/>
          <w:lang w:val="en-IN" w:eastAsia="en-IN"/>
        </w:rPr>
        <w:t xml:space="preserve">Author work published under </w:t>
      </w:r>
      <w:r w:rsidRPr="00FA6BA9">
        <w:rPr>
          <w:rFonts w:ascii="Cambria" w:eastAsia="SimSun" w:hAnsi="Cambria"/>
          <w:spacing w:val="2"/>
          <w:sz w:val="16"/>
          <w:szCs w:val="16"/>
          <w:shd w:val="clear" w:color="auto" w:fill="FFFFFF"/>
          <w:lang w:val="en-IN" w:eastAsia="en-IN"/>
        </w:rPr>
        <w:t>a Creative Commons Attribution 4.0 International License</w:t>
      </w:r>
    </w:p>
    <w:p w:rsidR="00FA6BA9" w:rsidRPr="00FA6BA9" w:rsidRDefault="00FA6BA9" w:rsidP="00FA6BA9">
      <w:pPr>
        <w:spacing w:line="276" w:lineRule="auto"/>
        <w:ind w:left="454"/>
        <w:rPr>
          <w:rFonts w:ascii="Cambria" w:eastAsia="SimSun" w:hAnsi="Cambria" w:cs="Calibri Light"/>
          <w:bCs/>
          <w:sz w:val="16"/>
          <w:szCs w:val="16"/>
          <w:shd w:val="clear" w:color="auto" w:fill="FFFFFF"/>
          <w:lang w:val="en-IN" w:eastAsia="en-IN"/>
        </w:rPr>
      </w:pPr>
      <w:r w:rsidRPr="00FA6BA9">
        <w:rPr>
          <w:rFonts w:ascii="Calibri" w:eastAsia="SimSun" w:hAnsi="Calibri"/>
          <w:noProof/>
          <w:sz w:val="16"/>
          <w:szCs w:val="16"/>
          <w:lang w:val="en-IN" w:eastAsia="en-IN"/>
        </w:rPr>
        <w:drawing>
          <wp:anchor distT="0" distB="0" distL="114300" distR="114300" simplePos="0" relativeHeight="251659264" behindDoc="0" locked="0" layoutInCell="1" allowOverlap="1" wp14:anchorId="272A33B8" wp14:editId="190EE0F5">
            <wp:simplePos x="0" y="0"/>
            <wp:positionH relativeFrom="column">
              <wp:posOffset>290195</wp:posOffset>
            </wp:positionH>
            <wp:positionV relativeFrom="paragraph">
              <wp:posOffset>76200</wp:posOffset>
            </wp:positionV>
            <wp:extent cx="386715" cy="289560"/>
            <wp:effectExtent l="0" t="0" r="0" b="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71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BA9" w:rsidRPr="00FA6BA9" w:rsidRDefault="00FA6BA9" w:rsidP="00FA6BA9">
      <w:pPr>
        <w:tabs>
          <w:tab w:val="left" w:pos="496"/>
          <w:tab w:val="center" w:pos="4513"/>
          <w:tab w:val="right" w:pos="9026"/>
        </w:tabs>
        <w:spacing w:after="200" w:line="276" w:lineRule="auto"/>
        <w:ind w:right="-567"/>
        <w:rPr>
          <w:rFonts w:ascii="Cambria" w:eastAsia="SimSun" w:hAnsi="Cambria" w:cs="Calibri Light"/>
          <w:bCs/>
          <w:sz w:val="18"/>
          <w:szCs w:val="18"/>
          <w:shd w:val="clear" w:color="auto" w:fill="FFFFFF"/>
          <w:lang w:val="en-IN" w:eastAsia="en-IN"/>
        </w:rPr>
      </w:pPr>
    </w:p>
    <w:p w:rsidR="00FA6BA9" w:rsidRPr="00FA6BA9" w:rsidRDefault="00FA6BA9" w:rsidP="00FA6BA9">
      <w:pPr>
        <w:tabs>
          <w:tab w:val="left" w:pos="496"/>
          <w:tab w:val="center" w:pos="4513"/>
          <w:tab w:val="right" w:pos="9026"/>
        </w:tabs>
        <w:spacing w:after="200" w:line="276" w:lineRule="auto"/>
        <w:ind w:right="-567"/>
        <w:rPr>
          <w:rFonts w:ascii="Calibri" w:eastAsia="Calibri" w:hAnsi="Calibri"/>
          <w:sz w:val="18"/>
          <w:szCs w:val="18"/>
          <w:lang w:val="en-GB"/>
        </w:rPr>
      </w:pPr>
      <w:r w:rsidRPr="00FA6BA9">
        <w:rPr>
          <w:rFonts w:ascii="Cambria" w:eastAsia="SimSun" w:hAnsi="Cambria" w:cs="Calibri Light"/>
          <w:bCs/>
          <w:sz w:val="18"/>
          <w:szCs w:val="18"/>
          <w:shd w:val="clear" w:color="auto" w:fill="FFFFFF"/>
          <w:lang w:val="en-IN" w:eastAsia="en-IN"/>
        </w:rPr>
        <w:t xml:space="preserve">            DOI: 10.36848/IJBAMR/2020/29</w:t>
      </w:r>
      <w:r>
        <w:rPr>
          <w:rFonts w:ascii="Cambria" w:eastAsia="SimSun" w:hAnsi="Cambria" w:cs="Calibri Light"/>
          <w:bCs/>
          <w:sz w:val="18"/>
          <w:szCs w:val="18"/>
          <w:shd w:val="clear" w:color="auto" w:fill="FFFFFF"/>
          <w:lang w:val="en-IN" w:eastAsia="en-IN"/>
        </w:rPr>
        <w:t>215.55575</w:t>
      </w:r>
    </w:p>
    <w:p w:rsidR="00B3480F" w:rsidRPr="00725DAE" w:rsidRDefault="00B3480F" w:rsidP="00725DAE">
      <w:pPr>
        <w:spacing w:line="360" w:lineRule="auto"/>
        <w:jc w:val="both"/>
        <w:rPr>
          <w:sz w:val="20"/>
          <w:szCs w:val="20"/>
        </w:rPr>
      </w:pPr>
    </w:p>
    <w:sectPr w:rsidR="00B3480F" w:rsidRPr="00725DAE" w:rsidSect="00725DAE">
      <w:headerReference w:type="default" r:id="rId10"/>
      <w:footerReference w:type="default" r:id="rId11"/>
      <w:pgSz w:w="12240" w:h="15840"/>
      <w:pgMar w:top="1440" w:right="1440" w:bottom="1440" w:left="1440" w:header="708" w:footer="708"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10F" w:rsidRDefault="00DC110F" w:rsidP="00725DAE">
      <w:r>
        <w:separator/>
      </w:r>
    </w:p>
  </w:endnote>
  <w:endnote w:type="continuationSeparator" w:id="0">
    <w:p w:rsidR="00DC110F" w:rsidRDefault="00DC110F" w:rsidP="0072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725DAE">
      <w:trPr>
        <w:trHeight w:val="360"/>
      </w:trPr>
      <w:tc>
        <w:tcPr>
          <w:tcW w:w="3500" w:type="pct"/>
        </w:tcPr>
        <w:p w:rsidR="00725DAE" w:rsidRDefault="00725DAE">
          <w:pPr>
            <w:pStyle w:val="Footer"/>
            <w:jc w:val="right"/>
          </w:pPr>
          <w:r w:rsidRPr="00BA23CC">
            <w:rPr>
              <w:rFonts w:ascii="Cambria" w:hAnsi="Cambria"/>
              <w:sz w:val="20"/>
              <w:szCs w:val="20"/>
            </w:rPr>
            <w:t>www.ijbamr.com   P ISSN: 2250-284X, E ISSN: 2250-2858</w:t>
          </w:r>
        </w:p>
      </w:tc>
      <w:tc>
        <w:tcPr>
          <w:tcW w:w="1500" w:type="pct"/>
          <w:shd w:val="clear" w:color="auto" w:fill="8064A2" w:themeFill="accent4"/>
        </w:tcPr>
        <w:p w:rsidR="00725DAE" w:rsidRDefault="00725DAE">
          <w:pPr>
            <w:pStyle w:val="Footer"/>
            <w:jc w:val="right"/>
            <w:rPr>
              <w:color w:val="FFFFFF" w:themeColor="background1"/>
            </w:rPr>
          </w:pPr>
          <w:r>
            <w:fldChar w:fldCharType="begin"/>
          </w:r>
          <w:r>
            <w:instrText xml:space="preserve"> PAGE    \* MERGEFORMAT </w:instrText>
          </w:r>
          <w:r>
            <w:fldChar w:fldCharType="separate"/>
          </w:r>
          <w:r w:rsidR="00FA6BA9" w:rsidRPr="00FA6BA9">
            <w:rPr>
              <w:noProof/>
              <w:color w:val="FFFFFF" w:themeColor="background1"/>
            </w:rPr>
            <w:t>52</w:t>
          </w:r>
          <w:r>
            <w:rPr>
              <w:noProof/>
              <w:color w:val="FFFFFF" w:themeColor="background1"/>
            </w:rPr>
            <w:fldChar w:fldCharType="end"/>
          </w:r>
        </w:p>
      </w:tc>
    </w:tr>
  </w:tbl>
  <w:p w:rsidR="00725DAE" w:rsidRDefault="00725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10F" w:rsidRDefault="00DC110F" w:rsidP="00725DAE">
      <w:r>
        <w:separator/>
      </w:r>
    </w:p>
  </w:footnote>
  <w:footnote w:type="continuationSeparator" w:id="0">
    <w:p w:rsidR="00DC110F" w:rsidRDefault="00DC110F" w:rsidP="00725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AE" w:rsidRPr="00725DAE" w:rsidRDefault="00725DAE" w:rsidP="00725DAE">
    <w:pPr>
      <w:tabs>
        <w:tab w:val="left" w:pos="496"/>
        <w:tab w:val="center" w:pos="4680"/>
        <w:tab w:val="right" w:pos="9360"/>
      </w:tabs>
      <w:ind w:right="-567"/>
      <w:jc w:val="both"/>
      <w:rPr>
        <w:rFonts w:ascii="Cambria" w:eastAsia="Cambria" w:hAnsi="Cambria"/>
        <w:sz w:val="20"/>
      </w:rPr>
    </w:pPr>
    <w:r w:rsidRPr="00725DAE">
      <w:rPr>
        <w:rFonts w:ascii="Cambria" w:eastAsia="Cambria" w:hAnsi="Cambria"/>
        <w:sz w:val="20"/>
      </w:rPr>
      <w:t xml:space="preserve">Indian Journal of Basic and Applied Medical Research; June 2021: Vol.-10, Issue- 3, P. </w:t>
    </w:r>
    <w:r w:rsidR="00FA6BA9">
      <w:rPr>
        <w:rFonts w:ascii="Cambria" w:eastAsia="Cambria" w:hAnsi="Cambria"/>
        <w:sz w:val="20"/>
      </w:rPr>
      <w:t>43 - 52</w:t>
    </w:r>
  </w:p>
  <w:p w:rsidR="00725DAE" w:rsidRPr="00725DAE" w:rsidRDefault="00725DAE" w:rsidP="00725DAE">
    <w:pPr>
      <w:tabs>
        <w:tab w:val="left" w:pos="496"/>
        <w:tab w:val="center" w:pos="4680"/>
        <w:tab w:val="right" w:pos="9360"/>
      </w:tabs>
      <w:ind w:right="-567"/>
      <w:jc w:val="both"/>
      <w:rPr>
        <w:rFonts w:ascii="Cambria" w:eastAsia="Calibri" w:hAnsi="Cambria"/>
        <w:sz w:val="20"/>
      </w:rPr>
    </w:pPr>
    <w:r w:rsidRPr="00725DAE">
      <w:rPr>
        <w:rFonts w:ascii="Cambria" w:eastAsia="Calibri" w:hAnsi="Cambria" w:cs="Calibri Light"/>
        <w:bCs/>
        <w:sz w:val="20"/>
        <w:shd w:val="clear" w:color="auto" w:fill="FFFFFF"/>
      </w:rPr>
      <w:t xml:space="preserve">DOI: </w:t>
    </w:r>
    <w:r>
      <w:rPr>
        <w:rFonts w:ascii="Cambria" w:eastAsia="Calibri" w:hAnsi="Cambria" w:cs="Calibri Light"/>
        <w:bCs/>
        <w:sz w:val="20"/>
        <w:shd w:val="clear" w:color="auto" w:fill="FFFFFF"/>
      </w:rPr>
      <w:t>10.36848/IJBAMR/2020/29215.55575</w:t>
    </w:r>
  </w:p>
  <w:p w:rsidR="00725DAE" w:rsidRDefault="00725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6313"/>
    <w:multiLevelType w:val="hybridMultilevel"/>
    <w:tmpl w:val="58F2D088"/>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240C0DF8"/>
    <w:multiLevelType w:val="hybridMultilevel"/>
    <w:tmpl w:val="834C734A"/>
    <w:lvl w:ilvl="0" w:tplc="2CD4072C">
      <w:start w:val="3"/>
      <w:numFmt w:val="decimal"/>
      <w:lvlText w:val="%1."/>
      <w:lvlJc w:val="left"/>
      <w:pPr>
        <w:ind w:left="1800" w:hanging="360"/>
      </w:pPr>
      <w:rPr>
        <w:rFonts w:hint="default"/>
        <w:b/>
        <w:u w:val="none"/>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248708DD"/>
    <w:multiLevelType w:val="hybridMultilevel"/>
    <w:tmpl w:val="79309B3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6873352"/>
    <w:multiLevelType w:val="hybridMultilevel"/>
    <w:tmpl w:val="13CE1E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DCA2641"/>
    <w:multiLevelType w:val="hybridMultilevel"/>
    <w:tmpl w:val="85942468"/>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45BA224B"/>
    <w:multiLevelType w:val="hybridMultilevel"/>
    <w:tmpl w:val="BDE0F1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F436F8"/>
    <w:multiLevelType w:val="hybridMultilevel"/>
    <w:tmpl w:val="077C8C58"/>
    <w:lvl w:ilvl="0" w:tplc="F1AE6114">
      <w:start w:val="1"/>
      <w:numFmt w:val="bullet"/>
      <w:lvlText w:val="•"/>
      <w:lvlJc w:val="left"/>
      <w:pPr>
        <w:ind w:left="1080" w:hanging="360"/>
      </w:pPr>
      <w:rPr>
        <w:rFonts w:ascii="Arial" w:hAnsi="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53871B02"/>
    <w:multiLevelType w:val="hybridMultilevel"/>
    <w:tmpl w:val="3EF843CA"/>
    <w:lvl w:ilvl="0" w:tplc="4009000B">
      <w:start w:val="1"/>
      <w:numFmt w:val="bullet"/>
      <w:lvlText w:val=""/>
      <w:lvlJc w:val="left"/>
      <w:pPr>
        <w:ind w:left="720" w:hanging="360"/>
      </w:pPr>
      <w:rPr>
        <w:rFonts w:ascii="Wingdings" w:hAnsi="Wingding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27B5532"/>
    <w:multiLevelType w:val="hybridMultilevel"/>
    <w:tmpl w:val="450C432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661F0A89"/>
    <w:multiLevelType w:val="hybridMultilevel"/>
    <w:tmpl w:val="BB9A8B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C275A61"/>
    <w:multiLevelType w:val="hybridMultilevel"/>
    <w:tmpl w:val="79309B3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6"/>
  </w:num>
  <w:num w:numId="2">
    <w:abstractNumId w:val="4"/>
  </w:num>
  <w:num w:numId="3">
    <w:abstractNumId w:val="8"/>
  </w:num>
  <w:num w:numId="4">
    <w:abstractNumId w:val="0"/>
  </w:num>
  <w:num w:numId="5">
    <w:abstractNumId w:val="3"/>
  </w:num>
  <w:num w:numId="6">
    <w:abstractNumId w:val="7"/>
  </w:num>
  <w:num w:numId="7">
    <w:abstractNumId w:val="10"/>
  </w:num>
  <w:num w:numId="8">
    <w:abstractNumId w:val="1"/>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0F"/>
    <w:rsid w:val="00021EA2"/>
    <w:rsid w:val="000B67CC"/>
    <w:rsid w:val="002B425A"/>
    <w:rsid w:val="004734C1"/>
    <w:rsid w:val="00531D3C"/>
    <w:rsid w:val="005F2EAA"/>
    <w:rsid w:val="00725DAE"/>
    <w:rsid w:val="009843AB"/>
    <w:rsid w:val="009C1640"/>
    <w:rsid w:val="00A83D47"/>
    <w:rsid w:val="00B3480F"/>
    <w:rsid w:val="00C609C0"/>
    <w:rsid w:val="00D05E11"/>
    <w:rsid w:val="00D35A9E"/>
    <w:rsid w:val="00DC110F"/>
    <w:rsid w:val="00DE6D80"/>
    <w:rsid w:val="00ED0B61"/>
    <w:rsid w:val="00F2750F"/>
    <w:rsid w:val="00FA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0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750F"/>
    <w:pPr>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50F"/>
    <w:pPr>
      <w:spacing w:after="200" w:line="276" w:lineRule="auto"/>
      <w:ind w:left="720"/>
      <w:contextualSpacing/>
    </w:pPr>
    <w:rPr>
      <w:rFonts w:asciiTheme="minorHAnsi" w:eastAsiaTheme="minorHAnsi" w:hAnsiTheme="minorHAnsi" w:cstheme="minorBidi"/>
      <w:sz w:val="22"/>
      <w:szCs w:val="22"/>
      <w:lang w:val="en-IN"/>
    </w:rPr>
  </w:style>
  <w:style w:type="paragraph" w:customStyle="1" w:styleId="Pa6">
    <w:name w:val="Pa6"/>
    <w:basedOn w:val="Normal"/>
    <w:next w:val="Normal"/>
    <w:uiPriority w:val="99"/>
    <w:rsid w:val="00F2750F"/>
    <w:pPr>
      <w:autoSpaceDE w:val="0"/>
      <w:autoSpaceDN w:val="0"/>
      <w:adjustRightInd w:val="0"/>
      <w:spacing w:line="201" w:lineRule="atLeast"/>
    </w:pPr>
    <w:rPr>
      <w:rFonts w:ascii="Minion Pro" w:eastAsiaTheme="minorHAnsi" w:hAnsi="Minion Pro" w:cstheme="minorBidi"/>
      <w:lang w:val="en-IN"/>
    </w:rPr>
  </w:style>
  <w:style w:type="character" w:customStyle="1" w:styleId="Heading2Char">
    <w:name w:val="Heading 2 Char"/>
    <w:basedOn w:val="DefaultParagraphFont"/>
    <w:link w:val="Heading2"/>
    <w:uiPriority w:val="9"/>
    <w:rsid w:val="00F2750F"/>
    <w:rPr>
      <w:rFonts w:ascii="Times New Roman" w:eastAsia="Times New Roman" w:hAnsi="Times New Roman" w:cs="Times New Roman"/>
      <w:b/>
      <w:bCs/>
      <w:sz w:val="36"/>
      <w:szCs w:val="36"/>
      <w:lang w:val="en-IN" w:eastAsia="en-IN"/>
    </w:rPr>
  </w:style>
  <w:style w:type="character" w:styleId="Hyperlink">
    <w:name w:val="Hyperlink"/>
    <w:basedOn w:val="DefaultParagraphFont"/>
    <w:uiPriority w:val="99"/>
    <w:unhideWhenUsed/>
    <w:rsid w:val="00F2750F"/>
    <w:rPr>
      <w:strike w:val="0"/>
      <w:dstrike w:val="0"/>
      <w:color w:val="3097C1"/>
      <w:u w:val="none"/>
      <w:effect w:val="none"/>
    </w:rPr>
  </w:style>
  <w:style w:type="table" w:styleId="TableGrid">
    <w:name w:val="Table Grid"/>
    <w:basedOn w:val="TableNormal"/>
    <w:uiPriority w:val="59"/>
    <w:rsid w:val="00F2750F"/>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2750F"/>
  </w:style>
  <w:style w:type="character" w:customStyle="1" w:styleId="element-citation">
    <w:name w:val="element-citation"/>
    <w:basedOn w:val="DefaultParagraphFont"/>
    <w:rsid w:val="00F2750F"/>
  </w:style>
  <w:style w:type="character" w:customStyle="1" w:styleId="ref-journal">
    <w:name w:val="ref-journal"/>
    <w:basedOn w:val="DefaultParagraphFont"/>
    <w:rsid w:val="00F2750F"/>
  </w:style>
  <w:style w:type="character" w:customStyle="1" w:styleId="ref-vol">
    <w:name w:val="ref-vol"/>
    <w:basedOn w:val="DefaultParagraphFont"/>
    <w:rsid w:val="00F2750F"/>
  </w:style>
  <w:style w:type="paragraph" w:styleId="BalloonText">
    <w:name w:val="Balloon Text"/>
    <w:basedOn w:val="Normal"/>
    <w:link w:val="BalloonTextChar"/>
    <w:uiPriority w:val="99"/>
    <w:semiHidden/>
    <w:unhideWhenUsed/>
    <w:rsid w:val="00F2750F"/>
    <w:rPr>
      <w:rFonts w:ascii="Tahoma" w:hAnsi="Tahoma" w:cs="Tahoma"/>
      <w:sz w:val="16"/>
      <w:szCs w:val="16"/>
    </w:rPr>
  </w:style>
  <w:style w:type="character" w:customStyle="1" w:styleId="BalloonTextChar">
    <w:name w:val="Balloon Text Char"/>
    <w:basedOn w:val="DefaultParagraphFont"/>
    <w:link w:val="BalloonText"/>
    <w:uiPriority w:val="99"/>
    <w:semiHidden/>
    <w:rsid w:val="00F2750F"/>
    <w:rPr>
      <w:rFonts w:ascii="Tahoma" w:eastAsia="Times New Roman" w:hAnsi="Tahoma" w:cs="Tahoma"/>
      <w:sz w:val="16"/>
      <w:szCs w:val="16"/>
    </w:rPr>
  </w:style>
  <w:style w:type="paragraph" w:styleId="Header">
    <w:name w:val="header"/>
    <w:basedOn w:val="Normal"/>
    <w:link w:val="HeaderChar"/>
    <w:uiPriority w:val="99"/>
    <w:unhideWhenUsed/>
    <w:rsid w:val="00725DAE"/>
    <w:pPr>
      <w:tabs>
        <w:tab w:val="center" w:pos="4513"/>
        <w:tab w:val="right" w:pos="9026"/>
      </w:tabs>
    </w:pPr>
  </w:style>
  <w:style w:type="character" w:customStyle="1" w:styleId="HeaderChar">
    <w:name w:val="Header Char"/>
    <w:basedOn w:val="DefaultParagraphFont"/>
    <w:link w:val="Header"/>
    <w:uiPriority w:val="99"/>
    <w:rsid w:val="00725D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DAE"/>
    <w:pPr>
      <w:tabs>
        <w:tab w:val="center" w:pos="4513"/>
        <w:tab w:val="right" w:pos="9026"/>
      </w:tabs>
    </w:pPr>
  </w:style>
  <w:style w:type="character" w:customStyle="1" w:styleId="FooterChar">
    <w:name w:val="Footer Char"/>
    <w:basedOn w:val="DefaultParagraphFont"/>
    <w:link w:val="Footer"/>
    <w:uiPriority w:val="99"/>
    <w:rsid w:val="00725DA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0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750F"/>
    <w:pPr>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50F"/>
    <w:pPr>
      <w:spacing w:after="200" w:line="276" w:lineRule="auto"/>
      <w:ind w:left="720"/>
      <w:contextualSpacing/>
    </w:pPr>
    <w:rPr>
      <w:rFonts w:asciiTheme="minorHAnsi" w:eastAsiaTheme="minorHAnsi" w:hAnsiTheme="minorHAnsi" w:cstheme="minorBidi"/>
      <w:sz w:val="22"/>
      <w:szCs w:val="22"/>
      <w:lang w:val="en-IN"/>
    </w:rPr>
  </w:style>
  <w:style w:type="paragraph" w:customStyle="1" w:styleId="Pa6">
    <w:name w:val="Pa6"/>
    <w:basedOn w:val="Normal"/>
    <w:next w:val="Normal"/>
    <w:uiPriority w:val="99"/>
    <w:rsid w:val="00F2750F"/>
    <w:pPr>
      <w:autoSpaceDE w:val="0"/>
      <w:autoSpaceDN w:val="0"/>
      <w:adjustRightInd w:val="0"/>
      <w:spacing w:line="201" w:lineRule="atLeast"/>
    </w:pPr>
    <w:rPr>
      <w:rFonts w:ascii="Minion Pro" w:eastAsiaTheme="minorHAnsi" w:hAnsi="Minion Pro" w:cstheme="minorBidi"/>
      <w:lang w:val="en-IN"/>
    </w:rPr>
  </w:style>
  <w:style w:type="character" w:customStyle="1" w:styleId="Heading2Char">
    <w:name w:val="Heading 2 Char"/>
    <w:basedOn w:val="DefaultParagraphFont"/>
    <w:link w:val="Heading2"/>
    <w:uiPriority w:val="9"/>
    <w:rsid w:val="00F2750F"/>
    <w:rPr>
      <w:rFonts w:ascii="Times New Roman" w:eastAsia="Times New Roman" w:hAnsi="Times New Roman" w:cs="Times New Roman"/>
      <w:b/>
      <w:bCs/>
      <w:sz w:val="36"/>
      <w:szCs w:val="36"/>
      <w:lang w:val="en-IN" w:eastAsia="en-IN"/>
    </w:rPr>
  </w:style>
  <w:style w:type="character" w:styleId="Hyperlink">
    <w:name w:val="Hyperlink"/>
    <w:basedOn w:val="DefaultParagraphFont"/>
    <w:uiPriority w:val="99"/>
    <w:unhideWhenUsed/>
    <w:rsid w:val="00F2750F"/>
    <w:rPr>
      <w:strike w:val="0"/>
      <w:dstrike w:val="0"/>
      <w:color w:val="3097C1"/>
      <w:u w:val="none"/>
      <w:effect w:val="none"/>
    </w:rPr>
  </w:style>
  <w:style w:type="table" w:styleId="TableGrid">
    <w:name w:val="Table Grid"/>
    <w:basedOn w:val="TableNormal"/>
    <w:uiPriority w:val="59"/>
    <w:rsid w:val="00F2750F"/>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2750F"/>
  </w:style>
  <w:style w:type="character" w:customStyle="1" w:styleId="element-citation">
    <w:name w:val="element-citation"/>
    <w:basedOn w:val="DefaultParagraphFont"/>
    <w:rsid w:val="00F2750F"/>
  </w:style>
  <w:style w:type="character" w:customStyle="1" w:styleId="ref-journal">
    <w:name w:val="ref-journal"/>
    <w:basedOn w:val="DefaultParagraphFont"/>
    <w:rsid w:val="00F2750F"/>
  </w:style>
  <w:style w:type="character" w:customStyle="1" w:styleId="ref-vol">
    <w:name w:val="ref-vol"/>
    <w:basedOn w:val="DefaultParagraphFont"/>
    <w:rsid w:val="00F2750F"/>
  </w:style>
  <w:style w:type="paragraph" w:styleId="BalloonText">
    <w:name w:val="Balloon Text"/>
    <w:basedOn w:val="Normal"/>
    <w:link w:val="BalloonTextChar"/>
    <w:uiPriority w:val="99"/>
    <w:semiHidden/>
    <w:unhideWhenUsed/>
    <w:rsid w:val="00F2750F"/>
    <w:rPr>
      <w:rFonts w:ascii="Tahoma" w:hAnsi="Tahoma" w:cs="Tahoma"/>
      <w:sz w:val="16"/>
      <w:szCs w:val="16"/>
    </w:rPr>
  </w:style>
  <w:style w:type="character" w:customStyle="1" w:styleId="BalloonTextChar">
    <w:name w:val="Balloon Text Char"/>
    <w:basedOn w:val="DefaultParagraphFont"/>
    <w:link w:val="BalloonText"/>
    <w:uiPriority w:val="99"/>
    <w:semiHidden/>
    <w:rsid w:val="00F2750F"/>
    <w:rPr>
      <w:rFonts w:ascii="Tahoma" w:eastAsia="Times New Roman" w:hAnsi="Tahoma" w:cs="Tahoma"/>
      <w:sz w:val="16"/>
      <w:szCs w:val="16"/>
    </w:rPr>
  </w:style>
  <w:style w:type="paragraph" w:styleId="Header">
    <w:name w:val="header"/>
    <w:basedOn w:val="Normal"/>
    <w:link w:val="HeaderChar"/>
    <w:uiPriority w:val="99"/>
    <w:unhideWhenUsed/>
    <w:rsid w:val="00725DAE"/>
    <w:pPr>
      <w:tabs>
        <w:tab w:val="center" w:pos="4513"/>
        <w:tab w:val="right" w:pos="9026"/>
      </w:tabs>
    </w:pPr>
  </w:style>
  <w:style w:type="character" w:customStyle="1" w:styleId="HeaderChar">
    <w:name w:val="Header Char"/>
    <w:basedOn w:val="DefaultParagraphFont"/>
    <w:link w:val="Header"/>
    <w:uiPriority w:val="99"/>
    <w:rsid w:val="00725D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DAE"/>
    <w:pPr>
      <w:tabs>
        <w:tab w:val="center" w:pos="4513"/>
        <w:tab w:val="right" w:pos="9026"/>
      </w:tabs>
    </w:pPr>
  </w:style>
  <w:style w:type="character" w:customStyle="1" w:styleId="FooterChar">
    <w:name w:val="Footer Char"/>
    <w:basedOn w:val="DefaultParagraphFont"/>
    <w:link w:val="Footer"/>
    <w:uiPriority w:val="99"/>
    <w:rsid w:val="00725D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ronoff%20S%5BAuthor%5D&amp;cauthor=true&amp;cauthor_uid=1109228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RDRL</cp:lastModifiedBy>
  <cp:revision>4</cp:revision>
  <cp:lastPrinted>2021-06-15T04:25:00Z</cp:lastPrinted>
  <dcterms:created xsi:type="dcterms:W3CDTF">2021-06-15T04:11:00Z</dcterms:created>
  <dcterms:modified xsi:type="dcterms:W3CDTF">2021-06-15T04:25:00Z</dcterms:modified>
</cp:coreProperties>
</file>