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3D2BB" w14:textId="77777777" w:rsidR="00A10588" w:rsidRPr="00CD5972" w:rsidRDefault="00A10588" w:rsidP="004708B6">
      <w:pPr>
        <w:spacing w:after="0" w:line="360" w:lineRule="auto"/>
        <w:jc w:val="both"/>
        <w:rPr>
          <w:rFonts w:asciiTheme="majorHAnsi" w:eastAsia="Times New Roman" w:hAnsiTheme="majorHAnsi" w:cs="Times New Roman"/>
          <w:b/>
          <w:i/>
          <w:iCs/>
          <w:sz w:val="24"/>
          <w:szCs w:val="24"/>
          <w:lang w:eastAsia="en-IN"/>
        </w:rPr>
      </w:pPr>
      <w:r w:rsidRPr="00CD5972">
        <w:rPr>
          <w:rFonts w:asciiTheme="majorHAnsi" w:eastAsia="Times New Roman" w:hAnsiTheme="majorHAnsi" w:cs="Times New Roman"/>
          <w:b/>
          <w:i/>
          <w:iCs/>
          <w:sz w:val="24"/>
          <w:szCs w:val="24"/>
          <w:highlight w:val="lightGray"/>
          <w:lang w:eastAsia="en-IN"/>
        </w:rPr>
        <w:t>Original article</w:t>
      </w:r>
    </w:p>
    <w:p w14:paraId="43981E4F" w14:textId="567247B9" w:rsidR="004A318C" w:rsidRPr="00CD5972" w:rsidRDefault="004A318C" w:rsidP="004708B6">
      <w:pPr>
        <w:spacing w:after="0" w:line="360" w:lineRule="auto"/>
        <w:rPr>
          <w:rFonts w:asciiTheme="majorHAnsi" w:eastAsia="Times New Roman" w:hAnsiTheme="majorHAnsi" w:cs="Times New Roman"/>
          <w:b/>
          <w:i/>
          <w:iCs/>
          <w:color w:val="0070C0"/>
          <w:sz w:val="28"/>
          <w:szCs w:val="28"/>
          <w:lang w:eastAsia="en-IN"/>
        </w:rPr>
      </w:pPr>
      <w:proofErr w:type="spellStart"/>
      <w:r w:rsidRPr="00CD5972">
        <w:rPr>
          <w:rFonts w:asciiTheme="majorHAnsi" w:eastAsia="Times New Roman" w:hAnsiTheme="majorHAnsi" w:cs="Times New Roman"/>
          <w:b/>
          <w:i/>
          <w:iCs/>
          <w:color w:val="0070C0"/>
          <w:sz w:val="28"/>
          <w:szCs w:val="28"/>
          <w:lang w:eastAsia="en-IN"/>
        </w:rPr>
        <w:t>Bileaflet</w:t>
      </w:r>
      <w:proofErr w:type="spellEnd"/>
      <w:r w:rsidRPr="00CD5972">
        <w:rPr>
          <w:rFonts w:asciiTheme="majorHAnsi" w:eastAsia="Times New Roman" w:hAnsiTheme="majorHAnsi" w:cs="Times New Roman"/>
          <w:b/>
          <w:i/>
          <w:iCs/>
          <w:color w:val="0070C0"/>
          <w:sz w:val="28"/>
          <w:szCs w:val="28"/>
          <w:lang w:eastAsia="en-IN"/>
        </w:rPr>
        <w:t xml:space="preserve"> Versus Tilting Disc Valves in Valve Replacement Surgery: Analysis of Thromboembolic Events, Anticoagulation Requirements, and Survival Outcomes</w:t>
      </w:r>
    </w:p>
    <w:p w14:paraId="2ADB586F" w14:textId="79E2DDF2" w:rsidR="004708B6" w:rsidRPr="00CD5972" w:rsidRDefault="004708B6" w:rsidP="004708B6">
      <w:pPr>
        <w:suppressAutoHyphens/>
        <w:autoSpaceDN w:val="0"/>
        <w:spacing w:after="0" w:line="360" w:lineRule="auto"/>
        <w:jc w:val="both"/>
        <w:rPr>
          <w:rFonts w:asciiTheme="majorHAnsi" w:eastAsia="Calibri" w:hAnsiTheme="majorHAnsi" w:cs="Times New Roman"/>
          <w:i/>
          <w:iCs/>
          <w:kern w:val="3"/>
          <w:sz w:val="20"/>
          <w:szCs w:val="20"/>
          <w:lang w:val="en-GB"/>
        </w:rPr>
      </w:pPr>
      <w:r w:rsidRPr="00CD5972">
        <w:rPr>
          <w:rFonts w:asciiTheme="majorHAnsi" w:eastAsia="Calibri" w:hAnsiTheme="majorHAnsi" w:cs="Times New Roman"/>
          <w:b/>
          <w:bCs/>
          <w:i/>
          <w:iCs/>
          <w:kern w:val="3"/>
          <w:sz w:val="20"/>
          <w:szCs w:val="20"/>
          <w:vertAlign w:val="superscript"/>
          <w:lang w:val="en-GB"/>
        </w:rPr>
        <w:t>1</w:t>
      </w:r>
      <w:r w:rsidRPr="00CD5972">
        <w:rPr>
          <w:rFonts w:asciiTheme="majorHAnsi" w:eastAsia="Calibri" w:hAnsiTheme="majorHAnsi" w:cs="Times New Roman"/>
          <w:b/>
          <w:bCs/>
          <w:i/>
          <w:iCs/>
          <w:kern w:val="3"/>
          <w:sz w:val="20"/>
          <w:szCs w:val="20"/>
          <w:lang w:val="en-GB"/>
        </w:rPr>
        <w:t xml:space="preserve">Dr Nimesh Srivastava, </w:t>
      </w:r>
      <w:r w:rsidRPr="00CD5972">
        <w:rPr>
          <w:rFonts w:asciiTheme="majorHAnsi" w:eastAsia="Calibri" w:hAnsiTheme="majorHAnsi" w:cs="Times New Roman"/>
          <w:b/>
          <w:bCs/>
          <w:i/>
          <w:iCs/>
          <w:kern w:val="3"/>
          <w:sz w:val="20"/>
          <w:szCs w:val="20"/>
          <w:vertAlign w:val="superscript"/>
          <w:lang w:val="en-GB"/>
        </w:rPr>
        <w:t>2</w:t>
      </w:r>
      <w:r w:rsidRPr="00CD5972">
        <w:rPr>
          <w:rFonts w:asciiTheme="majorHAnsi" w:eastAsia="Calibri" w:hAnsiTheme="majorHAnsi" w:cs="Times New Roman"/>
          <w:b/>
          <w:bCs/>
          <w:i/>
          <w:iCs/>
          <w:kern w:val="3"/>
          <w:sz w:val="20"/>
          <w:szCs w:val="20"/>
        </w:rPr>
        <w:t>Dr S.E.H. Naqvi</w:t>
      </w:r>
      <w:r w:rsidRPr="00CD5972">
        <w:rPr>
          <w:rFonts w:asciiTheme="majorHAnsi" w:eastAsia="Calibri" w:hAnsiTheme="majorHAnsi" w:cs="Times New Roman"/>
          <w:b/>
          <w:bCs/>
          <w:i/>
          <w:iCs/>
          <w:kern w:val="3"/>
          <w:sz w:val="20"/>
          <w:szCs w:val="20"/>
          <w:lang w:val="en-GB"/>
        </w:rPr>
        <w:t xml:space="preserve"> *, </w:t>
      </w:r>
      <w:r w:rsidRPr="00CD5972">
        <w:rPr>
          <w:rFonts w:asciiTheme="majorHAnsi" w:eastAsia="Calibri" w:hAnsiTheme="majorHAnsi" w:cs="Times New Roman"/>
          <w:b/>
          <w:bCs/>
          <w:i/>
          <w:iCs/>
          <w:kern w:val="3"/>
          <w:sz w:val="20"/>
          <w:szCs w:val="20"/>
          <w:vertAlign w:val="superscript"/>
          <w:lang w:val="en-GB"/>
        </w:rPr>
        <w:t>3</w:t>
      </w:r>
      <w:r w:rsidRPr="00CD5972">
        <w:rPr>
          <w:rFonts w:asciiTheme="majorHAnsi" w:eastAsia="Calibri" w:hAnsiTheme="majorHAnsi" w:cs="Times New Roman"/>
          <w:b/>
          <w:bCs/>
          <w:i/>
          <w:iCs/>
          <w:kern w:val="3"/>
          <w:sz w:val="20"/>
          <w:szCs w:val="20"/>
          <w:lang w:val="en-GB"/>
        </w:rPr>
        <w:t>Dr Mayank Agarwal</w:t>
      </w:r>
    </w:p>
    <w:p w14:paraId="3BDC74D7" w14:textId="77777777" w:rsidR="004708B6" w:rsidRPr="00CD5972" w:rsidRDefault="004708B6" w:rsidP="004708B6">
      <w:pPr>
        <w:suppressAutoHyphens/>
        <w:autoSpaceDN w:val="0"/>
        <w:spacing w:after="0" w:line="360" w:lineRule="auto"/>
        <w:jc w:val="both"/>
        <w:rPr>
          <w:rFonts w:asciiTheme="majorHAnsi" w:eastAsia="Calibri" w:hAnsiTheme="majorHAnsi" w:cs="Times New Roman"/>
          <w:b/>
          <w:bCs/>
          <w:i/>
          <w:iCs/>
          <w:kern w:val="3"/>
          <w:sz w:val="20"/>
          <w:szCs w:val="20"/>
          <w:lang w:val="en-GB"/>
        </w:rPr>
      </w:pPr>
    </w:p>
    <w:p w14:paraId="137B1FC5" w14:textId="7532A1CD" w:rsidR="004708B6" w:rsidRPr="00CD5972" w:rsidRDefault="004708B6" w:rsidP="004708B6">
      <w:pPr>
        <w:suppressAutoHyphens/>
        <w:autoSpaceDN w:val="0"/>
        <w:spacing w:after="0" w:line="360" w:lineRule="auto"/>
        <w:jc w:val="both"/>
        <w:rPr>
          <w:rFonts w:asciiTheme="majorHAnsi" w:eastAsia="Calibri" w:hAnsiTheme="majorHAnsi" w:cs="Times New Roman"/>
          <w:i/>
          <w:iCs/>
          <w:kern w:val="3"/>
          <w:sz w:val="18"/>
          <w:szCs w:val="18"/>
          <w:lang w:val="en-GB"/>
        </w:rPr>
      </w:pPr>
      <w:r w:rsidRPr="00CD5972">
        <w:rPr>
          <w:rFonts w:asciiTheme="majorHAnsi" w:eastAsia="Calibri" w:hAnsiTheme="majorHAnsi" w:cs="Times New Roman"/>
          <w:i/>
          <w:iCs/>
          <w:kern w:val="3"/>
          <w:sz w:val="18"/>
          <w:szCs w:val="18"/>
          <w:vertAlign w:val="superscript"/>
          <w:lang w:val="en-GB"/>
        </w:rPr>
        <w:t>1</w:t>
      </w:r>
      <w:r w:rsidRPr="00CD5972">
        <w:rPr>
          <w:rFonts w:asciiTheme="majorHAnsi" w:eastAsia="Calibri" w:hAnsiTheme="majorHAnsi" w:cs="Times New Roman"/>
          <w:i/>
          <w:iCs/>
          <w:kern w:val="3"/>
          <w:sz w:val="18"/>
          <w:szCs w:val="18"/>
          <w:lang w:val="en-GB"/>
        </w:rPr>
        <w:t xml:space="preserve">Senior Resident, Cardio Vascular Thoracic Surgery, GIPMER / GB Pant Hospital, New Delhi </w:t>
      </w:r>
    </w:p>
    <w:p w14:paraId="757E7CDD" w14:textId="4A31A2FA" w:rsidR="004708B6" w:rsidRPr="00CD5972" w:rsidRDefault="004708B6" w:rsidP="004708B6">
      <w:pPr>
        <w:suppressAutoHyphens/>
        <w:autoSpaceDN w:val="0"/>
        <w:spacing w:after="0" w:line="360" w:lineRule="auto"/>
        <w:jc w:val="both"/>
        <w:rPr>
          <w:rFonts w:asciiTheme="majorHAnsi" w:eastAsia="Calibri" w:hAnsiTheme="majorHAnsi" w:cs="Times New Roman"/>
          <w:i/>
          <w:iCs/>
          <w:kern w:val="3"/>
          <w:sz w:val="18"/>
          <w:szCs w:val="18"/>
          <w:lang w:val="en-GB"/>
        </w:rPr>
      </w:pPr>
      <w:r w:rsidRPr="00CD5972">
        <w:rPr>
          <w:rFonts w:asciiTheme="majorHAnsi" w:eastAsia="Calibri" w:hAnsiTheme="majorHAnsi" w:cs="Times New Roman"/>
          <w:i/>
          <w:iCs/>
          <w:kern w:val="3"/>
          <w:sz w:val="18"/>
          <w:szCs w:val="18"/>
          <w:vertAlign w:val="superscript"/>
          <w:lang w:val="en-GB"/>
        </w:rPr>
        <w:t>2</w:t>
      </w:r>
      <w:r w:rsidRPr="00CD5972">
        <w:rPr>
          <w:rFonts w:asciiTheme="majorHAnsi" w:eastAsia="Calibri" w:hAnsiTheme="majorHAnsi" w:cs="Times New Roman"/>
          <w:i/>
          <w:iCs/>
          <w:kern w:val="3"/>
          <w:sz w:val="18"/>
          <w:szCs w:val="18"/>
          <w:lang w:val="en-GB"/>
        </w:rPr>
        <w:t xml:space="preserve">Professor, </w:t>
      </w:r>
      <w:bookmarkStart w:id="0" w:name="_Hlk241405078"/>
      <w:r w:rsidRPr="00CD5972">
        <w:rPr>
          <w:rFonts w:asciiTheme="majorHAnsi" w:eastAsia="Calibri" w:hAnsiTheme="majorHAnsi" w:cs="Times New Roman"/>
          <w:i/>
          <w:iCs/>
          <w:kern w:val="3"/>
          <w:sz w:val="18"/>
          <w:szCs w:val="18"/>
          <w:lang w:val="en-GB"/>
        </w:rPr>
        <w:t xml:space="preserve">Cardio Vascular Thoracic surgery, </w:t>
      </w:r>
      <w:bookmarkEnd w:id="0"/>
      <w:r w:rsidRPr="00CD5972">
        <w:rPr>
          <w:rFonts w:asciiTheme="majorHAnsi" w:eastAsia="Calibri" w:hAnsiTheme="majorHAnsi" w:cs="Times New Roman"/>
          <w:i/>
          <w:iCs/>
          <w:kern w:val="3"/>
          <w:sz w:val="18"/>
          <w:szCs w:val="18"/>
          <w:lang w:val="en-GB"/>
        </w:rPr>
        <w:t>GIPMER / GB Pant Hospital, New Delhi</w:t>
      </w:r>
    </w:p>
    <w:p w14:paraId="10892240" w14:textId="5787C872" w:rsidR="004708B6" w:rsidRPr="00CD5972" w:rsidRDefault="004708B6" w:rsidP="004708B6">
      <w:pPr>
        <w:suppressAutoHyphens/>
        <w:autoSpaceDN w:val="0"/>
        <w:spacing w:after="0" w:line="360" w:lineRule="auto"/>
        <w:jc w:val="both"/>
        <w:rPr>
          <w:rFonts w:asciiTheme="majorHAnsi" w:eastAsia="Calibri" w:hAnsiTheme="majorHAnsi" w:cs="Times New Roman"/>
          <w:i/>
          <w:iCs/>
          <w:kern w:val="3"/>
          <w:sz w:val="18"/>
          <w:szCs w:val="18"/>
          <w:lang w:val="en-GB"/>
        </w:rPr>
      </w:pPr>
      <w:r w:rsidRPr="00CD5972">
        <w:rPr>
          <w:rFonts w:asciiTheme="majorHAnsi" w:eastAsia="Calibri" w:hAnsiTheme="majorHAnsi" w:cs="Times New Roman"/>
          <w:i/>
          <w:iCs/>
          <w:kern w:val="3"/>
          <w:sz w:val="18"/>
          <w:szCs w:val="18"/>
          <w:vertAlign w:val="superscript"/>
          <w:lang w:val="en-GB"/>
        </w:rPr>
        <w:t>3</w:t>
      </w:r>
      <w:r w:rsidRPr="00CD5972">
        <w:rPr>
          <w:rFonts w:asciiTheme="majorHAnsi" w:eastAsia="Calibri" w:hAnsiTheme="majorHAnsi" w:cs="Times New Roman"/>
          <w:i/>
          <w:iCs/>
          <w:kern w:val="3"/>
          <w:sz w:val="18"/>
          <w:szCs w:val="18"/>
          <w:lang w:val="en-GB"/>
        </w:rPr>
        <w:t xml:space="preserve">Senior Resident, Cardio Vascular Thoracic surgery, GIPMER / GB Pant Hospital, New Delhi </w:t>
      </w:r>
    </w:p>
    <w:p w14:paraId="2DDB8BF8" w14:textId="77777777" w:rsidR="004708B6" w:rsidRPr="00CD5972" w:rsidRDefault="004708B6" w:rsidP="004708B6">
      <w:pPr>
        <w:suppressAutoHyphens/>
        <w:autoSpaceDN w:val="0"/>
        <w:spacing w:after="0" w:line="360" w:lineRule="auto"/>
        <w:jc w:val="both"/>
        <w:rPr>
          <w:rFonts w:asciiTheme="majorHAnsi" w:eastAsia="Calibri" w:hAnsiTheme="majorHAnsi" w:cs="Times New Roman"/>
          <w:i/>
          <w:iCs/>
          <w:kern w:val="3"/>
          <w:sz w:val="18"/>
          <w:szCs w:val="18"/>
          <w:lang w:val="en-GB"/>
        </w:rPr>
      </w:pPr>
      <w:r w:rsidRPr="00CD5972">
        <w:rPr>
          <w:rFonts w:asciiTheme="majorHAnsi" w:eastAsia="Calibri" w:hAnsiTheme="majorHAnsi" w:cs="Times New Roman"/>
          <w:i/>
          <w:iCs/>
          <w:kern w:val="3"/>
          <w:sz w:val="18"/>
          <w:szCs w:val="18"/>
          <w:lang w:val="en-GB"/>
        </w:rPr>
        <w:t>Corresponding author*</w:t>
      </w:r>
    </w:p>
    <w:p w14:paraId="21E9046B" w14:textId="77777777" w:rsidR="004708B6" w:rsidRPr="00CD5972" w:rsidRDefault="004708B6" w:rsidP="004708B6">
      <w:pPr>
        <w:suppressAutoHyphens/>
        <w:autoSpaceDN w:val="0"/>
        <w:spacing w:after="0" w:line="360" w:lineRule="auto"/>
        <w:jc w:val="both"/>
        <w:rPr>
          <w:rFonts w:asciiTheme="majorHAnsi" w:eastAsia="Times New Roman" w:hAnsiTheme="majorHAnsi" w:cs="Times New Roman"/>
          <w:b/>
          <w:i/>
          <w:iCs/>
          <w:sz w:val="20"/>
          <w:szCs w:val="20"/>
          <w:lang w:eastAsia="en-IN"/>
        </w:rPr>
      </w:pPr>
    </w:p>
    <w:p w14:paraId="3DCF9664" w14:textId="3C5848AE" w:rsidR="00F1664C" w:rsidRPr="00CD5972" w:rsidRDefault="00F1664C" w:rsidP="004708B6">
      <w:pPr>
        <w:suppressAutoHyphens/>
        <w:autoSpaceDN w:val="0"/>
        <w:spacing w:after="0" w:line="360" w:lineRule="auto"/>
        <w:jc w:val="both"/>
        <w:rPr>
          <w:rFonts w:asciiTheme="majorHAnsi" w:eastAsia="Calibri" w:hAnsiTheme="majorHAnsi" w:cs="Times New Roman"/>
          <w:i/>
          <w:iCs/>
          <w:kern w:val="3"/>
          <w:sz w:val="20"/>
          <w:szCs w:val="20"/>
          <w:lang w:val="en-GB"/>
        </w:rPr>
      </w:pPr>
      <w:r w:rsidRPr="00CD5972">
        <w:rPr>
          <w:rFonts w:asciiTheme="majorHAnsi" w:eastAsia="Times New Roman" w:hAnsiTheme="majorHAnsi" w:cs="Times New Roman"/>
          <w:b/>
          <w:i/>
          <w:iCs/>
          <w:sz w:val="20"/>
          <w:szCs w:val="20"/>
          <w:lang w:eastAsia="en-IN"/>
        </w:rPr>
        <w:t xml:space="preserve">Abstract: </w:t>
      </w:r>
    </w:p>
    <w:p w14:paraId="5FC93E10" w14:textId="77777777" w:rsidR="00F1664C" w:rsidRPr="00CD5972" w:rsidRDefault="00F1664C" w:rsidP="004708B6">
      <w:pPr>
        <w:spacing w:after="0" w:line="360" w:lineRule="auto"/>
        <w:jc w:val="both"/>
        <w:rPr>
          <w:rFonts w:asciiTheme="majorHAnsi" w:eastAsia="Times New Roman" w:hAnsiTheme="majorHAnsi" w:cs="Times New Roman"/>
          <w:b/>
          <w:i/>
          <w:iCs/>
          <w:sz w:val="18"/>
          <w:szCs w:val="18"/>
          <w:lang w:eastAsia="en-IN"/>
        </w:rPr>
      </w:pPr>
      <w:r w:rsidRPr="00CD5972">
        <w:rPr>
          <w:rFonts w:asciiTheme="majorHAnsi" w:eastAsia="Times New Roman" w:hAnsiTheme="majorHAnsi" w:cs="Times New Roman"/>
          <w:bCs/>
          <w:i/>
          <w:iCs/>
          <w:sz w:val="18"/>
          <w:szCs w:val="18"/>
          <w:lang w:eastAsia="en-IN"/>
        </w:rPr>
        <w:t>Background:</w:t>
      </w:r>
      <w:r w:rsidRPr="00CD5972">
        <w:rPr>
          <w:rFonts w:asciiTheme="majorHAnsi" w:eastAsia="Times New Roman" w:hAnsiTheme="majorHAnsi" w:cs="Times New Roman"/>
          <w:i/>
          <w:iCs/>
          <w:sz w:val="18"/>
          <w:szCs w:val="18"/>
          <w:lang w:eastAsia="en-IN"/>
        </w:rPr>
        <w:t xml:space="preserve"> Mechanical prosthetic valves, particularly </w:t>
      </w:r>
      <w:proofErr w:type="spellStart"/>
      <w:r w:rsidRPr="00CD5972">
        <w:rPr>
          <w:rFonts w:asciiTheme="majorHAnsi" w:eastAsia="Times New Roman" w:hAnsiTheme="majorHAnsi" w:cs="Times New Roman"/>
          <w:i/>
          <w:iCs/>
          <w:sz w:val="18"/>
          <w:szCs w:val="18"/>
          <w:lang w:eastAsia="en-IN"/>
        </w:rPr>
        <w:t>bileaflet</w:t>
      </w:r>
      <w:proofErr w:type="spellEnd"/>
      <w:r w:rsidRPr="00CD5972">
        <w:rPr>
          <w:rFonts w:asciiTheme="majorHAnsi" w:eastAsia="Times New Roman" w:hAnsiTheme="majorHAnsi" w:cs="Times New Roman"/>
          <w:i/>
          <w:iCs/>
          <w:sz w:val="18"/>
          <w:szCs w:val="18"/>
          <w:lang w:eastAsia="en-IN"/>
        </w:rPr>
        <w:t xml:space="preserve"> and tilting disc designs, are widely used in valve replacement surgery. However, differences in thromboembolic risk, anticoagulation requirements, and survival outcomes remain clinically significant considerations.</w:t>
      </w:r>
    </w:p>
    <w:p w14:paraId="465ECD72" w14:textId="77777777" w:rsidR="00F1664C" w:rsidRPr="00CD5972" w:rsidRDefault="00F1664C" w:rsidP="004708B6">
      <w:pPr>
        <w:spacing w:after="0" w:line="360" w:lineRule="auto"/>
        <w:jc w:val="both"/>
        <w:rPr>
          <w:rFonts w:asciiTheme="majorHAnsi" w:eastAsia="Times New Roman" w:hAnsiTheme="majorHAnsi" w:cs="Times New Roman"/>
          <w:i/>
          <w:iCs/>
          <w:sz w:val="18"/>
          <w:szCs w:val="18"/>
          <w:lang w:eastAsia="en-IN"/>
        </w:rPr>
      </w:pPr>
      <w:r w:rsidRPr="00CD5972">
        <w:rPr>
          <w:rFonts w:asciiTheme="majorHAnsi" w:eastAsia="Times New Roman" w:hAnsiTheme="majorHAnsi" w:cs="Times New Roman"/>
          <w:bCs/>
          <w:i/>
          <w:iCs/>
          <w:sz w:val="18"/>
          <w:szCs w:val="18"/>
          <w:lang w:eastAsia="en-IN"/>
        </w:rPr>
        <w:t>Aim:</w:t>
      </w:r>
      <w:r w:rsidRPr="00CD5972">
        <w:rPr>
          <w:rFonts w:asciiTheme="majorHAnsi" w:eastAsia="Times New Roman" w:hAnsiTheme="majorHAnsi" w:cs="Times New Roman"/>
          <w:i/>
          <w:iCs/>
          <w:sz w:val="18"/>
          <w:szCs w:val="18"/>
          <w:lang w:eastAsia="en-IN"/>
        </w:rPr>
        <w:t xml:space="preserve"> To compare </w:t>
      </w:r>
      <w:proofErr w:type="spellStart"/>
      <w:r w:rsidRPr="00CD5972">
        <w:rPr>
          <w:rFonts w:asciiTheme="majorHAnsi" w:eastAsia="Times New Roman" w:hAnsiTheme="majorHAnsi" w:cs="Times New Roman"/>
          <w:i/>
          <w:iCs/>
          <w:sz w:val="18"/>
          <w:szCs w:val="18"/>
          <w:lang w:eastAsia="en-IN"/>
        </w:rPr>
        <w:t>bileaflet</w:t>
      </w:r>
      <w:proofErr w:type="spellEnd"/>
      <w:r w:rsidRPr="00CD5972">
        <w:rPr>
          <w:rFonts w:asciiTheme="majorHAnsi" w:eastAsia="Times New Roman" w:hAnsiTheme="majorHAnsi" w:cs="Times New Roman"/>
          <w:i/>
          <w:iCs/>
          <w:sz w:val="18"/>
          <w:szCs w:val="18"/>
          <w:lang w:eastAsia="en-IN"/>
        </w:rPr>
        <w:t xml:space="preserve"> and tilting disc valves with respect to thromboembolic events, anticoagulation control, and survival outcomes.</w:t>
      </w:r>
    </w:p>
    <w:p w14:paraId="3DFC5BE4" w14:textId="77777777" w:rsidR="00F1664C" w:rsidRPr="00CD5972" w:rsidRDefault="00F1664C" w:rsidP="004708B6">
      <w:pPr>
        <w:spacing w:after="0" w:line="360" w:lineRule="auto"/>
        <w:jc w:val="both"/>
        <w:rPr>
          <w:rFonts w:asciiTheme="majorHAnsi" w:eastAsia="Times New Roman" w:hAnsiTheme="majorHAnsi" w:cs="Times New Roman"/>
          <w:i/>
          <w:iCs/>
          <w:sz w:val="18"/>
          <w:szCs w:val="18"/>
          <w:lang w:eastAsia="en-IN"/>
        </w:rPr>
      </w:pPr>
      <w:r w:rsidRPr="00CD5972">
        <w:rPr>
          <w:rFonts w:asciiTheme="majorHAnsi" w:eastAsia="Times New Roman" w:hAnsiTheme="majorHAnsi" w:cs="Times New Roman"/>
          <w:bCs/>
          <w:i/>
          <w:iCs/>
          <w:sz w:val="18"/>
          <w:szCs w:val="18"/>
          <w:lang w:eastAsia="en-IN"/>
        </w:rPr>
        <w:t>Methods:</w:t>
      </w:r>
      <w:r w:rsidRPr="00CD5972">
        <w:rPr>
          <w:rFonts w:asciiTheme="majorHAnsi" w:eastAsia="Times New Roman" w:hAnsiTheme="majorHAnsi" w:cs="Times New Roman"/>
          <w:i/>
          <w:iCs/>
          <w:sz w:val="18"/>
          <w:szCs w:val="18"/>
          <w:lang w:eastAsia="en-IN"/>
        </w:rPr>
        <w:t xml:space="preserve"> This prospective observational study was conducted over one year in a tertiary care </w:t>
      </w:r>
      <w:proofErr w:type="spellStart"/>
      <w:r w:rsidRPr="00CD5972">
        <w:rPr>
          <w:rFonts w:asciiTheme="majorHAnsi" w:eastAsia="Times New Roman" w:hAnsiTheme="majorHAnsi" w:cs="Times New Roman"/>
          <w:i/>
          <w:iCs/>
          <w:sz w:val="18"/>
          <w:szCs w:val="18"/>
          <w:lang w:eastAsia="en-IN"/>
        </w:rPr>
        <w:t>center</w:t>
      </w:r>
      <w:proofErr w:type="spellEnd"/>
      <w:r w:rsidRPr="00CD5972">
        <w:rPr>
          <w:rFonts w:asciiTheme="majorHAnsi" w:eastAsia="Times New Roman" w:hAnsiTheme="majorHAnsi" w:cs="Times New Roman"/>
          <w:i/>
          <w:iCs/>
          <w:sz w:val="18"/>
          <w:szCs w:val="18"/>
          <w:lang w:eastAsia="en-IN"/>
        </w:rPr>
        <w:t xml:space="preserve"> and included 40 patients undergoing mechanical valve replacement. Patients were divided into two groups: </w:t>
      </w:r>
      <w:proofErr w:type="spellStart"/>
      <w:r w:rsidRPr="00CD5972">
        <w:rPr>
          <w:rFonts w:asciiTheme="majorHAnsi" w:eastAsia="Times New Roman" w:hAnsiTheme="majorHAnsi" w:cs="Times New Roman"/>
          <w:i/>
          <w:iCs/>
          <w:sz w:val="18"/>
          <w:szCs w:val="18"/>
          <w:lang w:eastAsia="en-IN"/>
        </w:rPr>
        <w:t>bileaflet</w:t>
      </w:r>
      <w:proofErr w:type="spellEnd"/>
      <w:r w:rsidRPr="00CD5972">
        <w:rPr>
          <w:rFonts w:asciiTheme="majorHAnsi" w:eastAsia="Times New Roman" w:hAnsiTheme="majorHAnsi" w:cs="Times New Roman"/>
          <w:i/>
          <w:iCs/>
          <w:sz w:val="18"/>
          <w:szCs w:val="18"/>
          <w:lang w:eastAsia="en-IN"/>
        </w:rPr>
        <w:t xml:space="preserve"> valve (n=20) and tilting disc valve (n=20). Data regarding demographic profile, thromboembolic complications, anticoagulation parameters (INR and warfarin dose), and survival outcomes were collected and </w:t>
      </w:r>
      <w:proofErr w:type="spellStart"/>
      <w:r w:rsidRPr="00CD5972">
        <w:rPr>
          <w:rFonts w:asciiTheme="majorHAnsi" w:eastAsia="Times New Roman" w:hAnsiTheme="majorHAnsi" w:cs="Times New Roman"/>
          <w:i/>
          <w:iCs/>
          <w:sz w:val="18"/>
          <w:szCs w:val="18"/>
          <w:lang w:eastAsia="en-IN"/>
        </w:rPr>
        <w:t>analyzed</w:t>
      </w:r>
      <w:proofErr w:type="spellEnd"/>
      <w:r w:rsidRPr="00CD5972">
        <w:rPr>
          <w:rFonts w:asciiTheme="majorHAnsi" w:eastAsia="Times New Roman" w:hAnsiTheme="majorHAnsi" w:cs="Times New Roman"/>
          <w:i/>
          <w:iCs/>
          <w:sz w:val="18"/>
          <w:szCs w:val="18"/>
          <w:lang w:eastAsia="en-IN"/>
        </w:rPr>
        <w:t xml:space="preserve"> using appropriate statistical methods.</w:t>
      </w:r>
    </w:p>
    <w:p w14:paraId="155E0CA0" w14:textId="77777777" w:rsidR="00F1664C" w:rsidRPr="00CD5972" w:rsidRDefault="00F1664C" w:rsidP="004708B6">
      <w:pPr>
        <w:spacing w:after="0" w:line="360" w:lineRule="auto"/>
        <w:jc w:val="both"/>
        <w:rPr>
          <w:rFonts w:asciiTheme="majorHAnsi" w:eastAsia="Times New Roman" w:hAnsiTheme="majorHAnsi" w:cs="Times New Roman"/>
          <w:i/>
          <w:iCs/>
          <w:sz w:val="18"/>
          <w:szCs w:val="18"/>
          <w:lang w:eastAsia="en-IN"/>
        </w:rPr>
      </w:pPr>
      <w:r w:rsidRPr="00CD5972">
        <w:rPr>
          <w:rFonts w:asciiTheme="majorHAnsi" w:eastAsia="Times New Roman" w:hAnsiTheme="majorHAnsi" w:cs="Times New Roman"/>
          <w:bCs/>
          <w:i/>
          <w:iCs/>
          <w:sz w:val="18"/>
          <w:szCs w:val="18"/>
          <w:lang w:eastAsia="en-IN"/>
        </w:rPr>
        <w:t>Results:</w:t>
      </w:r>
      <w:r w:rsidRPr="00CD5972">
        <w:rPr>
          <w:rFonts w:asciiTheme="majorHAnsi" w:eastAsia="Times New Roman" w:hAnsiTheme="majorHAnsi" w:cs="Times New Roman"/>
          <w:i/>
          <w:iCs/>
          <w:sz w:val="18"/>
          <w:szCs w:val="18"/>
          <w:lang w:eastAsia="en-IN"/>
        </w:rPr>
        <w:t xml:space="preserve"> Thromboembolic events were lower in the </w:t>
      </w:r>
      <w:proofErr w:type="spellStart"/>
      <w:r w:rsidRPr="00CD5972">
        <w:rPr>
          <w:rFonts w:asciiTheme="majorHAnsi" w:eastAsia="Times New Roman" w:hAnsiTheme="majorHAnsi" w:cs="Times New Roman"/>
          <w:i/>
          <w:iCs/>
          <w:sz w:val="18"/>
          <w:szCs w:val="18"/>
          <w:lang w:eastAsia="en-IN"/>
        </w:rPr>
        <w:t>bileaflet</w:t>
      </w:r>
      <w:proofErr w:type="spellEnd"/>
      <w:r w:rsidRPr="00CD5972">
        <w:rPr>
          <w:rFonts w:asciiTheme="majorHAnsi" w:eastAsia="Times New Roman" w:hAnsiTheme="majorHAnsi" w:cs="Times New Roman"/>
          <w:i/>
          <w:iCs/>
          <w:sz w:val="18"/>
          <w:szCs w:val="18"/>
          <w:lang w:eastAsia="en-IN"/>
        </w:rPr>
        <w:t xml:space="preserve"> group (10%) compared to the tilting disc group (25%), though not statistically significant (p=0.20). Mean INR and warfarin dose were significantly higher in the tilting disc group (p&lt;0.05). Survival at one year was higher in the </w:t>
      </w:r>
      <w:proofErr w:type="spellStart"/>
      <w:r w:rsidRPr="00CD5972">
        <w:rPr>
          <w:rFonts w:asciiTheme="majorHAnsi" w:eastAsia="Times New Roman" w:hAnsiTheme="majorHAnsi" w:cs="Times New Roman"/>
          <w:i/>
          <w:iCs/>
          <w:sz w:val="18"/>
          <w:szCs w:val="18"/>
          <w:lang w:eastAsia="en-IN"/>
        </w:rPr>
        <w:t>bileaflet</w:t>
      </w:r>
      <w:proofErr w:type="spellEnd"/>
      <w:r w:rsidRPr="00CD5972">
        <w:rPr>
          <w:rFonts w:asciiTheme="majorHAnsi" w:eastAsia="Times New Roman" w:hAnsiTheme="majorHAnsi" w:cs="Times New Roman"/>
          <w:i/>
          <w:iCs/>
          <w:sz w:val="18"/>
          <w:szCs w:val="18"/>
          <w:lang w:eastAsia="en-IN"/>
        </w:rPr>
        <w:t xml:space="preserve"> group (95%) compared to the tilting disc group (85%). Functional outcomes were also better in the </w:t>
      </w:r>
      <w:proofErr w:type="spellStart"/>
      <w:r w:rsidRPr="00CD5972">
        <w:rPr>
          <w:rFonts w:asciiTheme="majorHAnsi" w:eastAsia="Times New Roman" w:hAnsiTheme="majorHAnsi" w:cs="Times New Roman"/>
          <w:i/>
          <w:iCs/>
          <w:sz w:val="18"/>
          <w:szCs w:val="18"/>
          <w:lang w:eastAsia="en-IN"/>
        </w:rPr>
        <w:t>bileaflet</w:t>
      </w:r>
      <w:proofErr w:type="spellEnd"/>
      <w:r w:rsidRPr="00CD5972">
        <w:rPr>
          <w:rFonts w:asciiTheme="majorHAnsi" w:eastAsia="Times New Roman" w:hAnsiTheme="majorHAnsi" w:cs="Times New Roman"/>
          <w:i/>
          <w:iCs/>
          <w:sz w:val="18"/>
          <w:szCs w:val="18"/>
          <w:lang w:eastAsia="en-IN"/>
        </w:rPr>
        <w:t xml:space="preserve"> group.</w:t>
      </w:r>
    </w:p>
    <w:p w14:paraId="541724F3" w14:textId="77777777" w:rsidR="00F1664C" w:rsidRPr="00CD5972" w:rsidRDefault="00F1664C" w:rsidP="004708B6">
      <w:pPr>
        <w:spacing w:after="0" w:line="360" w:lineRule="auto"/>
        <w:jc w:val="both"/>
        <w:rPr>
          <w:rFonts w:asciiTheme="majorHAnsi" w:eastAsia="Times New Roman" w:hAnsiTheme="majorHAnsi" w:cs="Times New Roman"/>
          <w:i/>
          <w:iCs/>
          <w:sz w:val="18"/>
          <w:szCs w:val="18"/>
          <w:lang w:eastAsia="en-IN"/>
        </w:rPr>
      </w:pPr>
      <w:r w:rsidRPr="00CD5972">
        <w:rPr>
          <w:rFonts w:asciiTheme="majorHAnsi" w:eastAsia="Times New Roman" w:hAnsiTheme="majorHAnsi" w:cs="Times New Roman"/>
          <w:bCs/>
          <w:i/>
          <w:iCs/>
          <w:sz w:val="18"/>
          <w:szCs w:val="18"/>
          <w:lang w:eastAsia="en-IN"/>
        </w:rPr>
        <w:t>Conclusion:</w:t>
      </w:r>
      <w:r w:rsidRPr="00CD5972">
        <w:rPr>
          <w:rFonts w:asciiTheme="majorHAnsi" w:eastAsia="Times New Roman" w:hAnsiTheme="majorHAnsi" w:cs="Times New Roman"/>
          <w:i/>
          <w:iCs/>
          <w:sz w:val="18"/>
          <w:szCs w:val="18"/>
          <w:lang w:eastAsia="en-IN"/>
        </w:rPr>
        <w:t xml:space="preserve"> </w:t>
      </w:r>
      <w:proofErr w:type="spellStart"/>
      <w:r w:rsidRPr="00CD5972">
        <w:rPr>
          <w:rFonts w:asciiTheme="majorHAnsi" w:eastAsia="Times New Roman" w:hAnsiTheme="majorHAnsi" w:cs="Times New Roman"/>
          <w:i/>
          <w:iCs/>
          <w:sz w:val="18"/>
          <w:szCs w:val="18"/>
          <w:lang w:eastAsia="en-IN"/>
        </w:rPr>
        <w:t>Bileaflet</w:t>
      </w:r>
      <w:proofErr w:type="spellEnd"/>
      <w:r w:rsidRPr="00CD5972">
        <w:rPr>
          <w:rFonts w:asciiTheme="majorHAnsi" w:eastAsia="Times New Roman" w:hAnsiTheme="majorHAnsi" w:cs="Times New Roman"/>
          <w:i/>
          <w:iCs/>
          <w:sz w:val="18"/>
          <w:szCs w:val="18"/>
          <w:lang w:eastAsia="en-IN"/>
        </w:rPr>
        <w:t xml:space="preserve"> valves demonstrated </w:t>
      </w:r>
      <w:proofErr w:type="spellStart"/>
      <w:r w:rsidRPr="00CD5972">
        <w:rPr>
          <w:rFonts w:asciiTheme="majorHAnsi" w:eastAsia="Times New Roman" w:hAnsiTheme="majorHAnsi" w:cs="Times New Roman"/>
          <w:i/>
          <w:iCs/>
          <w:sz w:val="18"/>
          <w:szCs w:val="18"/>
          <w:lang w:eastAsia="en-IN"/>
        </w:rPr>
        <w:t>favorable</w:t>
      </w:r>
      <w:proofErr w:type="spellEnd"/>
      <w:r w:rsidRPr="00CD5972">
        <w:rPr>
          <w:rFonts w:asciiTheme="majorHAnsi" w:eastAsia="Times New Roman" w:hAnsiTheme="majorHAnsi" w:cs="Times New Roman"/>
          <w:i/>
          <w:iCs/>
          <w:sz w:val="18"/>
          <w:szCs w:val="18"/>
          <w:lang w:eastAsia="en-IN"/>
        </w:rPr>
        <w:t xml:space="preserve"> trends in thromboembolic risk, anticoagulation stability, and survival outcomes compared to tilting disc valves, suggesting potential clinical advantages.</w:t>
      </w:r>
    </w:p>
    <w:p w14:paraId="16F15B6B" w14:textId="77777777" w:rsidR="00A10588" w:rsidRPr="00CD5972" w:rsidRDefault="00F1664C" w:rsidP="004708B6">
      <w:pPr>
        <w:spacing w:after="0" w:line="360" w:lineRule="auto"/>
        <w:jc w:val="both"/>
        <w:rPr>
          <w:rFonts w:asciiTheme="majorHAnsi" w:eastAsia="Times New Roman" w:hAnsiTheme="majorHAnsi" w:cs="Times New Roman"/>
          <w:i/>
          <w:iCs/>
          <w:sz w:val="18"/>
          <w:szCs w:val="18"/>
          <w:lang w:eastAsia="en-IN"/>
        </w:rPr>
      </w:pPr>
      <w:r w:rsidRPr="00CD5972">
        <w:rPr>
          <w:rFonts w:asciiTheme="majorHAnsi" w:eastAsia="Times New Roman" w:hAnsiTheme="majorHAnsi" w:cs="Times New Roman"/>
          <w:bCs/>
          <w:i/>
          <w:iCs/>
          <w:sz w:val="18"/>
          <w:szCs w:val="18"/>
          <w:lang w:eastAsia="en-IN"/>
        </w:rPr>
        <w:t>Keywords:</w:t>
      </w:r>
      <w:r w:rsidRPr="00CD5972">
        <w:rPr>
          <w:rFonts w:asciiTheme="majorHAnsi" w:eastAsia="Times New Roman" w:hAnsiTheme="majorHAnsi" w:cs="Times New Roman"/>
          <w:i/>
          <w:iCs/>
          <w:sz w:val="18"/>
          <w:szCs w:val="18"/>
          <w:lang w:eastAsia="en-IN"/>
        </w:rPr>
        <w:t xml:space="preserve"> Mechanical valves, Thromboembolism, Anticoagulation</w:t>
      </w:r>
    </w:p>
    <w:p w14:paraId="444CC2E1" w14:textId="77777777" w:rsidR="00F1664C" w:rsidRPr="004708B6" w:rsidRDefault="00F1664C" w:rsidP="004708B6">
      <w:pPr>
        <w:spacing w:after="0" w:line="360" w:lineRule="auto"/>
        <w:jc w:val="both"/>
        <w:rPr>
          <w:rFonts w:ascii="Times New Roman" w:eastAsia="Times New Roman" w:hAnsi="Times New Roman" w:cs="Times New Roman"/>
          <w:b/>
          <w:sz w:val="20"/>
          <w:szCs w:val="20"/>
          <w:lang w:eastAsia="en-IN"/>
        </w:rPr>
      </w:pPr>
    </w:p>
    <w:p w14:paraId="4FDD159E" w14:textId="77777777" w:rsidR="00A10588" w:rsidRPr="004708B6" w:rsidRDefault="00A10588" w:rsidP="004708B6">
      <w:pPr>
        <w:spacing w:after="0" w:line="360" w:lineRule="auto"/>
        <w:jc w:val="both"/>
        <w:rPr>
          <w:rFonts w:ascii="Times New Roman" w:eastAsia="Times New Roman" w:hAnsi="Times New Roman" w:cs="Times New Roman"/>
          <w:b/>
          <w:sz w:val="20"/>
          <w:szCs w:val="20"/>
          <w:lang w:eastAsia="en-IN"/>
        </w:rPr>
      </w:pPr>
      <w:r w:rsidRPr="004708B6">
        <w:rPr>
          <w:rFonts w:ascii="Times New Roman" w:eastAsia="Times New Roman" w:hAnsi="Times New Roman" w:cs="Times New Roman"/>
          <w:b/>
          <w:sz w:val="20"/>
          <w:szCs w:val="20"/>
          <w:lang w:eastAsia="en-IN"/>
        </w:rPr>
        <w:t xml:space="preserve">Introduction: </w:t>
      </w:r>
    </w:p>
    <w:p w14:paraId="6F932D1B"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Prosthetic heart valve replacement remains a cornerstone in the management of advanced valvular heart disease, with mechanical valves offering superior durability compared to bioprosthetic alternatives. Among mechanical prostheses,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and tilting disc valves are the most commonly utilized designs, each characterized by distinct hemodynamic profiles and structural mechanics.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valves, with their dual semicircular leaflets, provide near-central laminar flow and lower transvalvular gradients, whereas tilting disc valves employ a single </w:t>
      </w:r>
      <w:proofErr w:type="spellStart"/>
      <w:r w:rsidRPr="004708B6">
        <w:rPr>
          <w:rFonts w:ascii="Times New Roman" w:eastAsia="Times New Roman" w:hAnsi="Times New Roman" w:cs="Times New Roman"/>
          <w:sz w:val="20"/>
          <w:szCs w:val="20"/>
          <w:lang w:eastAsia="en-IN"/>
        </w:rPr>
        <w:t>occluder</w:t>
      </w:r>
      <w:proofErr w:type="spellEnd"/>
      <w:r w:rsidRPr="004708B6">
        <w:rPr>
          <w:rFonts w:ascii="Times New Roman" w:eastAsia="Times New Roman" w:hAnsi="Times New Roman" w:cs="Times New Roman"/>
          <w:sz w:val="20"/>
          <w:szCs w:val="20"/>
          <w:lang w:eastAsia="en-IN"/>
        </w:rPr>
        <w:t xml:space="preserve"> that creates asymmetric flow dynamics.</w:t>
      </w:r>
    </w:p>
    <w:p w14:paraId="7C36556C"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Despite advances in valve engineering, thromboembolic complications continue to represent a significant cause of morbidity and mortality following valve replacement surgery. The risk of such events is closely linked to valve design, flow characteristics, and the adequacy of anticoagulation therapy. Mechanical valves necessitate </w:t>
      </w:r>
      <w:r w:rsidRPr="004708B6">
        <w:rPr>
          <w:rFonts w:ascii="Times New Roman" w:eastAsia="Times New Roman" w:hAnsi="Times New Roman" w:cs="Times New Roman"/>
          <w:sz w:val="20"/>
          <w:szCs w:val="20"/>
          <w:lang w:eastAsia="en-IN"/>
        </w:rPr>
        <w:lastRenderedPageBreak/>
        <w:t>lifelong anticoagulation, but the intensity and management strategies may vary depending on the type of prosthesis used.</w:t>
      </w:r>
    </w:p>
    <w:p w14:paraId="4B7810BC"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Understanding the comparative performance of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versus tilting disc valves is therefore crucial for optimizing patient outcomes. This study aims to </w:t>
      </w:r>
      <w:proofErr w:type="spellStart"/>
      <w:r w:rsidRPr="004708B6">
        <w:rPr>
          <w:rFonts w:ascii="Times New Roman" w:eastAsia="Times New Roman" w:hAnsi="Times New Roman" w:cs="Times New Roman"/>
          <w:sz w:val="20"/>
          <w:szCs w:val="20"/>
          <w:lang w:eastAsia="en-IN"/>
        </w:rPr>
        <w:t>analyze</w:t>
      </w:r>
      <w:proofErr w:type="spellEnd"/>
      <w:r w:rsidRPr="004708B6">
        <w:rPr>
          <w:rFonts w:ascii="Times New Roman" w:eastAsia="Times New Roman" w:hAnsi="Times New Roman" w:cs="Times New Roman"/>
          <w:sz w:val="20"/>
          <w:szCs w:val="20"/>
          <w:lang w:eastAsia="en-IN"/>
        </w:rPr>
        <w:t xml:space="preserve"> differences in thromboembolic events, anticoagulation requirements, and survival outcomes between these two valve types, thereby providing evidence to guide prosthesis selection and postoperative management in contemporary cardiac surgical practice.</w:t>
      </w:r>
    </w:p>
    <w:p w14:paraId="5826E9EA" w14:textId="77777777" w:rsidR="004A318C" w:rsidRPr="004708B6" w:rsidRDefault="00A10588" w:rsidP="004708B6">
      <w:pPr>
        <w:spacing w:after="0" w:line="360" w:lineRule="auto"/>
        <w:jc w:val="both"/>
        <w:rPr>
          <w:rFonts w:ascii="Times New Roman" w:eastAsia="Times New Roman" w:hAnsi="Times New Roman" w:cs="Times New Roman"/>
          <w:b/>
          <w:sz w:val="20"/>
          <w:szCs w:val="20"/>
          <w:lang w:eastAsia="en-IN"/>
        </w:rPr>
      </w:pPr>
      <w:r w:rsidRPr="004708B6">
        <w:rPr>
          <w:rFonts w:ascii="Times New Roman" w:eastAsia="Times New Roman" w:hAnsi="Times New Roman" w:cs="Times New Roman"/>
          <w:b/>
          <w:sz w:val="20"/>
          <w:szCs w:val="20"/>
          <w:lang w:eastAsia="en-IN"/>
        </w:rPr>
        <w:t>S</w:t>
      </w:r>
      <w:r w:rsidR="004A318C" w:rsidRPr="004708B6">
        <w:rPr>
          <w:rFonts w:ascii="Times New Roman" w:eastAsia="Times New Roman" w:hAnsi="Times New Roman" w:cs="Times New Roman"/>
          <w:b/>
          <w:sz w:val="20"/>
          <w:szCs w:val="20"/>
          <w:lang w:eastAsia="en-IN"/>
        </w:rPr>
        <w:t xml:space="preserve">tudy methodology </w:t>
      </w:r>
    </w:p>
    <w:p w14:paraId="67E8AC3E"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The present study was conducted as a prospective observational study in the Department of Cardiothoracic and Vascular Surgery at a tertiary care </w:t>
      </w:r>
      <w:proofErr w:type="spellStart"/>
      <w:r w:rsidRPr="004708B6">
        <w:rPr>
          <w:rFonts w:ascii="Times New Roman" w:eastAsia="Times New Roman" w:hAnsi="Times New Roman" w:cs="Times New Roman"/>
          <w:sz w:val="20"/>
          <w:szCs w:val="20"/>
          <w:lang w:eastAsia="en-IN"/>
        </w:rPr>
        <w:t>center</w:t>
      </w:r>
      <w:proofErr w:type="spellEnd"/>
      <w:r w:rsidRPr="004708B6">
        <w:rPr>
          <w:rFonts w:ascii="Times New Roman" w:eastAsia="Times New Roman" w:hAnsi="Times New Roman" w:cs="Times New Roman"/>
          <w:sz w:val="20"/>
          <w:szCs w:val="20"/>
          <w:lang w:eastAsia="en-IN"/>
        </w:rPr>
        <w:t xml:space="preserve"> over a period of one year. The study included patients who underwent valve replacement surgery using mechanical prosthetic valves. A total of 40 patients were enrolled in the study and were divided into two groups based on the type of prosthetic valve used: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valves and tilting disc valves. Institutional Ethics Committee approval was obtained prior to the commencement of the study, and informed written consent was taken from all participants.</w:t>
      </w:r>
    </w:p>
    <w:p w14:paraId="6424B87D"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Patients diagnosed with valvular heart disease requiring surgical valve replacement and willing to participate were included in the study. Patients with previous valve replacement surgery, coexisting severe comorbid conditions, contraindications to anticoagulation therapy, or those lost to follow-up were excluded. A detailed preoperative evaluation was carried out for all patients, including clinical history, physical examination, echocardiography, and routine laboratory investigations.</w:t>
      </w:r>
    </w:p>
    <w:p w14:paraId="6FC677D0"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All patients underwent valve replacement surgery under standard cardiopulmonary bypass techniques. The choice of prosthetic valve—</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or tilting disc—was based on surgeon preference and patient-specific factors. Postoperative management was standardized for all patients, including initiation and monitoring of anticoagulation therapy using warfarin, with regular monitoring of the International Normalized Ratio (INR) to maintain therapeutic levels.</w:t>
      </w:r>
    </w:p>
    <w:p w14:paraId="2BEF4FB0"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Patients were followed up at regular intervals during the study period to assess outcomes. Data were collected regarding thromboembolic events, anticoagulation requirements (including INR levels and dose adjustments), and survival outcomes. The collected data were systematically recorded and </w:t>
      </w:r>
      <w:proofErr w:type="spellStart"/>
      <w:r w:rsidRPr="004708B6">
        <w:rPr>
          <w:rFonts w:ascii="Times New Roman" w:eastAsia="Times New Roman" w:hAnsi="Times New Roman" w:cs="Times New Roman"/>
          <w:sz w:val="20"/>
          <w:szCs w:val="20"/>
          <w:lang w:eastAsia="en-IN"/>
        </w:rPr>
        <w:t>analyzed</w:t>
      </w:r>
      <w:proofErr w:type="spellEnd"/>
      <w:r w:rsidRPr="004708B6">
        <w:rPr>
          <w:rFonts w:ascii="Times New Roman" w:eastAsia="Times New Roman" w:hAnsi="Times New Roman" w:cs="Times New Roman"/>
          <w:sz w:val="20"/>
          <w:szCs w:val="20"/>
          <w:lang w:eastAsia="en-IN"/>
        </w:rPr>
        <w:t xml:space="preserve"> using appropriate statistical methods to compare the outcomes between the two groups.</w:t>
      </w:r>
    </w:p>
    <w:p w14:paraId="081B5E7A" w14:textId="77777777" w:rsidR="00CD5972" w:rsidRDefault="00CD5972" w:rsidP="004708B6">
      <w:pPr>
        <w:spacing w:after="0" w:line="360" w:lineRule="auto"/>
        <w:jc w:val="both"/>
        <w:rPr>
          <w:rFonts w:ascii="Times New Roman" w:eastAsia="Times New Roman" w:hAnsi="Times New Roman" w:cs="Times New Roman"/>
          <w:b/>
          <w:sz w:val="20"/>
          <w:szCs w:val="20"/>
          <w:lang w:eastAsia="en-IN"/>
        </w:rPr>
      </w:pPr>
    </w:p>
    <w:p w14:paraId="16D0E6C9" w14:textId="4A144EAF" w:rsidR="00A10588" w:rsidRPr="004708B6" w:rsidRDefault="00A10588" w:rsidP="004708B6">
      <w:pPr>
        <w:spacing w:after="0" w:line="360" w:lineRule="auto"/>
        <w:jc w:val="both"/>
        <w:rPr>
          <w:rFonts w:ascii="Times New Roman" w:eastAsia="Times New Roman" w:hAnsi="Times New Roman" w:cs="Times New Roman"/>
          <w:b/>
          <w:sz w:val="20"/>
          <w:szCs w:val="20"/>
          <w:lang w:eastAsia="en-IN"/>
        </w:rPr>
      </w:pPr>
      <w:r w:rsidRPr="004708B6">
        <w:rPr>
          <w:rFonts w:ascii="Times New Roman" w:eastAsia="Times New Roman" w:hAnsi="Times New Roman" w:cs="Times New Roman"/>
          <w:b/>
          <w:sz w:val="20"/>
          <w:szCs w:val="20"/>
          <w:lang w:eastAsia="en-IN"/>
        </w:rPr>
        <w:t xml:space="preserve">Results: </w:t>
      </w:r>
    </w:p>
    <w:p w14:paraId="67326A4F" w14:textId="77777777" w:rsidR="004A318C" w:rsidRPr="004708B6" w:rsidRDefault="004A318C" w:rsidP="004708B6">
      <w:pPr>
        <w:spacing w:after="0" w:line="360" w:lineRule="auto"/>
        <w:jc w:val="both"/>
        <w:outlineLvl w:val="2"/>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Table 1: Demographic and Clinical Profile of Study Participants</w:t>
      </w:r>
    </w:p>
    <w:tbl>
      <w:tblPr>
        <w:tblStyle w:val="TableGrid"/>
        <w:tblW w:w="0" w:type="auto"/>
        <w:tblLook w:val="04A0" w:firstRow="1" w:lastRow="0" w:firstColumn="1" w:lastColumn="0" w:noHBand="0" w:noVBand="1"/>
      </w:tblPr>
      <w:tblGrid>
        <w:gridCol w:w="2349"/>
        <w:gridCol w:w="2075"/>
        <w:gridCol w:w="2358"/>
        <w:gridCol w:w="1280"/>
      </w:tblGrid>
      <w:tr w:rsidR="004A318C" w:rsidRPr="004708B6" w14:paraId="4785AB31" w14:textId="77777777" w:rsidTr="00A10588">
        <w:tc>
          <w:tcPr>
            <w:tcW w:w="0" w:type="auto"/>
            <w:hideMark/>
          </w:tcPr>
          <w:p w14:paraId="142548DF"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Parameter</w:t>
            </w:r>
          </w:p>
        </w:tc>
        <w:tc>
          <w:tcPr>
            <w:tcW w:w="0" w:type="auto"/>
            <w:hideMark/>
          </w:tcPr>
          <w:p w14:paraId="75694343"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proofErr w:type="spellStart"/>
            <w:r w:rsidRPr="004708B6">
              <w:rPr>
                <w:rFonts w:ascii="Times New Roman" w:eastAsia="Times New Roman" w:hAnsi="Times New Roman" w:cs="Times New Roman"/>
                <w:b/>
                <w:bCs/>
                <w:sz w:val="20"/>
                <w:szCs w:val="20"/>
                <w:lang w:eastAsia="en-IN"/>
              </w:rPr>
              <w:t>Bileaflet</w:t>
            </w:r>
            <w:proofErr w:type="spellEnd"/>
            <w:r w:rsidRPr="004708B6">
              <w:rPr>
                <w:rFonts w:ascii="Times New Roman" w:eastAsia="Times New Roman" w:hAnsi="Times New Roman" w:cs="Times New Roman"/>
                <w:b/>
                <w:bCs/>
                <w:sz w:val="20"/>
                <w:szCs w:val="20"/>
                <w:lang w:eastAsia="en-IN"/>
              </w:rPr>
              <w:t xml:space="preserve"> Valve (n=20)</w:t>
            </w:r>
          </w:p>
        </w:tc>
        <w:tc>
          <w:tcPr>
            <w:tcW w:w="0" w:type="auto"/>
            <w:hideMark/>
          </w:tcPr>
          <w:p w14:paraId="624660A4"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Tilting Disc Valve (n=20)</w:t>
            </w:r>
          </w:p>
        </w:tc>
        <w:tc>
          <w:tcPr>
            <w:tcW w:w="0" w:type="auto"/>
            <w:hideMark/>
          </w:tcPr>
          <w:p w14:paraId="40F664CC"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Total (n=40)</w:t>
            </w:r>
          </w:p>
        </w:tc>
      </w:tr>
      <w:tr w:rsidR="004A318C" w:rsidRPr="004708B6" w14:paraId="20A8B7E3" w14:textId="77777777" w:rsidTr="00A10588">
        <w:tc>
          <w:tcPr>
            <w:tcW w:w="0" w:type="auto"/>
            <w:hideMark/>
          </w:tcPr>
          <w:p w14:paraId="6E0562C5"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Mean Age (years)</w:t>
            </w:r>
          </w:p>
        </w:tc>
        <w:tc>
          <w:tcPr>
            <w:tcW w:w="0" w:type="auto"/>
            <w:hideMark/>
          </w:tcPr>
          <w:p w14:paraId="5FAB15F4"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48.6 ± 10.2</w:t>
            </w:r>
          </w:p>
        </w:tc>
        <w:tc>
          <w:tcPr>
            <w:tcW w:w="0" w:type="auto"/>
            <w:hideMark/>
          </w:tcPr>
          <w:p w14:paraId="41760B2E"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50.1 ± 11.5</w:t>
            </w:r>
          </w:p>
        </w:tc>
        <w:tc>
          <w:tcPr>
            <w:tcW w:w="0" w:type="auto"/>
            <w:hideMark/>
          </w:tcPr>
          <w:p w14:paraId="6897BFDF"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49.3 ± 10.8</w:t>
            </w:r>
          </w:p>
        </w:tc>
      </w:tr>
      <w:tr w:rsidR="004A318C" w:rsidRPr="004708B6" w14:paraId="6A6B5FCD" w14:textId="77777777" w:rsidTr="00A10588">
        <w:tc>
          <w:tcPr>
            <w:tcW w:w="0" w:type="auto"/>
            <w:hideMark/>
          </w:tcPr>
          <w:p w14:paraId="03A34C3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Male (%)</w:t>
            </w:r>
          </w:p>
        </w:tc>
        <w:tc>
          <w:tcPr>
            <w:tcW w:w="0" w:type="auto"/>
            <w:hideMark/>
          </w:tcPr>
          <w:p w14:paraId="2AAECDA4"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12 (60%)</w:t>
            </w:r>
          </w:p>
        </w:tc>
        <w:tc>
          <w:tcPr>
            <w:tcW w:w="0" w:type="auto"/>
            <w:hideMark/>
          </w:tcPr>
          <w:p w14:paraId="0F13DE4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11 (55%)</w:t>
            </w:r>
          </w:p>
        </w:tc>
        <w:tc>
          <w:tcPr>
            <w:tcW w:w="0" w:type="auto"/>
            <w:hideMark/>
          </w:tcPr>
          <w:p w14:paraId="084216A5"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23 (57.5%)</w:t>
            </w:r>
          </w:p>
        </w:tc>
      </w:tr>
      <w:tr w:rsidR="004A318C" w:rsidRPr="004708B6" w14:paraId="1D807891" w14:textId="77777777" w:rsidTr="00A10588">
        <w:tc>
          <w:tcPr>
            <w:tcW w:w="0" w:type="auto"/>
            <w:hideMark/>
          </w:tcPr>
          <w:p w14:paraId="34472D97"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Female (%)</w:t>
            </w:r>
          </w:p>
        </w:tc>
        <w:tc>
          <w:tcPr>
            <w:tcW w:w="0" w:type="auto"/>
            <w:hideMark/>
          </w:tcPr>
          <w:p w14:paraId="29ACC5D6"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8 (40%)</w:t>
            </w:r>
          </w:p>
        </w:tc>
        <w:tc>
          <w:tcPr>
            <w:tcW w:w="0" w:type="auto"/>
            <w:hideMark/>
          </w:tcPr>
          <w:p w14:paraId="642E5D4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9 (45%)</w:t>
            </w:r>
          </w:p>
        </w:tc>
        <w:tc>
          <w:tcPr>
            <w:tcW w:w="0" w:type="auto"/>
            <w:hideMark/>
          </w:tcPr>
          <w:p w14:paraId="61BCA7D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17 (42.5%)</w:t>
            </w:r>
          </w:p>
        </w:tc>
      </w:tr>
      <w:tr w:rsidR="004A318C" w:rsidRPr="004708B6" w14:paraId="021A06C7" w14:textId="77777777" w:rsidTr="00A10588">
        <w:tc>
          <w:tcPr>
            <w:tcW w:w="0" w:type="auto"/>
            <w:hideMark/>
          </w:tcPr>
          <w:p w14:paraId="649E1DC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Mitral Valve Replacement</w:t>
            </w:r>
          </w:p>
        </w:tc>
        <w:tc>
          <w:tcPr>
            <w:tcW w:w="0" w:type="auto"/>
            <w:hideMark/>
          </w:tcPr>
          <w:p w14:paraId="20E84F1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11 (55%)</w:t>
            </w:r>
          </w:p>
        </w:tc>
        <w:tc>
          <w:tcPr>
            <w:tcW w:w="0" w:type="auto"/>
            <w:hideMark/>
          </w:tcPr>
          <w:p w14:paraId="0B2F780F"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12 (60%)</w:t>
            </w:r>
          </w:p>
        </w:tc>
        <w:tc>
          <w:tcPr>
            <w:tcW w:w="0" w:type="auto"/>
            <w:hideMark/>
          </w:tcPr>
          <w:p w14:paraId="371D823C"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23 (57.5%)</w:t>
            </w:r>
          </w:p>
        </w:tc>
      </w:tr>
      <w:tr w:rsidR="004A318C" w:rsidRPr="004708B6" w14:paraId="10C113E9" w14:textId="77777777" w:rsidTr="00A10588">
        <w:tc>
          <w:tcPr>
            <w:tcW w:w="0" w:type="auto"/>
            <w:hideMark/>
          </w:tcPr>
          <w:p w14:paraId="3B829EA4"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Aortic Valve Replacement</w:t>
            </w:r>
          </w:p>
        </w:tc>
        <w:tc>
          <w:tcPr>
            <w:tcW w:w="0" w:type="auto"/>
            <w:hideMark/>
          </w:tcPr>
          <w:p w14:paraId="1D0CC2B7"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9 (45%)</w:t>
            </w:r>
          </w:p>
        </w:tc>
        <w:tc>
          <w:tcPr>
            <w:tcW w:w="0" w:type="auto"/>
            <w:hideMark/>
          </w:tcPr>
          <w:p w14:paraId="0D969564"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8 (40%)</w:t>
            </w:r>
          </w:p>
        </w:tc>
        <w:tc>
          <w:tcPr>
            <w:tcW w:w="0" w:type="auto"/>
            <w:hideMark/>
          </w:tcPr>
          <w:p w14:paraId="64EDC590"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17 (42.5%)</w:t>
            </w:r>
          </w:p>
        </w:tc>
      </w:tr>
      <w:tr w:rsidR="004A318C" w:rsidRPr="004708B6" w14:paraId="45941511" w14:textId="77777777" w:rsidTr="00A10588">
        <w:tc>
          <w:tcPr>
            <w:tcW w:w="0" w:type="auto"/>
            <w:hideMark/>
          </w:tcPr>
          <w:p w14:paraId="5A258904"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Hypertension</w:t>
            </w:r>
          </w:p>
        </w:tc>
        <w:tc>
          <w:tcPr>
            <w:tcW w:w="0" w:type="auto"/>
            <w:hideMark/>
          </w:tcPr>
          <w:p w14:paraId="6D064135"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6 (30%)</w:t>
            </w:r>
          </w:p>
        </w:tc>
        <w:tc>
          <w:tcPr>
            <w:tcW w:w="0" w:type="auto"/>
            <w:hideMark/>
          </w:tcPr>
          <w:p w14:paraId="24007788"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7 (35%)</w:t>
            </w:r>
          </w:p>
        </w:tc>
        <w:tc>
          <w:tcPr>
            <w:tcW w:w="0" w:type="auto"/>
            <w:hideMark/>
          </w:tcPr>
          <w:p w14:paraId="40F657D3"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13 (32.5%)</w:t>
            </w:r>
          </w:p>
        </w:tc>
      </w:tr>
      <w:tr w:rsidR="004A318C" w:rsidRPr="004708B6" w14:paraId="33CA05B0" w14:textId="77777777" w:rsidTr="00A10588">
        <w:tc>
          <w:tcPr>
            <w:tcW w:w="0" w:type="auto"/>
            <w:hideMark/>
          </w:tcPr>
          <w:p w14:paraId="5CF8F7BA"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Diabetes Mellitus</w:t>
            </w:r>
          </w:p>
        </w:tc>
        <w:tc>
          <w:tcPr>
            <w:tcW w:w="0" w:type="auto"/>
            <w:hideMark/>
          </w:tcPr>
          <w:p w14:paraId="5644908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5 (25%)</w:t>
            </w:r>
          </w:p>
        </w:tc>
        <w:tc>
          <w:tcPr>
            <w:tcW w:w="0" w:type="auto"/>
            <w:hideMark/>
          </w:tcPr>
          <w:p w14:paraId="1F68A15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6 (30%)</w:t>
            </w:r>
          </w:p>
        </w:tc>
        <w:tc>
          <w:tcPr>
            <w:tcW w:w="0" w:type="auto"/>
            <w:hideMark/>
          </w:tcPr>
          <w:p w14:paraId="0C01955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11 (27.5%)</w:t>
            </w:r>
          </w:p>
        </w:tc>
      </w:tr>
    </w:tbl>
    <w:p w14:paraId="684912CB"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p>
    <w:p w14:paraId="441B2F10" w14:textId="77777777" w:rsidR="00CD5972" w:rsidRDefault="00CD5972" w:rsidP="004708B6">
      <w:pPr>
        <w:spacing w:after="0" w:line="360" w:lineRule="auto"/>
        <w:jc w:val="both"/>
        <w:outlineLvl w:val="2"/>
        <w:rPr>
          <w:rFonts w:ascii="Times New Roman" w:eastAsia="Times New Roman" w:hAnsi="Times New Roman" w:cs="Times New Roman"/>
          <w:b/>
          <w:bCs/>
          <w:sz w:val="20"/>
          <w:szCs w:val="20"/>
          <w:lang w:eastAsia="en-IN"/>
        </w:rPr>
      </w:pPr>
    </w:p>
    <w:p w14:paraId="5662D820" w14:textId="1D042C10" w:rsidR="004A318C" w:rsidRPr="004708B6" w:rsidRDefault="004A318C" w:rsidP="004708B6">
      <w:pPr>
        <w:spacing w:after="0" w:line="360" w:lineRule="auto"/>
        <w:jc w:val="both"/>
        <w:outlineLvl w:val="2"/>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lastRenderedPageBreak/>
        <w:t>Table 2: Comparison of Thromboembolic Events</w:t>
      </w:r>
    </w:p>
    <w:tbl>
      <w:tblPr>
        <w:tblStyle w:val="TableGrid"/>
        <w:tblW w:w="0" w:type="auto"/>
        <w:tblLook w:val="04A0" w:firstRow="1" w:lastRow="0" w:firstColumn="1" w:lastColumn="0" w:noHBand="0" w:noVBand="1"/>
      </w:tblPr>
      <w:tblGrid>
        <w:gridCol w:w="2838"/>
        <w:gridCol w:w="2075"/>
        <w:gridCol w:w="2358"/>
        <w:gridCol w:w="850"/>
      </w:tblGrid>
      <w:tr w:rsidR="004A318C" w:rsidRPr="004708B6" w14:paraId="52C61635" w14:textId="77777777" w:rsidTr="00A10588">
        <w:tc>
          <w:tcPr>
            <w:tcW w:w="0" w:type="auto"/>
            <w:hideMark/>
          </w:tcPr>
          <w:p w14:paraId="290A306C"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Outcome</w:t>
            </w:r>
          </w:p>
        </w:tc>
        <w:tc>
          <w:tcPr>
            <w:tcW w:w="0" w:type="auto"/>
            <w:hideMark/>
          </w:tcPr>
          <w:p w14:paraId="06F06F30"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proofErr w:type="spellStart"/>
            <w:r w:rsidRPr="004708B6">
              <w:rPr>
                <w:rFonts w:ascii="Times New Roman" w:eastAsia="Times New Roman" w:hAnsi="Times New Roman" w:cs="Times New Roman"/>
                <w:b/>
                <w:bCs/>
                <w:sz w:val="20"/>
                <w:szCs w:val="20"/>
                <w:lang w:eastAsia="en-IN"/>
              </w:rPr>
              <w:t>Bileaflet</w:t>
            </w:r>
            <w:proofErr w:type="spellEnd"/>
            <w:r w:rsidRPr="004708B6">
              <w:rPr>
                <w:rFonts w:ascii="Times New Roman" w:eastAsia="Times New Roman" w:hAnsi="Times New Roman" w:cs="Times New Roman"/>
                <w:b/>
                <w:bCs/>
                <w:sz w:val="20"/>
                <w:szCs w:val="20"/>
                <w:lang w:eastAsia="en-IN"/>
              </w:rPr>
              <w:t xml:space="preserve"> Valve (n=20)</w:t>
            </w:r>
          </w:p>
        </w:tc>
        <w:tc>
          <w:tcPr>
            <w:tcW w:w="0" w:type="auto"/>
            <w:hideMark/>
          </w:tcPr>
          <w:p w14:paraId="50E630A5"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Tilting Disc Valve (n=20)</w:t>
            </w:r>
          </w:p>
        </w:tc>
        <w:tc>
          <w:tcPr>
            <w:tcW w:w="0" w:type="auto"/>
            <w:hideMark/>
          </w:tcPr>
          <w:p w14:paraId="29E50A3A"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p-value</w:t>
            </w:r>
          </w:p>
        </w:tc>
      </w:tr>
      <w:tr w:rsidR="004A318C" w:rsidRPr="004708B6" w14:paraId="06237410" w14:textId="77777777" w:rsidTr="00A10588">
        <w:tc>
          <w:tcPr>
            <w:tcW w:w="0" w:type="auto"/>
            <w:hideMark/>
          </w:tcPr>
          <w:p w14:paraId="144EBF8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Thromboembolic Events Present</w:t>
            </w:r>
          </w:p>
        </w:tc>
        <w:tc>
          <w:tcPr>
            <w:tcW w:w="0" w:type="auto"/>
            <w:hideMark/>
          </w:tcPr>
          <w:p w14:paraId="2C157FF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2 (10%)</w:t>
            </w:r>
          </w:p>
        </w:tc>
        <w:tc>
          <w:tcPr>
            <w:tcW w:w="0" w:type="auto"/>
            <w:hideMark/>
          </w:tcPr>
          <w:p w14:paraId="4FDA36B6"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5 (25%)</w:t>
            </w:r>
          </w:p>
        </w:tc>
        <w:tc>
          <w:tcPr>
            <w:tcW w:w="0" w:type="auto"/>
            <w:hideMark/>
          </w:tcPr>
          <w:p w14:paraId="0171CF1E"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0.20</w:t>
            </w:r>
          </w:p>
        </w:tc>
      </w:tr>
      <w:tr w:rsidR="004A318C" w:rsidRPr="004708B6" w14:paraId="1910F93E" w14:textId="77777777" w:rsidTr="00A10588">
        <w:tc>
          <w:tcPr>
            <w:tcW w:w="0" w:type="auto"/>
            <w:hideMark/>
          </w:tcPr>
          <w:p w14:paraId="19284C34"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Thromboembolic Events Absent</w:t>
            </w:r>
          </w:p>
        </w:tc>
        <w:tc>
          <w:tcPr>
            <w:tcW w:w="0" w:type="auto"/>
            <w:hideMark/>
          </w:tcPr>
          <w:p w14:paraId="3A00235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18 (90%)</w:t>
            </w:r>
          </w:p>
        </w:tc>
        <w:tc>
          <w:tcPr>
            <w:tcW w:w="0" w:type="auto"/>
            <w:hideMark/>
          </w:tcPr>
          <w:p w14:paraId="3257AC6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15 (75%)</w:t>
            </w:r>
          </w:p>
        </w:tc>
        <w:tc>
          <w:tcPr>
            <w:tcW w:w="0" w:type="auto"/>
            <w:hideMark/>
          </w:tcPr>
          <w:p w14:paraId="687CDC0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p>
        </w:tc>
      </w:tr>
      <w:tr w:rsidR="004A318C" w:rsidRPr="004708B6" w14:paraId="74564ADD" w14:textId="77777777" w:rsidTr="00A10588">
        <w:tc>
          <w:tcPr>
            <w:tcW w:w="0" w:type="auto"/>
            <w:hideMark/>
          </w:tcPr>
          <w:p w14:paraId="3B36820F"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Stroke</w:t>
            </w:r>
          </w:p>
        </w:tc>
        <w:tc>
          <w:tcPr>
            <w:tcW w:w="0" w:type="auto"/>
            <w:hideMark/>
          </w:tcPr>
          <w:p w14:paraId="35285EAE"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 (5%)</w:t>
            </w:r>
          </w:p>
        </w:tc>
        <w:tc>
          <w:tcPr>
            <w:tcW w:w="0" w:type="auto"/>
            <w:hideMark/>
          </w:tcPr>
          <w:p w14:paraId="68C4FBE5"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3 (15%)</w:t>
            </w:r>
          </w:p>
        </w:tc>
        <w:tc>
          <w:tcPr>
            <w:tcW w:w="0" w:type="auto"/>
            <w:hideMark/>
          </w:tcPr>
          <w:p w14:paraId="6800735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p>
        </w:tc>
      </w:tr>
      <w:tr w:rsidR="004A318C" w:rsidRPr="004708B6" w14:paraId="47DC5783" w14:textId="77777777" w:rsidTr="00A10588">
        <w:tc>
          <w:tcPr>
            <w:tcW w:w="0" w:type="auto"/>
            <w:hideMark/>
          </w:tcPr>
          <w:p w14:paraId="2D82F433"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Peripheral Embolism</w:t>
            </w:r>
          </w:p>
        </w:tc>
        <w:tc>
          <w:tcPr>
            <w:tcW w:w="0" w:type="auto"/>
            <w:hideMark/>
          </w:tcPr>
          <w:p w14:paraId="13DF225F"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 (5%)</w:t>
            </w:r>
          </w:p>
        </w:tc>
        <w:tc>
          <w:tcPr>
            <w:tcW w:w="0" w:type="auto"/>
            <w:hideMark/>
          </w:tcPr>
          <w:p w14:paraId="723641D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2 (10%)</w:t>
            </w:r>
          </w:p>
        </w:tc>
        <w:tc>
          <w:tcPr>
            <w:tcW w:w="0" w:type="auto"/>
            <w:hideMark/>
          </w:tcPr>
          <w:p w14:paraId="2687EEAE"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p>
        </w:tc>
      </w:tr>
    </w:tbl>
    <w:p w14:paraId="6B160F4F"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p>
    <w:p w14:paraId="485637EB" w14:textId="77777777" w:rsidR="004A318C" w:rsidRPr="004708B6" w:rsidRDefault="004A318C" w:rsidP="004708B6">
      <w:pPr>
        <w:spacing w:after="0" w:line="360" w:lineRule="auto"/>
        <w:jc w:val="both"/>
        <w:outlineLvl w:val="2"/>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Table 3: Anticoagulation Requirements and INR Control</w:t>
      </w:r>
    </w:p>
    <w:tbl>
      <w:tblPr>
        <w:tblStyle w:val="TableGrid"/>
        <w:tblW w:w="0" w:type="auto"/>
        <w:tblLook w:val="04A0" w:firstRow="1" w:lastRow="0" w:firstColumn="1" w:lastColumn="0" w:noHBand="0" w:noVBand="1"/>
      </w:tblPr>
      <w:tblGrid>
        <w:gridCol w:w="2688"/>
        <w:gridCol w:w="2075"/>
        <w:gridCol w:w="2358"/>
        <w:gridCol w:w="850"/>
      </w:tblGrid>
      <w:tr w:rsidR="004A318C" w:rsidRPr="004708B6" w14:paraId="3C4821AF" w14:textId="77777777" w:rsidTr="00A10588">
        <w:tc>
          <w:tcPr>
            <w:tcW w:w="0" w:type="auto"/>
            <w:hideMark/>
          </w:tcPr>
          <w:p w14:paraId="2EAC13B4"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Parameter</w:t>
            </w:r>
          </w:p>
        </w:tc>
        <w:tc>
          <w:tcPr>
            <w:tcW w:w="0" w:type="auto"/>
            <w:hideMark/>
          </w:tcPr>
          <w:p w14:paraId="1A7CB85C"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proofErr w:type="spellStart"/>
            <w:r w:rsidRPr="004708B6">
              <w:rPr>
                <w:rFonts w:ascii="Times New Roman" w:eastAsia="Times New Roman" w:hAnsi="Times New Roman" w:cs="Times New Roman"/>
                <w:b/>
                <w:bCs/>
                <w:sz w:val="20"/>
                <w:szCs w:val="20"/>
                <w:lang w:eastAsia="en-IN"/>
              </w:rPr>
              <w:t>Bileaflet</w:t>
            </w:r>
            <w:proofErr w:type="spellEnd"/>
            <w:r w:rsidRPr="004708B6">
              <w:rPr>
                <w:rFonts w:ascii="Times New Roman" w:eastAsia="Times New Roman" w:hAnsi="Times New Roman" w:cs="Times New Roman"/>
                <w:b/>
                <w:bCs/>
                <w:sz w:val="20"/>
                <w:szCs w:val="20"/>
                <w:lang w:eastAsia="en-IN"/>
              </w:rPr>
              <w:t xml:space="preserve"> Valve (n=20)</w:t>
            </w:r>
          </w:p>
        </w:tc>
        <w:tc>
          <w:tcPr>
            <w:tcW w:w="0" w:type="auto"/>
            <w:hideMark/>
          </w:tcPr>
          <w:p w14:paraId="3DB95E57"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Tilting Disc Valve (n=20)</w:t>
            </w:r>
          </w:p>
        </w:tc>
        <w:tc>
          <w:tcPr>
            <w:tcW w:w="0" w:type="auto"/>
            <w:hideMark/>
          </w:tcPr>
          <w:p w14:paraId="0B64FCEF"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p-value</w:t>
            </w:r>
          </w:p>
        </w:tc>
      </w:tr>
      <w:tr w:rsidR="004A318C" w:rsidRPr="004708B6" w14:paraId="560E3A95" w14:textId="77777777" w:rsidTr="00A10588">
        <w:tc>
          <w:tcPr>
            <w:tcW w:w="0" w:type="auto"/>
            <w:hideMark/>
          </w:tcPr>
          <w:p w14:paraId="36410DA4"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Mean INR</w:t>
            </w:r>
          </w:p>
        </w:tc>
        <w:tc>
          <w:tcPr>
            <w:tcW w:w="0" w:type="auto"/>
            <w:hideMark/>
          </w:tcPr>
          <w:p w14:paraId="78B528F6"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2.6 ± 0.4</w:t>
            </w:r>
          </w:p>
        </w:tc>
        <w:tc>
          <w:tcPr>
            <w:tcW w:w="0" w:type="auto"/>
            <w:hideMark/>
          </w:tcPr>
          <w:p w14:paraId="58F16425"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3.0 ± 0.5</w:t>
            </w:r>
          </w:p>
        </w:tc>
        <w:tc>
          <w:tcPr>
            <w:tcW w:w="0" w:type="auto"/>
            <w:hideMark/>
          </w:tcPr>
          <w:p w14:paraId="3F9BC62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0.01*</w:t>
            </w:r>
          </w:p>
        </w:tc>
      </w:tr>
      <w:tr w:rsidR="004A318C" w:rsidRPr="004708B6" w14:paraId="3CEBBAD8" w14:textId="77777777" w:rsidTr="00A10588">
        <w:tc>
          <w:tcPr>
            <w:tcW w:w="0" w:type="auto"/>
            <w:hideMark/>
          </w:tcPr>
          <w:p w14:paraId="7AEA5399"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INR within Therapeutic Range</w:t>
            </w:r>
          </w:p>
        </w:tc>
        <w:tc>
          <w:tcPr>
            <w:tcW w:w="0" w:type="auto"/>
            <w:hideMark/>
          </w:tcPr>
          <w:p w14:paraId="0A95FCE3"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16 (80%)</w:t>
            </w:r>
          </w:p>
        </w:tc>
        <w:tc>
          <w:tcPr>
            <w:tcW w:w="0" w:type="auto"/>
            <w:hideMark/>
          </w:tcPr>
          <w:p w14:paraId="37133DF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13 (65%)</w:t>
            </w:r>
          </w:p>
        </w:tc>
        <w:tc>
          <w:tcPr>
            <w:tcW w:w="0" w:type="auto"/>
            <w:hideMark/>
          </w:tcPr>
          <w:p w14:paraId="783C509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0.28</w:t>
            </w:r>
          </w:p>
        </w:tc>
      </w:tr>
      <w:tr w:rsidR="004A318C" w:rsidRPr="004708B6" w14:paraId="73B6ECB1" w14:textId="77777777" w:rsidTr="00A10588">
        <w:tc>
          <w:tcPr>
            <w:tcW w:w="0" w:type="auto"/>
            <w:hideMark/>
          </w:tcPr>
          <w:p w14:paraId="3A6BC729"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INR Fluctuations</w:t>
            </w:r>
          </w:p>
        </w:tc>
        <w:tc>
          <w:tcPr>
            <w:tcW w:w="0" w:type="auto"/>
            <w:hideMark/>
          </w:tcPr>
          <w:p w14:paraId="53C44FCD"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4 (20%)</w:t>
            </w:r>
          </w:p>
        </w:tc>
        <w:tc>
          <w:tcPr>
            <w:tcW w:w="0" w:type="auto"/>
            <w:hideMark/>
          </w:tcPr>
          <w:p w14:paraId="2D36587F"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7 (35%)</w:t>
            </w:r>
          </w:p>
        </w:tc>
        <w:tc>
          <w:tcPr>
            <w:tcW w:w="0" w:type="auto"/>
            <w:hideMark/>
          </w:tcPr>
          <w:p w14:paraId="18EDBEA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p>
        </w:tc>
      </w:tr>
      <w:tr w:rsidR="004A318C" w:rsidRPr="004708B6" w14:paraId="56747948" w14:textId="77777777" w:rsidTr="00A10588">
        <w:tc>
          <w:tcPr>
            <w:tcW w:w="0" w:type="auto"/>
            <w:hideMark/>
          </w:tcPr>
          <w:p w14:paraId="4BA34A1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Mean Warfarin Dose (mg/day)</w:t>
            </w:r>
          </w:p>
        </w:tc>
        <w:tc>
          <w:tcPr>
            <w:tcW w:w="0" w:type="auto"/>
            <w:hideMark/>
          </w:tcPr>
          <w:p w14:paraId="525D7379"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4.5 ± 1.2</w:t>
            </w:r>
          </w:p>
        </w:tc>
        <w:tc>
          <w:tcPr>
            <w:tcW w:w="0" w:type="auto"/>
            <w:hideMark/>
          </w:tcPr>
          <w:p w14:paraId="6623C81D"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5.2 ± 1.5</w:t>
            </w:r>
          </w:p>
        </w:tc>
        <w:tc>
          <w:tcPr>
            <w:tcW w:w="0" w:type="auto"/>
            <w:hideMark/>
          </w:tcPr>
          <w:p w14:paraId="05C0F49A"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0.04*</w:t>
            </w:r>
          </w:p>
        </w:tc>
      </w:tr>
      <w:tr w:rsidR="004A318C" w:rsidRPr="004708B6" w14:paraId="275511AF" w14:textId="77777777" w:rsidTr="00A10588">
        <w:tc>
          <w:tcPr>
            <w:tcW w:w="0" w:type="auto"/>
            <w:hideMark/>
          </w:tcPr>
          <w:p w14:paraId="4D5DA7F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Bleeding Complications</w:t>
            </w:r>
          </w:p>
        </w:tc>
        <w:tc>
          <w:tcPr>
            <w:tcW w:w="0" w:type="auto"/>
            <w:hideMark/>
          </w:tcPr>
          <w:p w14:paraId="1D02267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2 (10%)</w:t>
            </w:r>
          </w:p>
        </w:tc>
        <w:tc>
          <w:tcPr>
            <w:tcW w:w="0" w:type="auto"/>
            <w:hideMark/>
          </w:tcPr>
          <w:p w14:paraId="7689AA38"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4 (20%)</w:t>
            </w:r>
          </w:p>
        </w:tc>
        <w:tc>
          <w:tcPr>
            <w:tcW w:w="0" w:type="auto"/>
            <w:hideMark/>
          </w:tcPr>
          <w:p w14:paraId="1A541923"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0.37</w:t>
            </w:r>
          </w:p>
        </w:tc>
      </w:tr>
    </w:tbl>
    <w:p w14:paraId="0594225F"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(*Statistically significant)</w:t>
      </w:r>
    </w:p>
    <w:p w14:paraId="1EF7480B"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p>
    <w:p w14:paraId="0F9383F3" w14:textId="77777777" w:rsidR="004A318C" w:rsidRPr="004708B6" w:rsidRDefault="004A318C" w:rsidP="004708B6">
      <w:pPr>
        <w:spacing w:after="0" w:line="360" w:lineRule="auto"/>
        <w:jc w:val="both"/>
        <w:outlineLvl w:val="2"/>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Table 4: Survival and Follow-up Outcomes</w:t>
      </w:r>
    </w:p>
    <w:tbl>
      <w:tblPr>
        <w:tblStyle w:val="TableGrid"/>
        <w:tblW w:w="0" w:type="auto"/>
        <w:tblLook w:val="04A0" w:firstRow="1" w:lastRow="0" w:firstColumn="1" w:lastColumn="0" w:noHBand="0" w:noVBand="1"/>
      </w:tblPr>
      <w:tblGrid>
        <w:gridCol w:w="2933"/>
        <w:gridCol w:w="2075"/>
        <w:gridCol w:w="2358"/>
        <w:gridCol w:w="850"/>
      </w:tblGrid>
      <w:tr w:rsidR="004A318C" w:rsidRPr="004708B6" w14:paraId="2A6C4DF0" w14:textId="77777777" w:rsidTr="00A10588">
        <w:tc>
          <w:tcPr>
            <w:tcW w:w="0" w:type="auto"/>
            <w:hideMark/>
          </w:tcPr>
          <w:p w14:paraId="2939AC5D"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Outcome</w:t>
            </w:r>
          </w:p>
        </w:tc>
        <w:tc>
          <w:tcPr>
            <w:tcW w:w="0" w:type="auto"/>
            <w:hideMark/>
          </w:tcPr>
          <w:p w14:paraId="24963046"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proofErr w:type="spellStart"/>
            <w:r w:rsidRPr="004708B6">
              <w:rPr>
                <w:rFonts w:ascii="Times New Roman" w:eastAsia="Times New Roman" w:hAnsi="Times New Roman" w:cs="Times New Roman"/>
                <w:b/>
                <w:bCs/>
                <w:sz w:val="20"/>
                <w:szCs w:val="20"/>
                <w:lang w:eastAsia="en-IN"/>
              </w:rPr>
              <w:t>Bileaflet</w:t>
            </w:r>
            <w:proofErr w:type="spellEnd"/>
            <w:r w:rsidRPr="004708B6">
              <w:rPr>
                <w:rFonts w:ascii="Times New Roman" w:eastAsia="Times New Roman" w:hAnsi="Times New Roman" w:cs="Times New Roman"/>
                <w:b/>
                <w:bCs/>
                <w:sz w:val="20"/>
                <w:szCs w:val="20"/>
                <w:lang w:eastAsia="en-IN"/>
              </w:rPr>
              <w:t xml:space="preserve"> Valve (n=20)</w:t>
            </w:r>
          </w:p>
        </w:tc>
        <w:tc>
          <w:tcPr>
            <w:tcW w:w="0" w:type="auto"/>
            <w:hideMark/>
          </w:tcPr>
          <w:p w14:paraId="30C6A1A8"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Tilting Disc Valve (n=20)</w:t>
            </w:r>
          </w:p>
        </w:tc>
        <w:tc>
          <w:tcPr>
            <w:tcW w:w="0" w:type="auto"/>
            <w:hideMark/>
          </w:tcPr>
          <w:p w14:paraId="4F3474A9" w14:textId="77777777" w:rsidR="004A318C" w:rsidRPr="004708B6" w:rsidRDefault="004A318C" w:rsidP="004708B6">
            <w:pPr>
              <w:spacing w:line="360" w:lineRule="auto"/>
              <w:jc w:val="both"/>
              <w:rPr>
                <w:rFonts w:ascii="Times New Roman" w:eastAsia="Times New Roman" w:hAnsi="Times New Roman" w:cs="Times New Roman"/>
                <w:b/>
                <w:bCs/>
                <w:sz w:val="20"/>
                <w:szCs w:val="20"/>
                <w:lang w:eastAsia="en-IN"/>
              </w:rPr>
            </w:pPr>
            <w:r w:rsidRPr="004708B6">
              <w:rPr>
                <w:rFonts w:ascii="Times New Roman" w:eastAsia="Times New Roman" w:hAnsi="Times New Roman" w:cs="Times New Roman"/>
                <w:b/>
                <w:bCs/>
                <w:sz w:val="20"/>
                <w:szCs w:val="20"/>
                <w:lang w:eastAsia="en-IN"/>
              </w:rPr>
              <w:t>p-value</w:t>
            </w:r>
          </w:p>
        </w:tc>
      </w:tr>
      <w:tr w:rsidR="004A318C" w:rsidRPr="004708B6" w14:paraId="307FB9BF" w14:textId="77777777" w:rsidTr="00A10588">
        <w:tc>
          <w:tcPr>
            <w:tcW w:w="0" w:type="auto"/>
            <w:hideMark/>
          </w:tcPr>
          <w:p w14:paraId="17F6C229"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Survival at 1 Year</w:t>
            </w:r>
          </w:p>
        </w:tc>
        <w:tc>
          <w:tcPr>
            <w:tcW w:w="0" w:type="auto"/>
            <w:hideMark/>
          </w:tcPr>
          <w:p w14:paraId="70836DC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19 (95%)</w:t>
            </w:r>
          </w:p>
        </w:tc>
        <w:tc>
          <w:tcPr>
            <w:tcW w:w="0" w:type="auto"/>
            <w:hideMark/>
          </w:tcPr>
          <w:p w14:paraId="7D17E8D9"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17 (85%)</w:t>
            </w:r>
          </w:p>
        </w:tc>
        <w:tc>
          <w:tcPr>
            <w:tcW w:w="0" w:type="auto"/>
            <w:hideMark/>
          </w:tcPr>
          <w:p w14:paraId="194CC073"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0.29</w:t>
            </w:r>
          </w:p>
        </w:tc>
      </w:tr>
      <w:tr w:rsidR="004A318C" w:rsidRPr="004708B6" w14:paraId="3F5F8715" w14:textId="77777777" w:rsidTr="00A10588">
        <w:tc>
          <w:tcPr>
            <w:tcW w:w="0" w:type="auto"/>
            <w:hideMark/>
          </w:tcPr>
          <w:p w14:paraId="2F05902E"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Mortality</w:t>
            </w:r>
          </w:p>
        </w:tc>
        <w:tc>
          <w:tcPr>
            <w:tcW w:w="0" w:type="auto"/>
            <w:hideMark/>
          </w:tcPr>
          <w:p w14:paraId="03790C9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 (5%)</w:t>
            </w:r>
          </w:p>
        </w:tc>
        <w:tc>
          <w:tcPr>
            <w:tcW w:w="0" w:type="auto"/>
            <w:hideMark/>
          </w:tcPr>
          <w:p w14:paraId="55E54C42"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3 (15%)</w:t>
            </w:r>
          </w:p>
        </w:tc>
        <w:tc>
          <w:tcPr>
            <w:tcW w:w="0" w:type="auto"/>
            <w:hideMark/>
          </w:tcPr>
          <w:p w14:paraId="58AB516C"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p>
        </w:tc>
      </w:tr>
      <w:tr w:rsidR="004A318C" w:rsidRPr="004708B6" w14:paraId="6A098C5B" w14:textId="77777777" w:rsidTr="00A10588">
        <w:tc>
          <w:tcPr>
            <w:tcW w:w="0" w:type="auto"/>
            <w:hideMark/>
          </w:tcPr>
          <w:p w14:paraId="4ECE0B37"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Reoperation Required</w:t>
            </w:r>
          </w:p>
        </w:tc>
        <w:tc>
          <w:tcPr>
            <w:tcW w:w="0" w:type="auto"/>
            <w:hideMark/>
          </w:tcPr>
          <w:p w14:paraId="51912DF9"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0 (0%)</w:t>
            </w:r>
          </w:p>
        </w:tc>
        <w:tc>
          <w:tcPr>
            <w:tcW w:w="0" w:type="auto"/>
            <w:hideMark/>
          </w:tcPr>
          <w:p w14:paraId="499D8000"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 (5%)</w:t>
            </w:r>
          </w:p>
        </w:tc>
        <w:tc>
          <w:tcPr>
            <w:tcW w:w="0" w:type="auto"/>
            <w:hideMark/>
          </w:tcPr>
          <w:p w14:paraId="3A4451F9"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p>
        </w:tc>
      </w:tr>
      <w:tr w:rsidR="004A318C" w:rsidRPr="004708B6" w14:paraId="6AAEAE05" w14:textId="77777777" w:rsidTr="00A10588">
        <w:tc>
          <w:tcPr>
            <w:tcW w:w="0" w:type="auto"/>
            <w:hideMark/>
          </w:tcPr>
          <w:p w14:paraId="0B5A632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Functional Status (NYHA I–II)</w:t>
            </w:r>
          </w:p>
        </w:tc>
        <w:tc>
          <w:tcPr>
            <w:tcW w:w="0" w:type="auto"/>
            <w:hideMark/>
          </w:tcPr>
          <w:p w14:paraId="259B0F83"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17 (85%)</w:t>
            </w:r>
          </w:p>
        </w:tc>
        <w:tc>
          <w:tcPr>
            <w:tcW w:w="0" w:type="auto"/>
            <w:hideMark/>
          </w:tcPr>
          <w:p w14:paraId="48AED27B"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14 (70%)</w:t>
            </w:r>
          </w:p>
        </w:tc>
        <w:tc>
          <w:tcPr>
            <w:tcW w:w="0" w:type="auto"/>
            <w:hideMark/>
          </w:tcPr>
          <w:p w14:paraId="75CD93DE"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0.25</w:t>
            </w:r>
          </w:p>
        </w:tc>
      </w:tr>
      <w:tr w:rsidR="004A318C" w:rsidRPr="004708B6" w14:paraId="4306BA1D" w14:textId="77777777" w:rsidTr="00A10588">
        <w:tc>
          <w:tcPr>
            <w:tcW w:w="0" w:type="auto"/>
            <w:hideMark/>
          </w:tcPr>
          <w:p w14:paraId="4A56F81E"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Functional Status (NYHA III–IV)</w:t>
            </w:r>
          </w:p>
        </w:tc>
        <w:tc>
          <w:tcPr>
            <w:tcW w:w="0" w:type="auto"/>
            <w:hideMark/>
          </w:tcPr>
          <w:p w14:paraId="05796BDF"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3 (15%)</w:t>
            </w:r>
          </w:p>
        </w:tc>
        <w:tc>
          <w:tcPr>
            <w:tcW w:w="0" w:type="auto"/>
            <w:hideMark/>
          </w:tcPr>
          <w:p w14:paraId="1E2BFCBE"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6 (30%)</w:t>
            </w:r>
          </w:p>
        </w:tc>
        <w:tc>
          <w:tcPr>
            <w:tcW w:w="0" w:type="auto"/>
            <w:hideMark/>
          </w:tcPr>
          <w:p w14:paraId="188BB761" w14:textId="77777777" w:rsidR="004A318C" w:rsidRPr="004708B6" w:rsidRDefault="004A318C" w:rsidP="004708B6">
            <w:pPr>
              <w:spacing w:line="360" w:lineRule="auto"/>
              <w:jc w:val="both"/>
              <w:rPr>
                <w:rFonts w:ascii="Times New Roman" w:eastAsia="Times New Roman" w:hAnsi="Times New Roman" w:cs="Times New Roman"/>
                <w:sz w:val="20"/>
                <w:szCs w:val="20"/>
                <w:lang w:eastAsia="en-IN"/>
              </w:rPr>
            </w:pPr>
          </w:p>
        </w:tc>
      </w:tr>
    </w:tbl>
    <w:p w14:paraId="741EB503"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p>
    <w:p w14:paraId="5913230F" w14:textId="77777777" w:rsidR="00A10588" w:rsidRPr="004708B6" w:rsidRDefault="00A10588" w:rsidP="004708B6">
      <w:pPr>
        <w:spacing w:after="0" w:line="360" w:lineRule="auto"/>
        <w:jc w:val="both"/>
        <w:rPr>
          <w:rFonts w:ascii="Times New Roman" w:eastAsia="Times New Roman" w:hAnsi="Times New Roman" w:cs="Times New Roman"/>
          <w:b/>
          <w:sz w:val="20"/>
          <w:szCs w:val="20"/>
          <w:lang w:eastAsia="en-IN"/>
        </w:rPr>
      </w:pPr>
      <w:r w:rsidRPr="004708B6">
        <w:rPr>
          <w:rFonts w:ascii="Times New Roman" w:eastAsia="Times New Roman" w:hAnsi="Times New Roman" w:cs="Times New Roman"/>
          <w:b/>
          <w:sz w:val="20"/>
          <w:szCs w:val="20"/>
          <w:lang w:eastAsia="en-IN"/>
        </w:rPr>
        <w:t xml:space="preserve">Discussion: </w:t>
      </w:r>
    </w:p>
    <w:p w14:paraId="4E34D0BD"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The present study compared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and tilting disc mechanical valves in terms of thromboembolic events, anticoagulation requirements, and survival outcomes over a one-year follow-up period. The demographic and baseline clinical characteristics between the two groups were comparable, with no significant differences in age, gender distribution, type of valve replaced, or associated comorbidities such as hypertension and diabetes mellitus. This baseline homogeneity ensured that the observed differences in outcomes could be attributed primarily to the type of prosthetic valve rather than confounding factors.</w:t>
      </w:r>
    </w:p>
    <w:p w14:paraId="5B38B7C7"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In the present study, the incidence of thromboembolic events was lower in the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 group (10%) compared to the tilting disc valve group (25%), although the difference did not reach statistical significance (p=0.20). This trend is clinically relevant and may be explained by the superior hemodynamic design of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valves, which allows more laminar and central blood flow, thereby reducing areas of turbulence and stasis that predispose to thrombus formation. In contrast, tilting disc valves generate asymmetric flow patterns, which may increase the risk of thromboembolism. Similar trends have been reported in previous studies, suggesting improved flow dynamics and reduced thrombogenicity with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designs.</w:t>
      </w:r>
    </w:p>
    <w:p w14:paraId="29EF3452"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lastRenderedPageBreak/>
        <w:t xml:space="preserve">Anticoagulation management revealed statistically significant differences between the two groups. Patients with tilting disc valves required higher mean INR levels and higher daily doses of warfarin compared to those with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valves (p=0.01 and p=0.04, respectively). Additionally, INR fluctuations were more frequent in the tilting disc group. These findings indicate that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valves may offer a more stable anticoagulation profile, potentially reducing the risk of both thromboembolic and bleeding complications. Although bleeding events were more common in the tilting disc group (20% vs 10%), this difference was not statistically significant, possibly due to the small sample size.</w:t>
      </w:r>
    </w:p>
    <w:p w14:paraId="58B6FE43"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Survival outcomes also </w:t>
      </w:r>
      <w:proofErr w:type="spellStart"/>
      <w:r w:rsidRPr="004708B6">
        <w:rPr>
          <w:rFonts w:ascii="Times New Roman" w:eastAsia="Times New Roman" w:hAnsi="Times New Roman" w:cs="Times New Roman"/>
          <w:sz w:val="20"/>
          <w:szCs w:val="20"/>
          <w:lang w:eastAsia="en-IN"/>
        </w:rPr>
        <w:t>favored</w:t>
      </w:r>
      <w:proofErr w:type="spellEnd"/>
      <w:r w:rsidRPr="004708B6">
        <w:rPr>
          <w:rFonts w:ascii="Times New Roman" w:eastAsia="Times New Roman" w:hAnsi="Times New Roman" w:cs="Times New Roman"/>
          <w:sz w:val="20"/>
          <w:szCs w:val="20"/>
          <w:lang w:eastAsia="en-IN"/>
        </w:rPr>
        <w:t xml:space="preserve"> the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 group, with a higher one-year survival rate (95%) compared to the tilting disc group (85%), though this difference was not statistically significant (p=0.29). Mortality in the tilting disc group was higher and may be related to increased thromboembolic and bleeding complications. Furthermore, a greater proportion of patients in the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group achieved better functional status (NYHA Class I–II), indicating improved postoperative quality of life. The need for reoperation was minimal and comparable between groups.</w:t>
      </w:r>
    </w:p>
    <w:p w14:paraId="7F452D53"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Overall, the findings of this study suggest that </w:t>
      </w: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valves may provide better clinical outcomes in terms of lower thromboembolic risk, more stable anticoagulation requirements, and improved survival trends compared to tilting disc valves. However, the lack of statistical significance in several parameters highlights the limitation of small sample size and short follow-up duration. Larger, multicentric studies with longer follow-up are recommended to validate these findings and guide optimal prosthetic valve selection in clinical practice.</w:t>
      </w:r>
    </w:p>
    <w:p w14:paraId="49260066" w14:textId="77777777" w:rsidR="00F1664C" w:rsidRPr="004708B6" w:rsidRDefault="004A318C" w:rsidP="004708B6">
      <w:p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b/>
          <w:bCs/>
          <w:sz w:val="20"/>
          <w:szCs w:val="20"/>
          <w:lang w:eastAsia="en-IN"/>
        </w:rPr>
        <w:t>Conclusion:</w:t>
      </w:r>
      <w:r w:rsidRPr="004708B6">
        <w:rPr>
          <w:rFonts w:ascii="Times New Roman" w:eastAsia="Times New Roman" w:hAnsi="Times New Roman" w:cs="Times New Roman"/>
          <w:sz w:val="20"/>
          <w:szCs w:val="20"/>
          <w:lang w:eastAsia="en-IN"/>
        </w:rPr>
        <w:t xml:space="preserve"> </w:t>
      </w:r>
    </w:p>
    <w:p w14:paraId="51EA2704" w14:textId="77777777" w:rsidR="004A318C" w:rsidRPr="004708B6" w:rsidRDefault="004A318C" w:rsidP="004708B6">
      <w:pPr>
        <w:spacing w:after="0" w:line="360" w:lineRule="auto"/>
        <w:jc w:val="both"/>
        <w:rPr>
          <w:rFonts w:ascii="Times New Roman" w:eastAsia="Times New Roman" w:hAnsi="Times New Roman" w:cs="Times New Roman"/>
          <w:sz w:val="20"/>
          <w:szCs w:val="20"/>
          <w:lang w:eastAsia="en-IN"/>
        </w:rPr>
      </w:pPr>
      <w:proofErr w:type="spellStart"/>
      <w:r w:rsidRPr="004708B6">
        <w:rPr>
          <w:rFonts w:ascii="Times New Roman" w:eastAsia="Times New Roman" w:hAnsi="Times New Roman" w:cs="Times New Roman"/>
          <w:sz w:val="20"/>
          <w:szCs w:val="20"/>
          <w:lang w:eastAsia="en-IN"/>
        </w:rPr>
        <w:t>Bileaflet</w:t>
      </w:r>
      <w:proofErr w:type="spellEnd"/>
      <w:r w:rsidRPr="004708B6">
        <w:rPr>
          <w:rFonts w:ascii="Times New Roman" w:eastAsia="Times New Roman" w:hAnsi="Times New Roman" w:cs="Times New Roman"/>
          <w:sz w:val="20"/>
          <w:szCs w:val="20"/>
          <w:lang w:eastAsia="en-IN"/>
        </w:rPr>
        <w:t xml:space="preserve"> valves demonstrated </w:t>
      </w:r>
      <w:proofErr w:type="spellStart"/>
      <w:r w:rsidRPr="004708B6">
        <w:rPr>
          <w:rFonts w:ascii="Times New Roman" w:eastAsia="Times New Roman" w:hAnsi="Times New Roman" w:cs="Times New Roman"/>
          <w:sz w:val="20"/>
          <w:szCs w:val="20"/>
          <w:lang w:eastAsia="en-IN"/>
        </w:rPr>
        <w:t>favorable</w:t>
      </w:r>
      <w:proofErr w:type="spellEnd"/>
      <w:r w:rsidRPr="004708B6">
        <w:rPr>
          <w:rFonts w:ascii="Times New Roman" w:eastAsia="Times New Roman" w:hAnsi="Times New Roman" w:cs="Times New Roman"/>
          <w:sz w:val="20"/>
          <w:szCs w:val="20"/>
          <w:lang w:eastAsia="en-IN"/>
        </w:rPr>
        <w:t xml:space="preserve"> trends in thromboembolic risk, anticoagulation stability, and survival outcomes compared to tilting disc valves, suggesting potential clinical advantages.</w:t>
      </w:r>
    </w:p>
    <w:p w14:paraId="1EE795C1" w14:textId="77777777" w:rsidR="00A10588" w:rsidRPr="004708B6" w:rsidRDefault="00A10588" w:rsidP="004708B6">
      <w:pPr>
        <w:spacing w:after="0" w:line="360" w:lineRule="auto"/>
        <w:jc w:val="both"/>
        <w:rPr>
          <w:rFonts w:ascii="Times New Roman" w:eastAsia="Times New Roman" w:hAnsi="Times New Roman" w:cs="Times New Roman"/>
          <w:sz w:val="20"/>
          <w:szCs w:val="20"/>
          <w:lang w:eastAsia="en-IN"/>
        </w:rPr>
      </w:pPr>
    </w:p>
    <w:p w14:paraId="3568C3A9" w14:textId="77777777" w:rsidR="00A10588" w:rsidRPr="004708B6" w:rsidRDefault="00A10588" w:rsidP="004708B6">
      <w:pPr>
        <w:spacing w:after="0" w:line="360" w:lineRule="auto"/>
        <w:jc w:val="both"/>
        <w:rPr>
          <w:rFonts w:ascii="Times New Roman" w:eastAsia="Times New Roman" w:hAnsi="Times New Roman" w:cs="Times New Roman"/>
          <w:b/>
          <w:sz w:val="20"/>
          <w:szCs w:val="20"/>
          <w:lang w:eastAsia="en-IN"/>
        </w:rPr>
      </w:pPr>
      <w:r w:rsidRPr="004708B6">
        <w:rPr>
          <w:rFonts w:ascii="Times New Roman" w:eastAsia="Times New Roman" w:hAnsi="Times New Roman" w:cs="Times New Roman"/>
          <w:b/>
          <w:sz w:val="20"/>
          <w:szCs w:val="20"/>
          <w:lang w:eastAsia="en-IN"/>
        </w:rPr>
        <w:t xml:space="preserve">References: </w:t>
      </w:r>
    </w:p>
    <w:p w14:paraId="0F270D3A"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Nishimura RA, Otto CM, Bonow RO, Carabello BA, Erwin JP, Fleisher LA, et al. 2020 ACC/AHA guideline for the management of patients with valvular heart disease. </w:t>
      </w:r>
      <w:r w:rsidRPr="004708B6">
        <w:rPr>
          <w:rFonts w:ascii="Times New Roman" w:eastAsia="Times New Roman" w:hAnsi="Times New Roman" w:cs="Times New Roman"/>
          <w:i/>
          <w:iCs/>
          <w:sz w:val="20"/>
          <w:szCs w:val="20"/>
          <w:lang w:eastAsia="en-IN"/>
        </w:rPr>
        <w:t>Circulation</w:t>
      </w:r>
      <w:r w:rsidRPr="004708B6">
        <w:rPr>
          <w:rFonts w:ascii="Times New Roman" w:eastAsia="Times New Roman" w:hAnsi="Times New Roman" w:cs="Times New Roman"/>
          <w:sz w:val="20"/>
          <w:szCs w:val="20"/>
          <w:lang w:eastAsia="en-IN"/>
        </w:rPr>
        <w:t>. 2020;143(5</w:t>
      </w:r>
      <w:proofErr w:type="gramStart"/>
      <w:r w:rsidRPr="004708B6">
        <w:rPr>
          <w:rFonts w:ascii="Times New Roman" w:eastAsia="Times New Roman" w:hAnsi="Times New Roman" w:cs="Times New Roman"/>
          <w:sz w:val="20"/>
          <w:szCs w:val="20"/>
          <w:lang w:eastAsia="en-IN"/>
        </w:rPr>
        <w:t>):e</w:t>
      </w:r>
      <w:proofErr w:type="gramEnd"/>
      <w:r w:rsidRPr="004708B6">
        <w:rPr>
          <w:rFonts w:ascii="Times New Roman" w:eastAsia="Times New Roman" w:hAnsi="Times New Roman" w:cs="Times New Roman"/>
          <w:sz w:val="20"/>
          <w:szCs w:val="20"/>
          <w:lang w:eastAsia="en-IN"/>
        </w:rPr>
        <w:t xml:space="preserve">72–e227. </w:t>
      </w:r>
    </w:p>
    <w:p w14:paraId="683333F3"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Vahanian A, Beyersdorf F, </w:t>
      </w:r>
      <w:proofErr w:type="spellStart"/>
      <w:r w:rsidRPr="004708B6">
        <w:rPr>
          <w:rFonts w:ascii="Times New Roman" w:eastAsia="Times New Roman" w:hAnsi="Times New Roman" w:cs="Times New Roman"/>
          <w:sz w:val="20"/>
          <w:szCs w:val="20"/>
          <w:lang w:eastAsia="en-IN"/>
        </w:rPr>
        <w:t>Praz</w:t>
      </w:r>
      <w:proofErr w:type="spellEnd"/>
      <w:r w:rsidRPr="004708B6">
        <w:rPr>
          <w:rFonts w:ascii="Times New Roman" w:eastAsia="Times New Roman" w:hAnsi="Times New Roman" w:cs="Times New Roman"/>
          <w:sz w:val="20"/>
          <w:szCs w:val="20"/>
          <w:lang w:eastAsia="en-IN"/>
        </w:rPr>
        <w:t xml:space="preserve"> F, Milojevic M, Baldus S, Bauersachs J, et al. 2021 ESC/EACTS guidelines for the management of valvular heart disease. </w:t>
      </w:r>
      <w:proofErr w:type="spellStart"/>
      <w:r w:rsidRPr="004708B6">
        <w:rPr>
          <w:rFonts w:ascii="Times New Roman" w:eastAsia="Times New Roman" w:hAnsi="Times New Roman" w:cs="Times New Roman"/>
          <w:i/>
          <w:iCs/>
          <w:sz w:val="20"/>
          <w:szCs w:val="20"/>
          <w:lang w:eastAsia="en-IN"/>
        </w:rPr>
        <w:t>Eur</w:t>
      </w:r>
      <w:proofErr w:type="spellEnd"/>
      <w:r w:rsidRPr="004708B6">
        <w:rPr>
          <w:rFonts w:ascii="Times New Roman" w:eastAsia="Times New Roman" w:hAnsi="Times New Roman" w:cs="Times New Roman"/>
          <w:i/>
          <w:iCs/>
          <w:sz w:val="20"/>
          <w:szCs w:val="20"/>
          <w:lang w:eastAsia="en-IN"/>
        </w:rPr>
        <w:t xml:space="preserve"> Heart J</w:t>
      </w:r>
      <w:r w:rsidRPr="004708B6">
        <w:rPr>
          <w:rFonts w:ascii="Times New Roman" w:eastAsia="Times New Roman" w:hAnsi="Times New Roman" w:cs="Times New Roman"/>
          <w:sz w:val="20"/>
          <w:szCs w:val="20"/>
          <w:lang w:eastAsia="en-IN"/>
        </w:rPr>
        <w:t xml:space="preserve">. 2022;43(7):561–632. </w:t>
      </w:r>
    </w:p>
    <w:p w14:paraId="0F5CCEDE"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Hammermeister K, Sethi GK, Henderson WG, Grover FL, </w:t>
      </w:r>
      <w:proofErr w:type="spellStart"/>
      <w:r w:rsidRPr="004708B6">
        <w:rPr>
          <w:rFonts w:ascii="Times New Roman" w:eastAsia="Times New Roman" w:hAnsi="Times New Roman" w:cs="Times New Roman"/>
          <w:sz w:val="20"/>
          <w:szCs w:val="20"/>
          <w:lang w:eastAsia="en-IN"/>
        </w:rPr>
        <w:t>Oprian</w:t>
      </w:r>
      <w:proofErr w:type="spellEnd"/>
      <w:r w:rsidRPr="004708B6">
        <w:rPr>
          <w:rFonts w:ascii="Times New Roman" w:eastAsia="Times New Roman" w:hAnsi="Times New Roman" w:cs="Times New Roman"/>
          <w:sz w:val="20"/>
          <w:szCs w:val="20"/>
          <w:lang w:eastAsia="en-IN"/>
        </w:rPr>
        <w:t xml:space="preserve"> C, </w:t>
      </w:r>
      <w:proofErr w:type="spellStart"/>
      <w:r w:rsidRPr="004708B6">
        <w:rPr>
          <w:rFonts w:ascii="Times New Roman" w:eastAsia="Times New Roman" w:hAnsi="Times New Roman" w:cs="Times New Roman"/>
          <w:sz w:val="20"/>
          <w:szCs w:val="20"/>
          <w:lang w:eastAsia="en-IN"/>
        </w:rPr>
        <w:t>Rahimtoola</w:t>
      </w:r>
      <w:proofErr w:type="spellEnd"/>
      <w:r w:rsidRPr="004708B6">
        <w:rPr>
          <w:rFonts w:ascii="Times New Roman" w:eastAsia="Times New Roman" w:hAnsi="Times New Roman" w:cs="Times New Roman"/>
          <w:sz w:val="20"/>
          <w:szCs w:val="20"/>
          <w:lang w:eastAsia="en-IN"/>
        </w:rPr>
        <w:t xml:space="preserve"> SH. Outcomes 15 years after valve replacement with mechanical versus bioprosthetic valves. </w:t>
      </w:r>
      <w:r w:rsidRPr="004708B6">
        <w:rPr>
          <w:rFonts w:ascii="Times New Roman" w:eastAsia="Times New Roman" w:hAnsi="Times New Roman" w:cs="Times New Roman"/>
          <w:i/>
          <w:iCs/>
          <w:sz w:val="20"/>
          <w:szCs w:val="20"/>
          <w:lang w:eastAsia="en-IN"/>
        </w:rPr>
        <w:t>N Engl J Med</w:t>
      </w:r>
      <w:r w:rsidRPr="004708B6">
        <w:rPr>
          <w:rFonts w:ascii="Times New Roman" w:eastAsia="Times New Roman" w:hAnsi="Times New Roman" w:cs="Times New Roman"/>
          <w:sz w:val="20"/>
          <w:szCs w:val="20"/>
          <w:lang w:eastAsia="en-IN"/>
        </w:rPr>
        <w:t xml:space="preserve">. 2000;343(9):677–682. </w:t>
      </w:r>
    </w:p>
    <w:p w14:paraId="7678C91A"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proofErr w:type="spellStart"/>
      <w:r w:rsidRPr="004708B6">
        <w:rPr>
          <w:rFonts w:ascii="Times New Roman" w:eastAsia="Times New Roman" w:hAnsi="Times New Roman" w:cs="Times New Roman"/>
          <w:sz w:val="20"/>
          <w:szCs w:val="20"/>
          <w:lang w:eastAsia="en-IN"/>
        </w:rPr>
        <w:t>Pibarot</w:t>
      </w:r>
      <w:proofErr w:type="spellEnd"/>
      <w:r w:rsidRPr="004708B6">
        <w:rPr>
          <w:rFonts w:ascii="Times New Roman" w:eastAsia="Times New Roman" w:hAnsi="Times New Roman" w:cs="Times New Roman"/>
          <w:sz w:val="20"/>
          <w:szCs w:val="20"/>
          <w:lang w:eastAsia="en-IN"/>
        </w:rPr>
        <w:t xml:space="preserve"> P, Dumesnil JG. Prosthetic heart valves: selection of the optimal prosthesis and long-term management. </w:t>
      </w:r>
      <w:r w:rsidRPr="004708B6">
        <w:rPr>
          <w:rFonts w:ascii="Times New Roman" w:eastAsia="Times New Roman" w:hAnsi="Times New Roman" w:cs="Times New Roman"/>
          <w:i/>
          <w:iCs/>
          <w:sz w:val="20"/>
          <w:szCs w:val="20"/>
          <w:lang w:eastAsia="en-IN"/>
        </w:rPr>
        <w:t>Circulation</w:t>
      </w:r>
      <w:r w:rsidRPr="004708B6">
        <w:rPr>
          <w:rFonts w:ascii="Times New Roman" w:eastAsia="Times New Roman" w:hAnsi="Times New Roman" w:cs="Times New Roman"/>
          <w:sz w:val="20"/>
          <w:szCs w:val="20"/>
          <w:lang w:eastAsia="en-IN"/>
        </w:rPr>
        <w:t xml:space="preserve">. 2009;119(7):1034–1048. </w:t>
      </w:r>
    </w:p>
    <w:p w14:paraId="12C7DBF7"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Edmunds LH Jr. Thromboembolic complications of current cardiac valvular prostheses. </w:t>
      </w:r>
      <w:r w:rsidRPr="004708B6">
        <w:rPr>
          <w:rFonts w:ascii="Times New Roman" w:eastAsia="Times New Roman" w:hAnsi="Times New Roman" w:cs="Times New Roman"/>
          <w:i/>
          <w:iCs/>
          <w:sz w:val="20"/>
          <w:szCs w:val="20"/>
          <w:lang w:eastAsia="en-IN"/>
        </w:rPr>
        <w:t>Ann Thorac Surg</w:t>
      </w:r>
      <w:r w:rsidRPr="004708B6">
        <w:rPr>
          <w:rFonts w:ascii="Times New Roman" w:eastAsia="Times New Roman" w:hAnsi="Times New Roman" w:cs="Times New Roman"/>
          <w:sz w:val="20"/>
          <w:szCs w:val="20"/>
          <w:lang w:eastAsia="en-IN"/>
        </w:rPr>
        <w:t xml:space="preserve">. 1982;34(1):96–107. </w:t>
      </w:r>
    </w:p>
    <w:p w14:paraId="184E4D67"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Butchart EG, Payne N, Li HH, Buchan K, </w:t>
      </w:r>
      <w:proofErr w:type="spellStart"/>
      <w:r w:rsidRPr="004708B6">
        <w:rPr>
          <w:rFonts w:ascii="Times New Roman" w:eastAsia="Times New Roman" w:hAnsi="Times New Roman" w:cs="Times New Roman"/>
          <w:sz w:val="20"/>
          <w:szCs w:val="20"/>
          <w:lang w:eastAsia="en-IN"/>
        </w:rPr>
        <w:t>Grunkemeier</w:t>
      </w:r>
      <w:proofErr w:type="spellEnd"/>
      <w:r w:rsidRPr="004708B6">
        <w:rPr>
          <w:rFonts w:ascii="Times New Roman" w:eastAsia="Times New Roman" w:hAnsi="Times New Roman" w:cs="Times New Roman"/>
          <w:sz w:val="20"/>
          <w:szCs w:val="20"/>
          <w:lang w:eastAsia="en-IN"/>
        </w:rPr>
        <w:t xml:space="preserve"> GL. Better anticoagulation control improves survival after valve replacement. </w:t>
      </w:r>
      <w:r w:rsidRPr="004708B6">
        <w:rPr>
          <w:rFonts w:ascii="Times New Roman" w:eastAsia="Times New Roman" w:hAnsi="Times New Roman" w:cs="Times New Roman"/>
          <w:i/>
          <w:iCs/>
          <w:sz w:val="20"/>
          <w:szCs w:val="20"/>
          <w:lang w:eastAsia="en-IN"/>
        </w:rPr>
        <w:t>J Thorac Cardiovasc Surg</w:t>
      </w:r>
      <w:r w:rsidRPr="004708B6">
        <w:rPr>
          <w:rFonts w:ascii="Times New Roman" w:eastAsia="Times New Roman" w:hAnsi="Times New Roman" w:cs="Times New Roman"/>
          <w:sz w:val="20"/>
          <w:szCs w:val="20"/>
          <w:lang w:eastAsia="en-IN"/>
        </w:rPr>
        <w:t xml:space="preserve">. 2002;123(4):715–723. </w:t>
      </w:r>
    </w:p>
    <w:p w14:paraId="0EFC2484"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Ruel M, Kulik A, Lam BK, Rubens FD, Hendry PJ, Masters RG, et al. Long-term outcomes of valve replacement with modern prostheses in young adults. </w:t>
      </w:r>
      <w:proofErr w:type="spellStart"/>
      <w:r w:rsidRPr="004708B6">
        <w:rPr>
          <w:rFonts w:ascii="Times New Roman" w:eastAsia="Times New Roman" w:hAnsi="Times New Roman" w:cs="Times New Roman"/>
          <w:i/>
          <w:iCs/>
          <w:sz w:val="20"/>
          <w:szCs w:val="20"/>
          <w:lang w:eastAsia="en-IN"/>
        </w:rPr>
        <w:t>Eur</w:t>
      </w:r>
      <w:proofErr w:type="spellEnd"/>
      <w:r w:rsidRPr="004708B6">
        <w:rPr>
          <w:rFonts w:ascii="Times New Roman" w:eastAsia="Times New Roman" w:hAnsi="Times New Roman" w:cs="Times New Roman"/>
          <w:i/>
          <w:iCs/>
          <w:sz w:val="20"/>
          <w:szCs w:val="20"/>
          <w:lang w:eastAsia="en-IN"/>
        </w:rPr>
        <w:t xml:space="preserve"> J </w:t>
      </w:r>
      <w:proofErr w:type="spellStart"/>
      <w:r w:rsidRPr="004708B6">
        <w:rPr>
          <w:rFonts w:ascii="Times New Roman" w:eastAsia="Times New Roman" w:hAnsi="Times New Roman" w:cs="Times New Roman"/>
          <w:i/>
          <w:iCs/>
          <w:sz w:val="20"/>
          <w:szCs w:val="20"/>
          <w:lang w:eastAsia="en-IN"/>
        </w:rPr>
        <w:t>Cardiothorac</w:t>
      </w:r>
      <w:proofErr w:type="spellEnd"/>
      <w:r w:rsidRPr="004708B6">
        <w:rPr>
          <w:rFonts w:ascii="Times New Roman" w:eastAsia="Times New Roman" w:hAnsi="Times New Roman" w:cs="Times New Roman"/>
          <w:i/>
          <w:iCs/>
          <w:sz w:val="20"/>
          <w:szCs w:val="20"/>
          <w:lang w:eastAsia="en-IN"/>
        </w:rPr>
        <w:t xml:space="preserve"> Surg</w:t>
      </w:r>
      <w:r w:rsidRPr="004708B6">
        <w:rPr>
          <w:rFonts w:ascii="Times New Roman" w:eastAsia="Times New Roman" w:hAnsi="Times New Roman" w:cs="Times New Roman"/>
          <w:sz w:val="20"/>
          <w:szCs w:val="20"/>
          <w:lang w:eastAsia="en-IN"/>
        </w:rPr>
        <w:t xml:space="preserve">. 2005;27(3):425–433. </w:t>
      </w:r>
    </w:p>
    <w:p w14:paraId="7A1182FD"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lastRenderedPageBreak/>
        <w:t xml:space="preserve">Sundt TM, Bailey MS, Moon MR, </w:t>
      </w:r>
      <w:proofErr w:type="spellStart"/>
      <w:r w:rsidRPr="004708B6">
        <w:rPr>
          <w:rFonts w:ascii="Times New Roman" w:eastAsia="Times New Roman" w:hAnsi="Times New Roman" w:cs="Times New Roman"/>
          <w:sz w:val="20"/>
          <w:szCs w:val="20"/>
          <w:lang w:eastAsia="en-IN"/>
        </w:rPr>
        <w:t>Mendeloff</w:t>
      </w:r>
      <w:proofErr w:type="spellEnd"/>
      <w:r w:rsidRPr="004708B6">
        <w:rPr>
          <w:rFonts w:ascii="Times New Roman" w:eastAsia="Times New Roman" w:hAnsi="Times New Roman" w:cs="Times New Roman"/>
          <w:sz w:val="20"/>
          <w:szCs w:val="20"/>
          <w:lang w:eastAsia="en-IN"/>
        </w:rPr>
        <w:t xml:space="preserve"> EN, Huddleston CB, Pasque MK, et al. Quality of life after aortic valve replacement at the age of &gt;80 years. </w:t>
      </w:r>
      <w:r w:rsidRPr="004708B6">
        <w:rPr>
          <w:rFonts w:ascii="Times New Roman" w:eastAsia="Times New Roman" w:hAnsi="Times New Roman" w:cs="Times New Roman"/>
          <w:i/>
          <w:iCs/>
          <w:sz w:val="20"/>
          <w:szCs w:val="20"/>
          <w:lang w:eastAsia="en-IN"/>
        </w:rPr>
        <w:t>Circulation</w:t>
      </w:r>
      <w:r w:rsidRPr="004708B6">
        <w:rPr>
          <w:rFonts w:ascii="Times New Roman" w:eastAsia="Times New Roman" w:hAnsi="Times New Roman" w:cs="Times New Roman"/>
          <w:sz w:val="20"/>
          <w:szCs w:val="20"/>
          <w:lang w:eastAsia="en-IN"/>
        </w:rPr>
        <w:t xml:space="preserve">. 2000;102(19 </w:t>
      </w:r>
      <w:proofErr w:type="spellStart"/>
      <w:r w:rsidRPr="004708B6">
        <w:rPr>
          <w:rFonts w:ascii="Times New Roman" w:eastAsia="Times New Roman" w:hAnsi="Times New Roman" w:cs="Times New Roman"/>
          <w:sz w:val="20"/>
          <w:szCs w:val="20"/>
          <w:lang w:eastAsia="en-IN"/>
        </w:rPr>
        <w:t>Suppl</w:t>
      </w:r>
      <w:proofErr w:type="spellEnd"/>
      <w:r w:rsidRPr="004708B6">
        <w:rPr>
          <w:rFonts w:ascii="Times New Roman" w:eastAsia="Times New Roman" w:hAnsi="Times New Roman" w:cs="Times New Roman"/>
          <w:sz w:val="20"/>
          <w:szCs w:val="20"/>
          <w:lang w:eastAsia="en-IN"/>
        </w:rPr>
        <w:t xml:space="preserve"> 3</w:t>
      </w:r>
      <w:proofErr w:type="gramStart"/>
      <w:r w:rsidRPr="004708B6">
        <w:rPr>
          <w:rFonts w:ascii="Times New Roman" w:eastAsia="Times New Roman" w:hAnsi="Times New Roman" w:cs="Times New Roman"/>
          <w:sz w:val="20"/>
          <w:szCs w:val="20"/>
          <w:lang w:eastAsia="en-IN"/>
        </w:rPr>
        <w:t>):III</w:t>
      </w:r>
      <w:proofErr w:type="gramEnd"/>
      <w:r w:rsidRPr="004708B6">
        <w:rPr>
          <w:rFonts w:ascii="Times New Roman" w:eastAsia="Times New Roman" w:hAnsi="Times New Roman" w:cs="Times New Roman"/>
          <w:sz w:val="20"/>
          <w:szCs w:val="20"/>
          <w:lang w:eastAsia="en-IN"/>
        </w:rPr>
        <w:t xml:space="preserve">70–III74. </w:t>
      </w:r>
    </w:p>
    <w:p w14:paraId="0CDB161B"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Akins CW. Results with mechanical cardiac valvular prostheses. </w:t>
      </w:r>
      <w:r w:rsidRPr="004708B6">
        <w:rPr>
          <w:rFonts w:ascii="Times New Roman" w:eastAsia="Times New Roman" w:hAnsi="Times New Roman" w:cs="Times New Roman"/>
          <w:i/>
          <w:iCs/>
          <w:sz w:val="20"/>
          <w:szCs w:val="20"/>
          <w:lang w:eastAsia="en-IN"/>
        </w:rPr>
        <w:t>Ann Thorac Surg</w:t>
      </w:r>
      <w:r w:rsidRPr="004708B6">
        <w:rPr>
          <w:rFonts w:ascii="Times New Roman" w:eastAsia="Times New Roman" w:hAnsi="Times New Roman" w:cs="Times New Roman"/>
          <w:sz w:val="20"/>
          <w:szCs w:val="20"/>
          <w:lang w:eastAsia="en-IN"/>
        </w:rPr>
        <w:t xml:space="preserve">. 1995;60(6 </w:t>
      </w:r>
      <w:proofErr w:type="spellStart"/>
      <w:r w:rsidRPr="004708B6">
        <w:rPr>
          <w:rFonts w:ascii="Times New Roman" w:eastAsia="Times New Roman" w:hAnsi="Times New Roman" w:cs="Times New Roman"/>
          <w:sz w:val="20"/>
          <w:szCs w:val="20"/>
          <w:lang w:eastAsia="en-IN"/>
        </w:rPr>
        <w:t>Suppl</w:t>
      </w:r>
      <w:proofErr w:type="spellEnd"/>
      <w:proofErr w:type="gramStart"/>
      <w:r w:rsidRPr="004708B6">
        <w:rPr>
          <w:rFonts w:ascii="Times New Roman" w:eastAsia="Times New Roman" w:hAnsi="Times New Roman" w:cs="Times New Roman"/>
          <w:sz w:val="20"/>
          <w:szCs w:val="20"/>
          <w:lang w:eastAsia="en-IN"/>
        </w:rPr>
        <w:t>):S</w:t>
      </w:r>
      <w:proofErr w:type="gramEnd"/>
      <w:r w:rsidRPr="004708B6">
        <w:rPr>
          <w:rFonts w:ascii="Times New Roman" w:eastAsia="Times New Roman" w:hAnsi="Times New Roman" w:cs="Times New Roman"/>
          <w:sz w:val="20"/>
          <w:szCs w:val="20"/>
          <w:lang w:eastAsia="en-IN"/>
        </w:rPr>
        <w:t xml:space="preserve">384–S389. </w:t>
      </w:r>
    </w:p>
    <w:p w14:paraId="4BEBB664"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proofErr w:type="spellStart"/>
      <w:r w:rsidRPr="004708B6">
        <w:rPr>
          <w:rFonts w:ascii="Times New Roman" w:eastAsia="Times New Roman" w:hAnsi="Times New Roman" w:cs="Times New Roman"/>
          <w:sz w:val="20"/>
          <w:szCs w:val="20"/>
          <w:lang w:eastAsia="en-IN"/>
        </w:rPr>
        <w:t>Grunkemeier</w:t>
      </w:r>
      <w:proofErr w:type="spellEnd"/>
      <w:r w:rsidRPr="004708B6">
        <w:rPr>
          <w:rFonts w:ascii="Times New Roman" w:eastAsia="Times New Roman" w:hAnsi="Times New Roman" w:cs="Times New Roman"/>
          <w:sz w:val="20"/>
          <w:szCs w:val="20"/>
          <w:lang w:eastAsia="en-IN"/>
        </w:rPr>
        <w:t xml:space="preserve"> GL, Li HH, Naftel DC, Starr A, </w:t>
      </w:r>
      <w:proofErr w:type="spellStart"/>
      <w:r w:rsidRPr="004708B6">
        <w:rPr>
          <w:rFonts w:ascii="Times New Roman" w:eastAsia="Times New Roman" w:hAnsi="Times New Roman" w:cs="Times New Roman"/>
          <w:sz w:val="20"/>
          <w:szCs w:val="20"/>
          <w:lang w:eastAsia="en-IN"/>
        </w:rPr>
        <w:t>Rahimtoola</w:t>
      </w:r>
      <w:proofErr w:type="spellEnd"/>
      <w:r w:rsidRPr="004708B6">
        <w:rPr>
          <w:rFonts w:ascii="Times New Roman" w:eastAsia="Times New Roman" w:hAnsi="Times New Roman" w:cs="Times New Roman"/>
          <w:sz w:val="20"/>
          <w:szCs w:val="20"/>
          <w:lang w:eastAsia="en-IN"/>
        </w:rPr>
        <w:t xml:space="preserve"> SH. Long-term performance of heart valve prostheses. </w:t>
      </w:r>
      <w:r w:rsidRPr="004708B6">
        <w:rPr>
          <w:rFonts w:ascii="Times New Roman" w:eastAsia="Times New Roman" w:hAnsi="Times New Roman" w:cs="Times New Roman"/>
          <w:i/>
          <w:iCs/>
          <w:sz w:val="20"/>
          <w:szCs w:val="20"/>
          <w:lang w:eastAsia="en-IN"/>
        </w:rPr>
        <w:t xml:space="preserve">Curr </w:t>
      </w:r>
      <w:proofErr w:type="spellStart"/>
      <w:r w:rsidRPr="004708B6">
        <w:rPr>
          <w:rFonts w:ascii="Times New Roman" w:eastAsia="Times New Roman" w:hAnsi="Times New Roman" w:cs="Times New Roman"/>
          <w:i/>
          <w:iCs/>
          <w:sz w:val="20"/>
          <w:szCs w:val="20"/>
          <w:lang w:eastAsia="en-IN"/>
        </w:rPr>
        <w:t>Probl</w:t>
      </w:r>
      <w:proofErr w:type="spellEnd"/>
      <w:r w:rsidRPr="004708B6">
        <w:rPr>
          <w:rFonts w:ascii="Times New Roman" w:eastAsia="Times New Roman" w:hAnsi="Times New Roman" w:cs="Times New Roman"/>
          <w:i/>
          <w:iCs/>
          <w:sz w:val="20"/>
          <w:szCs w:val="20"/>
          <w:lang w:eastAsia="en-IN"/>
        </w:rPr>
        <w:t xml:space="preserve"> </w:t>
      </w:r>
      <w:proofErr w:type="spellStart"/>
      <w:r w:rsidRPr="004708B6">
        <w:rPr>
          <w:rFonts w:ascii="Times New Roman" w:eastAsia="Times New Roman" w:hAnsi="Times New Roman" w:cs="Times New Roman"/>
          <w:i/>
          <w:iCs/>
          <w:sz w:val="20"/>
          <w:szCs w:val="20"/>
          <w:lang w:eastAsia="en-IN"/>
        </w:rPr>
        <w:t>Cardiol</w:t>
      </w:r>
      <w:proofErr w:type="spellEnd"/>
      <w:r w:rsidRPr="004708B6">
        <w:rPr>
          <w:rFonts w:ascii="Times New Roman" w:eastAsia="Times New Roman" w:hAnsi="Times New Roman" w:cs="Times New Roman"/>
          <w:sz w:val="20"/>
          <w:szCs w:val="20"/>
          <w:lang w:eastAsia="en-IN"/>
        </w:rPr>
        <w:t xml:space="preserve">. 2000;25(2):73–156. </w:t>
      </w:r>
    </w:p>
    <w:p w14:paraId="2CC0F717"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proofErr w:type="spellStart"/>
      <w:r w:rsidRPr="004708B6">
        <w:rPr>
          <w:rFonts w:ascii="Times New Roman" w:eastAsia="Times New Roman" w:hAnsi="Times New Roman" w:cs="Times New Roman"/>
          <w:sz w:val="20"/>
          <w:szCs w:val="20"/>
          <w:lang w:eastAsia="en-IN"/>
        </w:rPr>
        <w:t>Cannegieter</w:t>
      </w:r>
      <w:proofErr w:type="spellEnd"/>
      <w:r w:rsidRPr="004708B6">
        <w:rPr>
          <w:rFonts w:ascii="Times New Roman" w:eastAsia="Times New Roman" w:hAnsi="Times New Roman" w:cs="Times New Roman"/>
          <w:sz w:val="20"/>
          <w:szCs w:val="20"/>
          <w:lang w:eastAsia="en-IN"/>
        </w:rPr>
        <w:t xml:space="preserve"> SC, </w:t>
      </w:r>
      <w:proofErr w:type="spellStart"/>
      <w:r w:rsidRPr="004708B6">
        <w:rPr>
          <w:rFonts w:ascii="Times New Roman" w:eastAsia="Times New Roman" w:hAnsi="Times New Roman" w:cs="Times New Roman"/>
          <w:sz w:val="20"/>
          <w:szCs w:val="20"/>
          <w:lang w:eastAsia="en-IN"/>
        </w:rPr>
        <w:t>Rosendaal</w:t>
      </w:r>
      <w:proofErr w:type="spellEnd"/>
      <w:r w:rsidRPr="004708B6">
        <w:rPr>
          <w:rFonts w:ascii="Times New Roman" w:eastAsia="Times New Roman" w:hAnsi="Times New Roman" w:cs="Times New Roman"/>
          <w:sz w:val="20"/>
          <w:szCs w:val="20"/>
          <w:lang w:eastAsia="en-IN"/>
        </w:rPr>
        <w:t xml:space="preserve"> FR, </w:t>
      </w:r>
      <w:proofErr w:type="spellStart"/>
      <w:r w:rsidRPr="004708B6">
        <w:rPr>
          <w:rFonts w:ascii="Times New Roman" w:eastAsia="Times New Roman" w:hAnsi="Times New Roman" w:cs="Times New Roman"/>
          <w:sz w:val="20"/>
          <w:szCs w:val="20"/>
          <w:lang w:eastAsia="en-IN"/>
        </w:rPr>
        <w:t>Wintzen</w:t>
      </w:r>
      <w:proofErr w:type="spellEnd"/>
      <w:r w:rsidRPr="004708B6">
        <w:rPr>
          <w:rFonts w:ascii="Times New Roman" w:eastAsia="Times New Roman" w:hAnsi="Times New Roman" w:cs="Times New Roman"/>
          <w:sz w:val="20"/>
          <w:szCs w:val="20"/>
          <w:lang w:eastAsia="en-IN"/>
        </w:rPr>
        <w:t xml:space="preserve"> AR, van der Meer FJ, Vandenbroucke JP, </w:t>
      </w:r>
      <w:proofErr w:type="spellStart"/>
      <w:r w:rsidRPr="004708B6">
        <w:rPr>
          <w:rFonts w:ascii="Times New Roman" w:eastAsia="Times New Roman" w:hAnsi="Times New Roman" w:cs="Times New Roman"/>
          <w:sz w:val="20"/>
          <w:szCs w:val="20"/>
          <w:lang w:eastAsia="en-IN"/>
        </w:rPr>
        <w:t>Briët</w:t>
      </w:r>
      <w:proofErr w:type="spellEnd"/>
      <w:r w:rsidRPr="004708B6">
        <w:rPr>
          <w:rFonts w:ascii="Times New Roman" w:eastAsia="Times New Roman" w:hAnsi="Times New Roman" w:cs="Times New Roman"/>
          <w:sz w:val="20"/>
          <w:szCs w:val="20"/>
          <w:lang w:eastAsia="en-IN"/>
        </w:rPr>
        <w:t xml:space="preserve"> E. Optimal oral anticoagulant therapy in patients with mechanical heart valves. </w:t>
      </w:r>
      <w:r w:rsidRPr="004708B6">
        <w:rPr>
          <w:rFonts w:ascii="Times New Roman" w:eastAsia="Times New Roman" w:hAnsi="Times New Roman" w:cs="Times New Roman"/>
          <w:i/>
          <w:iCs/>
          <w:sz w:val="20"/>
          <w:szCs w:val="20"/>
          <w:lang w:eastAsia="en-IN"/>
        </w:rPr>
        <w:t>N Engl J Med</w:t>
      </w:r>
      <w:r w:rsidRPr="004708B6">
        <w:rPr>
          <w:rFonts w:ascii="Times New Roman" w:eastAsia="Times New Roman" w:hAnsi="Times New Roman" w:cs="Times New Roman"/>
          <w:sz w:val="20"/>
          <w:szCs w:val="20"/>
          <w:lang w:eastAsia="en-IN"/>
        </w:rPr>
        <w:t xml:space="preserve">. 1995;333(1):11–17. </w:t>
      </w:r>
    </w:p>
    <w:p w14:paraId="01D40241" w14:textId="77777777" w:rsidR="004A318C" w:rsidRPr="004708B6" w:rsidRDefault="004A318C" w:rsidP="004708B6">
      <w:pPr>
        <w:numPr>
          <w:ilvl w:val="0"/>
          <w:numId w:val="2"/>
        </w:numPr>
        <w:spacing w:after="0" w:line="360" w:lineRule="auto"/>
        <w:jc w:val="both"/>
        <w:rPr>
          <w:rFonts w:ascii="Times New Roman" w:eastAsia="Times New Roman" w:hAnsi="Times New Roman" w:cs="Times New Roman"/>
          <w:sz w:val="20"/>
          <w:szCs w:val="20"/>
          <w:lang w:eastAsia="en-IN"/>
        </w:rPr>
      </w:pPr>
      <w:r w:rsidRPr="004708B6">
        <w:rPr>
          <w:rFonts w:ascii="Times New Roman" w:eastAsia="Times New Roman" w:hAnsi="Times New Roman" w:cs="Times New Roman"/>
          <w:sz w:val="20"/>
          <w:szCs w:val="20"/>
          <w:lang w:eastAsia="en-IN"/>
        </w:rPr>
        <w:t xml:space="preserve">Brennan JM, Edwards FH, Zhao Y, O’Brien S, Douglas PS, Peterson ED. Long-term safety and effectiveness of mechanical versus biological valve prostheses in older patients. </w:t>
      </w:r>
      <w:r w:rsidRPr="004708B6">
        <w:rPr>
          <w:rFonts w:ascii="Times New Roman" w:eastAsia="Times New Roman" w:hAnsi="Times New Roman" w:cs="Times New Roman"/>
          <w:i/>
          <w:iCs/>
          <w:sz w:val="20"/>
          <w:szCs w:val="20"/>
          <w:lang w:eastAsia="en-IN"/>
        </w:rPr>
        <w:t xml:space="preserve">J Am Coll </w:t>
      </w:r>
      <w:proofErr w:type="spellStart"/>
      <w:r w:rsidRPr="004708B6">
        <w:rPr>
          <w:rFonts w:ascii="Times New Roman" w:eastAsia="Times New Roman" w:hAnsi="Times New Roman" w:cs="Times New Roman"/>
          <w:i/>
          <w:iCs/>
          <w:sz w:val="20"/>
          <w:szCs w:val="20"/>
          <w:lang w:eastAsia="en-IN"/>
        </w:rPr>
        <w:t>Cardiol</w:t>
      </w:r>
      <w:proofErr w:type="spellEnd"/>
      <w:r w:rsidRPr="004708B6">
        <w:rPr>
          <w:rFonts w:ascii="Times New Roman" w:eastAsia="Times New Roman" w:hAnsi="Times New Roman" w:cs="Times New Roman"/>
          <w:sz w:val="20"/>
          <w:szCs w:val="20"/>
          <w:lang w:eastAsia="en-IN"/>
        </w:rPr>
        <w:t xml:space="preserve">. 2013;61(7):793–801. </w:t>
      </w:r>
    </w:p>
    <w:p w14:paraId="3D67235F" w14:textId="77777777" w:rsidR="003B57BD" w:rsidRPr="004708B6" w:rsidRDefault="003B57BD" w:rsidP="004708B6">
      <w:pPr>
        <w:spacing w:after="0" w:line="360" w:lineRule="auto"/>
        <w:jc w:val="both"/>
        <w:rPr>
          <w:rFonts w:ascii="Times New Roman" w:hAnsi="Times New Roman" w:cs="Times New Roman"/>
          <w:sz w:val="20"/>
          <w:szCs w:val="20"/>
        </w:rPr>
      </w:pPr>
    </w:p>
    <w:sectPr w:rsidR="003B57BD" w:rsidRPr="004708B6" w:rsidSect="00CD5972">
      <w:headerReference w:type="default" r:id="rId7"/>
      <w:footerReference w:type="default" r:id="rId8"/>
      <w:pgSz w:w="11906" w:h="16838"/>
      <w:pgMar w:top="1440" w:right="1440" w:bottom="1440" w:left="1440" w:header="720" w:footer="720" w:gutter="0"/>
      <w:pgNumType w:start="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7990E" w14:textId="77777777" w:rsidR="00454BA8" w:rsidRDefault="00454BA8" w:rsidP="004A318C">
      <w:pPr>
        <w:spacing w:after="0" w:line="240" w:lineRule="auto"/>
      </w:pPr>
      <w:r>
        <w:separator/>
      </w:r>
    </w:p>
  </w:endnote>
  <w:endnote w:type="continuationSeparator" w:id="0">
    <w:p w14:paraId="3406AB90" w14:textId="77777777" w:rsidR="00454BA8" w:rsidRDefault="00454BA8" w:rsidP="004A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755071"/>
      <w:docPartObj>
        <w:docPartGallery w:val="Page Numbers (Bottom of Page)"/>
        <w:docPartUnique/>
      </w:docPartObj>
    </w:sdtPr>
    <w:sdtEndPr>
      <w:rPr>
        <w:noProof/>
      </w:rPr>
    </w:sdtEndPr>
    <w:sdtContent>
      <w:p w14:paraId="279B6098" w14:textId="78692EF7" w:rsidR="00CD5972" w:rsidRDefault="00CD59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A0EA6A" w14:textId="77777777" w:rsidR="00CD5972" w:rsidRPr="00CD5972" w:rsidRDefault="00CD5972" w:rsidP="00CD5972">
    <w:pPr>
      <w:pStyle w:val="Footer"/>
      <w:rPr>
        <w:lang w:val="en-GB"/>
      </w:rPr>
    </w:pPr>
    <w:r w:rsidRPr="00CD5972">
      <w:rPr>
        <w:i/>
        <w:lang w:val="en-US"/>
      </w:rPr>
      <w:t>www.ijbamr.com   P ISSN: 2250-284X, E ISSN: 2250-2858</w:t>
    </w:r>
  </w:p>
  <w:p w14:paraId="46286B1B" w14:textId="77777777" w:rsidR="00F1664C" w:rsidRDefault="00F16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D3CF" w14:textId="77777777" w:rsidR="00454BA8" w:rsidRDefault="00454BA8" w:rsidP="004A318C">
      <w:pPr>
        <w:spacing w:after="0" w:line="240" w:lineRule="auto"/>
      </w:pPr>
      <w:r>
        <w:separator/>
      </w:r>
    </w:p>
  </w:footnote>
  <w:footnote w:type="continuationSeparator" w:id="0">
    <w:p w14:paraId="4FAE5FB1" w14:textId="77777777" w:rsidR="00454BA8" w:rsidRDefault="00454BA8" w:rsidP="004A3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8F84" w14:textId="0FE97DAE" w:rsidR="004A318C" w:rsidRPr="00CD5972" w:rsidRDefault="00CD5972" w:rsidP="00CD5972">
    <w:pPr>
      <w:pStyle w:val="Header"/>
      <w:jc w:val="center"/>
      <w:rPr>
        <w:rFonts w:asciiTheme="majorHAnsi" w:hAnsiTheme="majorHAnsi"/>
        <w:i/>
        <w:sz w:val="20"/>
        <w:szCs w:val="20"/>
      </w:rPr>
    </w:pPr>
    <w:r w:rsidRPr="00CD5972">
      <w:rPr>
        <w:rFonts w:asciiTheme="majorHAnsi" w:hAnsiTheme="majorHAnsi"/>
        <w:i/>
        <w:sz w:val="20"/>
        <w:szCs w:val="20"/>
      </w:rPr>
      <w:t xml:space="preserve">Indian Journal of Basic and Applied Medical Research; September 2026: Vol.-15, Issue-3, P. </w:t>
    </w:r>
    <w:r>
      <w:rPr>
        <w:rFonts w:asciiTheme="majorHAnsi" w:hAnsiTheme="majorHAnsi"/>
        <w:i/>
        <w:sz w:val="20"/>
        <w:szCs w:val="20"/>
      </w:rPr>
      <w:t>54-58</w:t>
    </w:r>
  </w:p>
  <w:p w14:paraId="6FC16E20" w14:textId="77777777" w:rsidR="004A318C" w:rsidRDefault="004A31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C5E22"/>
    <w:multiLevelType w:val="multilevel"/>
    <w:tmpl w:val="36908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422571"/>
    <w:multiLevelType w:val="multilevel"/>
    <w:tmpl w:val="1624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5751242">
    <w:abstractNumId w:val="1"/>
  </w:num>
  <w:num w:numId="2" w16cid:durableId="954140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318C"/>
    <w:rsid w:val="003526B4"/>
    <w:rsid w:val="003B57BD"/>
    <w:rsid w:val="004303FB"/>
    <w:rsid w:val="00454BA8"/>
    <w:rsid w:val="004708B6"/>
    <w:rsid w:val="004A318C"/>
    <w:rsid w:val="005D173E"/>
    <w:rsid w:val="009C1A57"/>
    <w:rsid w:val="00A10588"/>
    <w:rsid w:val="00B432D9"/>
    <w:rsid w:val="00BC7B15"/>
    <w:rsid w:val="00CD5972"/>
    <w:rsid w:val="00D87E71"/>
    <w:rsid w:val="00E26A82"/>
    <w:rsid w:val="00F166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F9EB"/>
  <w15:docId w15:val="{D006E7E7-89A2-4CFE-9EDE-E1D829CE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18C"/>
  </w:style>
  <w:style w:type="paragraph" w:styleId="Footer">
    <w:name w:val="footer"/>
    <w:basedOn w:val="Normal"/>
    <w:link w:val="FooterChar"/>
    <w:uiPriority w:val="99"/>
    <w:unhideWhenUsed/>
    <w:rsid w:val="004A3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18C"/>
  </w:style>
  <w:style w:type="paragraph" w:styleId="BalloonText">
    <w:name w:val="Balloon Text"/>
    <w:basedOn w:val="Normal"/>
    <w:link w:val="BalloonTextChar"/>
    <w:uiPriority w:val="99"/>
    <w:semiHidden/>
    <w:unhideWhenUsed/>
    <w:rsid w:val="004A3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18C"/>
    <w:rPr>
      <w:rFonts w:ascii="Tahoma" w:hAnsi="Tahoma" w:cs="Tahoma"/>
      <w:sz w:val="16"/>
      <w:szCs w:val="16"/>
    </w:rPr>
  </w:style>
  <w:style w:type="table" w:styleId="TableGrid">
    <w:name w:val="Table Grid"/>
    <w:basedOn w:val="TableNormal"/>
    <w:uiPriority w:val="59"/>
    <w:rsid w:val="00A1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467378">
      <w:bodyDiv w:val="1"/>
      <w:marLeft w:val="0"/>
      <w:marRight w:val="0"/>
      <w:marTop w:val="0"/>
      <w:marBottom w:val="0"/>
      <w:divBdr>
        <w:top w:val="none" w:sz="0" w:space="0" w:color="auto"/>
        <w:left w:val="none" w:sz="0" w:space="0" w:color="auto"/>
        <w:bottom w:val="none" w:sz="0" w:space="0" w:color="auto"/>
        <w:right w:val="none" w:sz="0" w:space="0" w:color="auto"/>
      </w:divBdr>
      <w:divsChild>
        <w:div w:id="1376849951">
          <w:marLeft w:val="0"/>
          <w:marRight w:val="0"/>
          <w:marTop w:val="0"/>
          <w:marBottom w:val="0"/>
          <w:divBdr>
            <w:top w:val="none" w:sz="0" w:space="0" w:color="auto"/>
            <w:left w:val="none" w:sz="0" w:space="0" w:color="auto"/>
            <w:bottom w:val="none" w:sz="0" w:space="0" w:color="auto"/>
            <w:right w:val="none" w:sz="0" w:space="0" w:color="auto"/>
          </w:divBdr>
          <w:divsChild>
            <w:div w:id="1989820186">
              <w:marLeft w:val="0"/>
              <w:marRight w:val="0"/>
              <w:marTop w:val="0"/>
              <w:marBottom w:val="0"/>
              <w:divBdr>
                <w:top w:val="none" w:sz="0" w:space="0" w:color="auto"/>
                <w:left w:val="none" w:sz="0" w:space="0" w:color="auto"/>
                <w:bottom w:val="none" w:sz="0" w:space="0" w:color="auto"/>
                <w:right w:val="none" w:sz="0" w:space="0" w:color="auto"/>
              </w:divBdr>
              <w:divsChild>
                <w:div w:id="1050954023">
                  <w:marLeft w:val="0"/>
                  <w:marRight w:val="0"/>
                  <w:marTop w:val="0"/>
                  <w:marBottom w:val="0"/>
                  <w:divBdr>
                    <w:top w:val="none" w:sz="0" w:space="0" w:color="auto"/>
                    <w:left w:val="none" w:sz="0" w:space="0" w:color="auto"/>
                    <w:bottom w:val="none" w:sz="0" w:space="0" w:color="auto"/>
                    <w:right w:val="none" w:sz="0" w:space="0" w:color="auto"/>
                  </w:divBdr>
                  <w:divsChild>
                    <w:div w:id="1701709492">
                      <w:marLeft w:val="0"/>
                      <w:marRight w:val="0"/>
                      <w:marTop w:val="0"/>
                      <w:marBottom w:val="0"/>
                      <w:divBdr>
                        <w:top w:val="none" w:sz="0" w:space="0" w:color="auto"/>
                        <w:left w:val="none" w:sz="0" w:space="0" w:color="auto"/>
                        <w:bottom w:val="none" w:sz="0" w:space="0" w:color="auto"/>
                        <w:right w:val="none" w:sz="0" w:space="0" w:color="auto"/>
                      </w:divBdr>
                      <w:divsChild>
                        <w:div w:id="827667736">
                          <w:marLeft w:val="0"/>
                          <w:marRight w:val="0"/>
                          <w:marTop w:val="0"/>
                          <w:marBottom w:val="0"/>
                          <w:divBdr>
                            <w:top w:val="none" w:sz="0" w:space="0" w:color="auto"/>
                            <w:left w:val="none" w:sz="0" w:space="0" w:color="auto"/>
                            <w:bottom w:val="none" w:sz="0" w:space="0" w:color="auto"/>
                            <w:right w:val="none" w:sz="0" w:space="0" w:color="auto"/>
                          </w:divBdr>
                          <w:divsChild>
                            <w:div w:id="1798141474">
                              <w:marLeft w:val="0"/>
                              <w:marRight w:val="0"/>
                              <w:marTop w:val="0"/>
                              <w:marBottom w:val="0"/>
                              <w:divBdr>
                                <w:top w:val="none" w:sz="0" w:space="0" w:color="auto"/>
                                <w:left w:val="none" w:sz="0" w:space="0" w:color="auto"/>
                                <w:bottom w:val="none" w:sz="0" w:space="0" w:color="auto"/>
                                <w:right w:val="none" w:sz="0" w:space="0" w:color="auto"/>
                              </w:divBdr>
                              <w:divsChild>
                                <w:div w:id="22939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39902">
          <w:marLeft w:val="0"/>
          <w:marRight w:val="0"/>
          <w:marTop w:val="0"/>
          <w:marBottom w:val="0"/>
          <w:divBdr>
            <w:top w:val="none" w:sz="0" w:space="0" w:color="auto"/>
            <w:left w:val="none" w:sz="0" w:space="0" w:color="auto"/>
            <w:bottom w:val="none" w:sz="0" w:space="0" w:color="auto"/>
            <w:right w:val="none" w:sz="0" w:space="0" w:color="auto"/>
          </w:divBdr>
          <w:divsChild>
            <w:div w:id="1016540360">
              <w:marLeft w:val="0"/>
              <w:marRight w:val="0"/>
              <w:marTop w:val="0"/>
              <w:marBottom w:val="0"/>
              <w:divBdr>
                <w:top w:val="none" w:sz="0" w:space="0" w:color="auto"/>
                <w:left w:val="none" w:sz="0" w:space="0" w:color="auto"/>
                <w:bottom w:val="none" w:sz="0" w:space="0" w:color="auto"/>
                <w:right w:val="none" w:sz="0" w:space="0" w:color="auto"/>
              </w:divBdr>
              <w:divsChild>
                <w:div w:id="1275596619">
                  <w:marLeft w:val="0"/>
                  <w:marRight w:val="0"/>
                  <w:marTop w:val="0"/>
                  <w:marBottom w:val="0"/>
                  <w:divBdr>
                    <w:top w:val="none" w:sz="0" w:space="0" w:color="auto"/>
                    <w:left w:val="none" w:sz="0" w:space="0" w:color="auto"/>
                    <w:bottom w:val="none" w:sz="0" w:space="0" w:color="auto"/>
                    <w:right w:val="none" w:sz="0" w:space="0" w:color="auto"/>
                  </w:divBdr>
                  <w:divsChild>
                    <w:div w:id="923563395">
                      <w:marLeft w:val="0"/>
                      <w:marRight w:val="0"/>
                      <w:marTop w:val="0"/>
                      <w:marBottom w:val="0"/>
                      <w:divBdr>
                        <w:top w:val="none" w:sz="0" w:space="0" w:color="auto"/>
                        <w:left w:val="none" w:sz="0" w:space="0" w:color="auto"/>
                        <w:bottom w:val="none" w:sz="0" w:space="0" w:color="auto"/>
                        <w:right w:val="none" w:sz="0" w:space="0" w:color="auto"/>
                      </w:divBdr>
                      <w:divsChild>
                        <w:div w:id="1486631831">
                          <w:marLeft w:val="0"/>
                          <w:marRight w:val="0"/>
                          <w:marTop w:val="0"/>
                          <w:marBottom w:val="0"/>
                          <w:divBdr>
                            <w:top w:val="none" w:sz="0" w:space="0" w:color="auto"/>
                            <w:left w:val="none" w:sz="0" w:space="0" w:color="auto"/>
                            <w:bottom w:val="none" w:sz="0" w:space="0" w:color="auto"/>
                            <w:right w:val="none" w:sz="0" w:space="0" w:color="auto"/>
                          </w:divBdr>
                          <w:divsChild>
                            <w:div w:id="18614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549985">
          <w:marLeft w:val="0"/>
          <w:marRight w:val="0"/>
          <w:marTop w:val="0"/>
          <w:marBottom w:val="0"/>
          <w:divBdr>
            <w:top w:val="none" w:sz="0" w:space="0" w:color="auto"/>
            <w:left w:val="none" w:sz="0" w:space="0" w:color="auto"/>
            <w:bottom w:val="none" w:sz="0" w:space="0" w:color="auto"/>
            <w:right w:val="none" w:sz="0" w:space="0" w:color="auto"/>
          </w:divBdr>
          <w:divsChild>
            <w:div w:id="968778350">
              <w:marLeft w:val="0"/>
              <w:marRight w:val="0"/>
              <w:marTop w:val="0"/>
              <w:marBottom w:val="0"/>
              <w:divBdr>
                <w:top w:val="none" w:sz="0" w:space="0" w:color="auto"/>
                <w:left w:val="none" w:sz="0" w:space="0" w:color="auto"/>
                <w:bottom w:val="none" w:sz="0" w:space="0" w:color="auto"/>
                <w:right w:val="none" w:sz="0" w:space="0" w:color="auto"/>
              </w:divBdr>
              <w:divsChild>
                <w:div w:id="1677998893">
                  <w:marLeft w:val="0"/>
                  <w:marRight w:val="0"/>
                  <w:marTop w:val="0"/>
                  <w:marBottom w:val="0"/>
                  <w:divBdr>
                    <w:top w:val="none" w:sz="0" w:space="0" w:color="auto"/>
                    <w:left w:val="none" w:sz="0" w:space="0" w:color="auto"/>
                    <w:bottom w:val="none" w:sz="0" w:space="0" w:color="auto"/>
                    <w:right w:val="none" w:sz="0" w:space="0" w:color="auto"/>
                  </w:divBdr>
                  <w:divsChild>
                    <w:div w:id="710109154">
                      <w:marLeft w:val="0"/>
                      <w:marRight w:val="0"/>
                      <w:marTop w:val="0"/>
                      <w:marBottom w:val="0"/>
                      <w:divBdr>
                        <w:top w:val="none" w:sz="0" w:space="0" w:color="auto"/>
                        <w:left w:val="none" w:sz="0" w:space="0" w:color="auto"/>
                        <w:bottom w:val="none" w:sz="0" w:space="0" w:color="auto"/>
                        <w:right w:val="none" w:sz="0" w:space="0" w:color="auto"/>
                      </w:divBdr>
                      <w:divsChild>
                        <w:div w:id="1347901087">
                          <w:marLeft w:val="0"/>
                          <w:marRight w:val="0"/>
                          <w:marTop w:val="0"/>
                          <w:marBottom w:val="0"/>
                          <w:divBdr>
                            <w:top w:val="none" w:sz="0" w:space="0" w:color="auto"/>
                            <w:left w:val="none" w:sz="0" w:space="0" w:color="auto"/>
                            <w:bottom w:val="none" w:sz="0" w:space="0" w:color="auto"/>
                            <w:right w:val="none" w:sz="0" w:space="0" w:color="auto"/>
                          </w:divBdr>
                          <w:divsChild>
                            <w:div w:id="219486936">
                              <w:marLeft w:val="0"/>
                              <w:marRight w:val="0"/>
                              <w:marTop w:val="0"/>
                              <w:marBottom w:val="0"/>
                              <w:divBdr>
                                <w:top w:val="none" w:sz="0" w:space="0" w:color="auto"/>
                                <w:left w:val="none" w:sz="0" w:space="0" w:color="auto"/>
                                <w:bottom w:val="none" w:sz="0" w:space="0" w:color="auto"/>
                                <w:right w:val="none" w:sz="0" w:space="0" w:color="auto"/>
                              </w:divBdr>
                              <w:divsChild>
                                <w:div w:id="8208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615771">
          <w:marLeft w:val="0"/>
          <w:marRight w:val="0"/>
          <w:marTop w:val="0"/>
          <w:marBottom w:val="0"/>
          <w:divBdr>
            <w:top w:val="none" w:sz="0" w:space="0" w:color="auto"/>
            <w:left w:val="none" w:sz="0" w:space="0" w:color="auto"/>
            <w:bottom w:val="none" w:sz="0" w:space="0" w:color="auto"/>
            <w:right w:val="none" w:sz="0" w:space="0" w:color="auto"/>
          </w:divBdr>
          <w:divsChild>
            <w:div w:id="1316642111">
              <w:marLeft w:val="0"/>
              <w:marRight w:val="0"/>
              <w:marTop w:val="0"/>
              <w:marBottom w:val="0"/>
              <w:divBdr>
                <w:top w:val="none" w:sz="0" w:space="0" w:color="auto"/>
                <w:left w:val="none" w:sz="0" w:space="0" w:color="auto"/>
                <w:bottom w:val="none" w:sz="0" w:space="0" w:color="auto"/>
                <w:right w:val="none" w:sz="0" w:space="0" w:color="auto"/>
              </w:divBdr>
              <w:divsChild>
                <w:div w:id="1493451936">
                  <w:marLeft w:val="0"/>
                  <w:marRight w:val="0"/>
                  <w:marTop w:val="0"/>
                  <w:marBottom w:val="0"/>
                  <w:divBdr>
                    <w:top w:val="none" w:sz="0" w:space="0" w:color="auto"/>
                    <w:left w:val="none" w:sz="0" w:space="0" w:color="auto"/>
                    <w:bottom w:val="none" w:sz="0" w:space="0" w:color="auto"/>
                    <w:right w:val="none" w:sz="0" w:space="0" w:color="auto"/>
                  </w:divBdr>
                  <w:divsChild>
                    <w:div w:id="1058937980">
                      <w:marLeft w:val="0"/>
                      <w:marRight w:val="0"/>
                      <w:marTop w:val="0"/>
                      <w:marBottom w:val="0"/>
                      <w:divBdr>
                        <w:top w:val="none" w:sz="0" w:space="0" w:color="auto"/>
                        <w:left w:val="none" w:sz="0" w:space="0" w:color="auto"/>
                        <w:bottom w:val="none" w:sz="0" w:space="0" w:color="auto"/>
                        <w:right w:val="none" w:sz="0" w:space="0" w:color="auto"/>
                      </w:divBdr>
                      <w:divsChild>
                        <w:div w:id="732966617">
                          <w:marLeft w:val="0"/>
                          <w:marRight w:val="0"/>
                          <w:marTop w:val="0"/>
                          <w:marBottom w:val="0"/>
                          <w:divBdr>
                            <w:top w:val="none" w:sz="0" w:space="0" w:color="auto"/>
                            <w:left w:val="none" w:sz="0" w:space="0" w:color="auto"/>
                            <w:bottom w:val="none" w:sz="0" w:space="0" w:color="auto"/>
                            <w:right w:val="none" w:sz="0" w:space="0" w:color="auto"/>
                          </w:divBdr>
                          <w:divsChild>
                            <w:div w:id="9814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313175">
          <w:marLeft w:val="0"/>
          <w:marRight w:val="0"/>
          <w:marTop w:val="0"/>
          <w:marBottom w:val="0"/>
          <w:divBdr>
            <w:top w:val="none" w:sz="0" w:space="0" w:color="auto"/>
            <w:left w:val="none" w:sz="0" w:space="0" w:color="auto"/>
            <w:bottom w:val="none" w:sz="0" w:space="0" w:color="auto"/>
            <w:right w:val="none" w:sz="0" w:space="0" w:color="auto"/>
          </w:divBdr>
          <w:divsChild>
            <w:div w:id="2029746651">
              <w:marLeft w:val="0"/>
              <w:marRight w:val="0"/>
              <w:marTop w:val="0"/>
              <w:marBottom w:val="0"/>
              <w:divBdr>
                <w:top w:val="none" w:sz="0" w:space="0" w:color="auto"/>
                <w:left w:val="none" w:sz="0" w:space="0" w:color="auto"/>
                <w:bottom w:val="none" w:sz="0" w:space="0" w:color="auto"/>
                <w:right w:val="none" w:sz="0" w:space="0" w:color="auto"/>
              </w:divBdr>
              <w:divsChild>
                <w:div w:id="827675457">
                  <w:marLeft w:val="0"/>
                  <w:marRight w:val="0"/>
                  <w:marTop w:val="0"/>
                  <w:marBottom w:val="0"/>
                  <w:divBdr>
                    <w:top w:val="none" w:sz="0" w:space="0" w:color="auto"/>
                    <w:left w:val="none" w:sz="0" w:space="0" w:color="auto"/>
                    <w:bottom w:val="none" w:sz="0" w:space="0" w:color="auto"/>
                    <w:right w:val="none" w:sz="0" w:space="0" w:color="auto"/>
                  </w:divBdr>
                  <w:divsChild>
                    <w:div w:id="795026282">
                      <w:marLeft w:val="0"/>
                      <w:marRight w:val="0"/>
                      <w:marTop w:val="0"/>
                      <w:marBottom w:val="0"/>
                      <w:divBdr>
                        <w:top w:val="none" w:sz="0" w:space="0" w:color="auto"/>
                        <w:left w:val="none" w:sz="0" w:space="0" w:color="auto"/>
                        <w:bottom w:val="none" w:sz="0" w:space="0" w:color="auto"/>
                        <w:right w:val="none" w:sz="0" w:space="0" w:color="auto"/>
                      </w:divBdr>
                      <w:divsChild>
                        <w:div w:id="1021930108">
                          <w:marLeft w:val="0"/>
                          <w:marRight w:val="0"/>
                          <w:marTop w:val="0"/>
                          <w:marBottom w:val="0"/>
                          <w:divBdr>
                            <w:top w:val="none" w:sz="0" w:space="0" w:color="auto"/>
                            <w:left w:val="none" w:sz="0" w:space="0" w:color="auto"/>
                            <w:bottom w:val="none" w:sz="0" w:space="0" w:color="auto"/>
                            <w:right w:val="none" w:sz="0" w:space="0" w:color="auto"/>
                          </w:divBdr>
                          <w:divsChild>
                            <w:div w:id="1394112852">
                              <w:marLeft w:val="0"/>
                              <w:marRight w:val="0"/>
                              <w:marTop w:val="0"/>
                              <w:marBottom w:val="0"/>
                              <w:divBdr>
                                <w:top w:val="none" w:sz="0" w:space="0" w:color="auto"/>
                                <w:left w:val="none" w:sz="0" w:space="0" w:color="auto"/>
                                <w:bottom w:val="none" w:sz="0" w:space="0" w:color="auto"/>
                                <w:right w:val="none" w:sz="0" w:space="0" w:color="auto"/>
                              </w:divBdr>
                              <w:divsChild>
                                <w:div w:id="90152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778260">
          <w:marLeft w:val="0"/>
          <w:marRight w:val="0"/>
          <w:marTop w:val="0"/>
          <w:marBottom w:val="0"/>
          <w:divBdr>
            <w:top w:val="none" w:sz="0" w:space="0" w:color="auto"/>
            <w:left w:val="none" w:sz="0" w:space="0" w:color="auto"/>
            <w:bottom w:val="none" w:sz="0" w:space="0" w:color="auto"/>
            <w:right w:val="none" w:sz="0" w:space="0" w:color="auto"/>
          </w:divBdr>
          <w:divsChild>
            <w:div w:id="1424380463">
              <w:marLeft w:val="0"/>
              <w:marRight w:val="0"/>
              <w:marTop w:val="0"/>
              <w:marBottom w:val="0"/>
              <w:divBdr>
                <w:top w:val="none" w:sz="0" w:space="0" w:color="auto"/>
                <w:left w:val="none" w:sz="0" w:space="0" w:color="auto"/>
                <w:bottom w:val="none" w:sz="0" w:space="0" w:color="auto"/>
                <w:right w:val="none" w:sz="0" w:space="0" w:color="auto"/>
              </w:divBdr>
              <w:divsChild>
                <w:div w:id="96680256">
                  <w:marLeft w:val="0"/>
                  <w:marRight w:val="0"/>
                  <w:marTop w:val="0"/>
                  <w:marBottom w:val="0"/>
                  <w:divBdr>
                    <w:top w:val="none" w:sz="0" w:space="0" w:color="auto"/>
                    <w:left w:val="none" w:sz="0" w:space="0" w:color="auto"/>
                    <w:bottom w:val="none" w:sz="0" w:space="0" w:color="auto"/>
                    <w:right w:val="none" w:sz="0" w:space="0" w:color="auto"/>
                  </w:divBdr>
                  <w:divsChild>
                    <w:div w:id="1459449844">
                      <w:marLeft w:val="0"/>
                      <w:marRight w:val="0"/>
                      <w:marTop w:val="0"/>
                      <w:marBottom w:val="0"/>
                      <w:divBdr>
                        <w:top w:val="none" w:sz="0" w:space="0" w:color="auto"/>
                        <w:left w:val="none" w:sz="0" w:space="0" w:color="auto"/>
                        <w:bottom w:val="none" w:sz="0" w:space="0" w:color="auto"/>
                        <w:right w:val="none" w:sz="0" w:space="0" w:color="auto"/>
                      </w:divBdr>
                      <w:divsChild>
                        <w:div w:id="1315450602">
                          <w:marLeft w:val="0"/>
                          <w:marRight w:val="0"/>
                          <w:marTop w:val="0"/>
                          <w:marBottom w:val="0"/>
                          <w:divBdr>
                            <w:top w:val="none" w:sz="0" w:space="0" w:color="auto"/>
                            <w:left w:val="none" w:sz="0" w:space="0" w:color="auto"/>
                            <w:bottom w:val="none" w:sz="0" w:space="0" w:color="auto"/>
                            <w:right w:val="none" w:sz="0" w:space="0" w:color="auto"/>
                          </w:divBdr>
                          <w:divsChild>
                            <w:div w:id="763300416">
                              <w:marLeft w:val="0"/>
                              <w:marRight w:val="0"/>
                              <w:marTop w:val="0"/>
                              <w:marBottom w:val="0"/>
                              <w:divBdr>
                                <w:top w:val="none" w:sz="0" w:space="0" w:color="auto"/>
                                <w:left w:val="none" w:sz="0" w:space="0" w:color="auto"/>
                                <w:bottom w:val="none" w:sz="0" w:space="0" w:color="auto"/>
                                <w:right w:val="none" w:sz="0" w:space="0" w:color="auto"/>
                              </w:divBdr>
                              <w:divsChild>
                                <w:div w:id="942419487">
                                  <w:marLeft w:val="0"/>
                                  <w:marRight w:val="0"/>
                                  <w:marTop w:val="0"/>
                                  <w:marBottom w:val="0"/>
                                  <w:divBdr>
                                    <w:top w:val="none" w:sz="0" w:space="0" w:color="auto"/>
                                    <w:left w:val="none" w:sz="0" w:space="0" w:color="auto"/>
                                    <w:bottom w:val="none" w:sz="0" w:space="0" w:color="auto"/>
                                    <w:right w:val="none" w:sz="0" w:space="0" w:color="auto"/>
                                  </w:divBdr>
                                  <w:divsChild>
                                    <w:div w:id="1015612371">
                                      <w:marLeft w:val="0"/>
                                      <w:marRight w:val="0"/>
                                      <w:marTop w:val="0"/>
                                      <w:marBottom w:val="0"/>
                                      <w:divBdr>
                                        <w:top w:val="none" w:sz="0" w:space="0" w:color="auto"/>
                                        <w:left w:val="none" w:sz="0" w:space="0" w:color="auto"/>
                                        <w:bottom w:val="none" w:sz="0" w:space="0" w:color="auto"/>
                                        <w:right w:val="none" w:sz="0" w:space="0" w:color="auto"/>
                                      </w:divBdr>
                                    </w:div>
                                  </w:divsChild>
                                </w:div>
                                <w:div w:id="2048872770">
                                  <w:marLeft w:val="0"/>
                                  <w:marRight w:val="0"/>
                                  <w:marTop w:val="0"/>
                                  <w:marBottom w:val="0"/>
                                  <w:divBdr>
                                    <w:top w:val="none" w:sz="0" w:space="0" w:color="auto"/>
                                    <w:left w:val="none" w:sz="0" w:space="0" w:color="auto"/>
                                    <w:bottom w:val="none" w:sz="0" w:space="0" w:color="auto"/>
                                    <w:right w:val="none" w:sz="0" w:space="0" w:color="auto"/>
                                  </w:divBdr>
                                  <w:divsChild>
                                    <w:div w:id="1769420850">
                                      <w:marLeft w:val="0"/>
                                      <w:marRight w:val="0"/>
                                      <w:marTop w:val="0"/>
                                      <w:marBottom w:val="0"/>
                                      <w:divBdr>
                                        <w:top w:val="none" w:sz="0" w:space="0" w:color="auto"/>
                                        <w:left w:val="none" w:sz="0" w:space="0" w:color="auto"/>
                                        <w:bottom w:val="none" w:sz="0" w:space="0" w:color="auto"/>
                                        <w:right w:val="none" w:sz="0" w:space="0" w:color="auto"/>
                                      </w:divBdr>
                                    </w:div>
                                  </w:divsChild>
                                </w:div>
                                <w:div w:id="1007825301">
                                  <w:marLeft w:val="0"/>
                                  <w:marRight w:val="0"/>
                                  <w:marTop w:val="0"/>
                                  <w:marBottom w:val="0"/>
                                  <w:divBdr>
                                    <w:top w:val="none" w:sz="0" w:space="0" w:color="auto"/>
                                    <w:left w:val="none" w:sz="0" w:space="0" w:color="auto"/>
                                    <w:bottom w:val="none" w:sz="0" w:space="0" w:color="auto"/>
                                    <w:right w:val="none" w:sz="0" w:space="0" w:color="auto"/>
                                  </w:divBdr>
                                  <w:divsChild>
                                    <w:div w:id="603927991">
                                      <w:marLeft w:val="0"/>
                                      <w:marRight w:val="0"/>
                                      <w:marTop w:val="0"/>
                                      <w:marBottom w:val="0"/>
                                      <w:divBdr>
                                        <w:top w:val="none" w:sz="0" w:space="0" w:color="auto"/>
                                        <w:left w:val="none" w:sz="0" w:space="0" w:color="auto"/>
                                        <w:bottom w:val="none" w:sz="0" w:space="0" w:color="auto"/>
                                        <w:right w:val="none" w:sz="0" w:space="0" w:color="auto"/>
                                      </w:divBdr>
                                    </w:div>
                                  </w:divsChild>
                                </w:div>
                                <w:div w:id="975918030">
                                  <w:marLeft w:val="0"/>
                                  <w:marRight w:val="0"/>
                                  <w:marTop w:val="0"/>
                                  <w:marBottom w:val="0"/>
                                  <w:divBdr>
                                    <w:top w:val="none" w:sz="0" w:space="0" w:color="auto"/>
                                    <w:left w:val="none" w:sz="0" w:space="0" w:color="auto"/>
                                    <w:bottom w:val="none" w:sz="0" w:space="0" w:color="auto"/>
                                    <w:right w:val="none" w:sz="0" w:space="0" w:color="auto"/>
                                  </w:divBdr>
                                  <w:divsChild>
                                    <w:div w:id="16736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5175661">
          <w:marLeft w:val="0"/>
          <w:marRight w:val="0"/>
          <w:marTop w:val="0"/>
          <w:marBottom w:val="0"/>
          <w:divBdr>
            <w:top w:val="none" w:sz="0" w:space="0" w:color="auto"/>
            <w:left w:val="none" w:sz="0" w:space="0" w:color="auto"/>
            <w:bottom w:val="none" w:sz="0" w:space="0" w:color="auto"/>
            <w:right w:val="none" w:sz="0" w:space="0" w:color="auto"/>
          </w:divBdr>
          <w:divsChild>
            <w:div w:id="550072490">
              <w:marLeft w:val="0"/>
              <w:marRight w:val="0"/>
              <w:marTop w:val="0"/>
              <w:marBottom w:val="0"/>
              <w:divBdr>
                <w:top w:val="none" w:sz="0" w:space="0" w:color="auto"/>
                <w:left w:val="none" w:sz="0" w:space="0" w:color="auto"/>
                <w:bottom w:val="none" w:sz="0" w:space="0" w:color="auto"/>
                <w:right w:val="none" w:sz="0" w:space="0" w:color="auto"/>
              </w:divBdr>
              <w:divsChild>
                <w:div w:id="1824155012">
                  <w:marLeft w:val="0"/>
                  <w:marRight w:val="0"/>
                  <w:marTop w:val="0"/>
                  <w:marBottom w:val="0"/>
                  <w:divBdr>
                    <w:top w:val="none" w:sz="0" w:space="0" w:color="auto"/>
                    <w:left w:val="none" w:sz="0" w:space="0" w:color="auto"/>
                    <w:bottom w:val="none" w:sz="0" w:space="0" w:color="auto"/>
                    <w:right w:val="none" w:sz="0" w:space="0" w:color="auto"/>
                  </w:divBdr>
                  <w:divsChild>
                    <w:div w:id="1969162914">
                      <w:marLeft w:val="0"/>
                      <w:marRight w:val="0"/>
                      <w:marTop w:val="0"/>
                      <w:marBottom w:val="0"/>
                      <w:divBdr>
                        <w:top w:val="none" w:sz="0" w:space="0" w:color="auto"/>
                        <w:left w:val="none" w:sz="0" w:space="0" w:color="auto"/>
                        <w:bottom w:val="none" w:sz="0" w:space="0" w:color="auto"/>
                        <w:right w:val="none" w:sz="0" w:space="0" w:color="auto"/>
                      </w:divBdr>
                      <w:divsChild>
                        <w:div w:id="1843737630">
                          <w:marLeft w:val="0"/>
                          <w:marRight w:val="0"/>
                          <w:marTop w:val="0"/>
                          <w:marBottom w:val="0"/>
                          <w:divBdr>
                            <w:top w:val="none" w:sz="0" w:space="0" w:color="auto"/>
                            <w:left w:val="none" w:sz="0" w:space="0" w:color="auto"/>
                            <w:bottom w:val="none" w:sz="0" w:space="0" w:color="auto"/>
                            <w:right w:val="none" w:sz="0" w:space="0" w:color="auto"/>
                          </w:divBdr>
                          <w:divsChild>
                            <w:div w:id="1715930732">
                              <w:marLeft w:val="0"/>
                              <w:marRight w:val="0"/>
                              <w:marTop w:val="0"/>
                              <w:marBottom w:val="0"/>
                              <w:divBdr>
                                <w:top w:val="none" w:sz="0" w:space="0" w:color="auto"/>
                                <w:left w:val="none" w:sz="0" w:space="0" w:color="auto"/>
                                <w:bottom w:val="none" w:sz="0" w:space="0" w:color="auto"/>
                                <w:right w:val="none" w:sz="0" w:space="0" w:color="auto"/>
                              </w:divBdr>
                              <w:divsChild>
                                <w:div w:id="96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850979">
          <w:marLeft w:val="0"/>
          <w:marRight w:val="0"/>
          <w:marTop w:val="0"/>
          <w:marBottom w:val="0"/>
          <w:divBdr>
            <w:top w:val="none" w:sz="0" w:space="0" w:color="auto"/>
            <w:left w:val="none" w:sz="0" w:space="0" w:color="auto"/>
            <w:bottom w:val="none" w:sz="0" w:space="0" w:color="auto"/>
            <w:right w:val="none" w:sz="0" w:space="0" w:color="auto"/>
          </w:divBdr>
          <w:divsChild>
            <w:div w:id="933393699">
              <w:marLeft w:val="0"/>
              <w:marRight w:val="0"/>
              <w:marTop w:val="0"/>
              <w:marBottom w:val="0"/>
              <w:divBdr>
                <w:top w:val="none" w:sz="0" w:space="0" w:color="auto"/>
                <w:left w:val="none" w:sz="0" w:space="0" w:color="auto"/>
                <w:bottom w:val="none" w:sz="0" w:space="0" w:color="auto"/>
                <w:right w:val="none" w:sz="0" w:space="0" w:color="auto"/>
              </w:divBdr>
              <w:divsChild>
                <w:div w:id="931087416">
                  <w:marLeft w:val="0"/>
                  <w:marRight w:val="0"/>
                  <w:marTop w:val="0"/>
                  <w:marBottom w:val="0"/>
                  <w:divBdr>
                    <w:top w:val="none" w:sz="0" w:space="0" w:color="auto"/>
                    <w:left w:val="none" w:sz="0" w:space="0" w:color="auto"/>
                    <w:bottom w:val="none" w:sz="0" w:space="0" w:color="auto"/>
                    <w:right w:val="none" w:sz="0" w:space="0" w:color="auto"/>
                  </w:divBdr>
                  <w:divsChild>
                    <w:div w:id="1617054353">
                      <w:marLeft w:val="0"/>
                      <w:marRight w:val="0"/>
                      <w:marTop w:val="0"/>
                      <w:marBottom w:val="0"/>
                      <w:divBdr>
                        <w:top w:val="none" w:sz="0" w:space="0" w:color="auto"/>
                        <w:left w:val="none" w:sz="0" w:space="0" w:color="auto"/>
                        <w:bottom w:val="none" w:sz="0" w:space="0" w:color="auto"/>
                        <w:right w:val="none" w:sz="0" w:space="0" w:color="auto"/>
                      </w:divBdr>
                      <w:divsChild>
                        <w:div w:id="1701587533">
                          <w:marLeft w:val="0"/>
                          <w:marRight w:val="0"/>
                          <w:marTop w:val="0"/>
                          <w:marBottom w:val="0"/>
                          <w:divBdr>
                            <w:top w:val="none" w:sz="0" w:space="0" w:color="auto"/>
                            <w:left w:val="none" w:sz="0" w:space="0" w:color="auto"/>
                            <w:bottom w:val="none" w:sz="0" w:space="0" w:color="auto"/>
                            <w:right w:val="none" w:sz="0" w:space="0" w:color="auto"/>
                          </w:divBdr>
                          <w:divsChild>
                            <w:div w:id="88397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790267">
          <w:marLeft w:val="0"/>
          <w:marRight w:val="0"/>
          <w:marTop w:val="0"/>
          <w:marBottom w:val="0"/>
          <w:divBdr>
            <w:top w:val="none" w:sz="0" w:space="0" w:color="auto"/>
            <w:left w:val="none" w:sz="0" w:space="0" w:color="auto"/>
            <w:bottom w:val="none" w:sz="0" w:space="0" w:color="auto"/>
            <w:right w:val="none" w:sz="0" w:space="0" w:color="auto"/>
          </w:divBdr>
          <w:divsChild>
            <w:div w:id="473832385">
              <w:marLeft w:val="0"/>
              <w:marRight w:val="0"/>
              <w:marTop w:val="0"/>
              <w:marBottom w:val="0"/>
              <w:divBdr>
                <w:top w:val="none" w:sz="0" w:space="0" w:color="auto"/>
                <w:left w:val="none" w:sz="0" w:space="0" w:color="auto"/>
                <w:bottom w:val="none" w:sz="0" w:space="0" w:color="auto"/>
                <w:right w:val="none" w:sz="0" w:space="0" w:color="auto"/>
              </w:divBdr>
              <w:divsChild>
                <w:div w:id="262886740">
                  <w:marLeft w:val="0"/>
                  <w:marRight w:val="0"/>
                  <w:marTop w:val="0"/>
                  <w:marBottom w:val="0"/>
                  <w:divBdr>
                    <w:top w:val="none" w:sz="0" w:space="0" w:color="auto"/>
                    <w:left w:val="none" w:sz="0" w:space="0" w:color="auto"/>
                    <w:bottom w:val="none" w:sz="0" w:space="0" w:color="auto"/>
                    <w:right w:val="none" w:sz="0" w:space="0" w:color="auto"/>
                  </w:divBdr>
                  <w:divsChild>
                    <w:div w:id="692192036">
                      <w:marLeft w:val="0"/>
                      <w:marRight w:val="0"/>
                      <w:marTop w:val="0"/>
                      <w:marBottom w:val="0"/>
                      <w:divBdr>
                        <w:top w:val="none" w:sz="0" w:space="0" w:color="auto"/>
                        <w:left w:val="none" w:sz="0" w:space="0" w:color="auto"/>
                        <w:bottom w:val="none" w:sz="0" w:space="0" w:color="auto"/>
                        <w:right w:val="none" w:sz="0" w:space="0" w:color="auto"/>
                      </w:divBdr>
                      <w:divsChild>
                        <w:div w:id="44642822">
                          <w:marLeft w:val="0"/>
                          <w:marRight w:val="0"/>
                          <w:marTop w:val="0"/>
                          <w:marBottom w:val="0"/>
                          <w:divBdr>
                            <w:top w:val="none" w:sz="0" w:space="0" w:color="auto"/>
                            <w:left w:val="none" w:sz="0" w:space="0" w:color="auto"/>
                            <w:bottom w:val="none" w:sz="0" w:space="0" w:color="auto"/>
                            <w:right w:val="none" w:sz="0" w:space="0" w:color="auto"/>
                          </w:divBdr>
                          <w:divsChild>
                            <w:div w:id="251355209">
                              <w:marLeft w:val="0"/>
                              <w:marRight w:val="0"/>
                              <w:marTop w:val="0"/>
                              <w:marBottom w:val="0"/>
                              <w:divBdr>
                                <w:top w:val="none" w:sz="0" w:space="0" w:color="auto"/>
                                <w:left w:val="none" w:sz="0" w:space="0" w:color="auto"/>
                                <w:bottom w:val="none" w:sz="0" w:space="0" w:color="auto"/>
                                <w:right w:val="none" w:sz="0" w:space="0" w:color="auto"/>
                              </w:divBdr>
                              <w:divsChild>
                                <w:div w:id="10180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422500">
          <w:marLeft w:val="0"/>
          <w:marRight w:val="0"/>
          <w:marTop w:val="0"/>
          <w:marBottom w:val="0"/>
          <w:divBdr>
            <w:top w:val="none" w:sz="0" w:space="0" w:color="auto"/>
            <w:left w:val="none" w:sz="0" w:space="0" w:color="auto"/>
            <w:bottom w:val="none" w:sz="0" w:space="0" w:color="auto"/>
            <w:right w:val="none" w:sz="0" w:space="0" w:color="auto"/>
          </w:divBdr>
          <w:divsChild>
            <w:div w:id="526724167">
              <w:marLeft w:val="0"/>
              <w:marRight w:val="0"/>
              <w:marTop w:val="0"/>
              <w:marBottom w:val="0"/>
              <w:divBdr>
                <w:top w:val="none" w:sz="0" w:space="0" w:color="auto"/>
                <w:left w:val="none" w:sz="0" w:space="0" w:color="auto"/>
                <w:bottom w:val="none" w:sz="0" w:space="0" w:color="auto"/>
                <w:right w:val="none" w:sz="0" w:space="0" w:color="auto"/>
              </w:divBdr>
              <w:divsChild>
                <w:div w:id="1616516272">
                  <w:marLeft w:val="0"/>
                  <w:marRight w:val="0"/>
                  <w:marTop w:val="0"/>
                  <w:marBottom w:val="0"/>
                  <w:divBdr>
                    <w:top w:val="none" w:sz="0" w:space="0" w:color="auto"/>
                    <w:left w:val="none" w:sz="0" w:space="0" w:color="auto"/>
                    <w:bottom w:val="none" w:sz="0" w:space="0" w:color="auto"/>
                    <w:right w:val="none" w:sz="0" w:space="0" w:color="auto"/>
                  </w:divBdr>
                  <w:divsChild>
                    <w:div w:id="1035690210">
                      <w:marLeft w:val="0"/>
                      <w:marRight w:val="0"/>
                      <w:marTop w:val="0"/>
                      <w:marBottom w:val="0"/>
                      <w:divBdr>
                        <w:top w:val="none" w:sz="0" w:space="0" w:color="auto"/>
                        <w:left w:val="none" w:sz="0" w:space="0" w:color="auto"/>
                        <w:bottom w:val="none" w:sz="0" w:space="0" w:color="auto"/>
                        <w:right w:val="none" w:sz="0" w:space="0" w:color="auto"/>
                      </w:divBdr>
                      <w:divsChild>
                        <w:div w:id="815998373">
                          <w:marLeft w:val="0"/>
                          <w:marRight w:val="0"/>
                          <w:marTop w:val="0"/>
                          <w:marBottom w:val="0"/>
                          <w:divBdr>
                            <w:top w:val="none" w:sz="0" w:space="0" w:color="auto"/>
                            <w:left w:val="none" w:sz="0" w:space="0" w:color="auto"/>
                            <w:bottom w:val="none" w:sz="0" w:space="0" w:color="auto"/>
                            <w:right w:val="none" w:sz="0" w:space="0" w:color="auto"/>
                          </w:divBdr>
                          <w:divsChild>
                            <w:div w:id="110850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829546">
          <w:marLeft w:val="0"/>
          <w:marRight w:val="0"/>
          <w:marTop w:val="0"/>
          <w:marBottom w:val="0"/>
          <w:divBdr>
            <w:top w:val="none" w:sz="0" w:space="0" w:color="auto"/>
            <w:left w:val="none" w:sz="0" w:space="0" w:color="auto"/>
            <w:bottom w:val="none" w:sz="0" w:space="0" w:color="auto"/>
            <w:right w:val="none" w:sz="0" w:space="0" w:color="auto"/>
          </w:divBdr>
          <w:divsChild>
            <w:div w:id="1875072113">
              <w:marLeft w:val="0"/>
              <w:marRight w:val="0"/>
              <w:marTop w:val="0"/>
              <w:marBottom w:val="0"/>
              <w:divBdr>
                <w:top w:val="none" w:sz="0" w:space="0" w:color="auto"/>
                <w:left w:val="none" w:sz="0" w:space="0" w:color="auto"/>
                <w:bottom w:val="none" w:sz="0" w:space="0" w:color="auto"/>
                <w:right w:val="none" w:sz="0" w:space="0" w:color="auto"/>
              </w:divBdr>
              <w:divsChild>
                <w:div w:id="1264461923">
                  <w:marLeft w:val="0"/>
                  <w:marRight w:val="0"/>
                  <w:marTop w:val="0"/>
                  <w:marBottom w:val="0"/>
                  <w:divBdr>
                    <w:top w:val="none" w:sz="0" w:space="0" w:color="auto"/>
                    <w:left w:val="none" w:sz="0" w:space="0" w:color="auto"/>
                    <w:bottom w:val="none" w:sz="0" w:space="0" w:color="auto"/>
                    <w:right w:val="none" w:sz="0" w:space="0" w:color="auto"/>
                  </w:divBdr>
                  <w:divsChild>
                    <w:div w:id="340133023">
                      <w:marLeft w:val="0"/>
                      <w:marRight w:val="0"/>
                      <w:marTop w:val="0"/>
                      <w:marBottom w:val="0"/>
                      <w:divBdr>
                        <w:top w:val="none" w:sz="0" w:space="0" w:color="auto"/>
                        <w:left w:val="none" w:sz="0" w:space="0" w:color="auto"/>
                        <w:bottom w:val="none" w:sz="0" w:space="0" w:color="auto"/>
                        <w:right w:val="none" w:sz="0" w:space="0" w:color="auto"/>
                      </w:divBdr>
                      <w:divsChild>
                        <w:div w:id="1349791341">
                          <w:marLeft w:val="0"/>
                          <w:marRight w:val="0"/>
                          <w:marTop w:val="0"/>
                          <w:marBottom w:val="0"/>
                          <w:divBdr>
                            <w:top w:val="none" w:sz="0" w:space="0" w:color="auto"/>
                            <w:left w:val="none" w:sz="0" w:space="0" w:color="auto"/>
                            <w:bottom w:val="none" w:sz="0" w:space="0" w:color="auto"/>
                            <w:right w:val="none" w:sz="0" w:space="0" w:color="auto"/>
                          </w:divBdr>
                          <w:divsChild>
                            <w:div w:id="31731243">
                              <w:marLeft w:val="0"/>
                              <w:marRight w:val="0"/>
                              <w:marTop w:val="0"/>
                              <w:marBottom w:val="0"/>
                              <w:divBdr>
                                <w:top w:val="none" w:sz="0" w:space="0" w:color="auto"/>
                                <w:left w:val="none" w:sz="0" w:space="0" w:color="auto"/>
                                <w:bottom w:val="none" w:sz="0" w:space="0" w:color="auto"/>
                                <w:right w:val="none" w:sz="0" w:space="0" w:color="auto"/>
                              </w:divBdr>
                              <w:divsChild>
                                <w:div w:id="5208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104419">
          <w:marLeft w:val="0"/>
          <w:marRight w:val="0"/>
          <w:marTop w:val="0"/>
          <w:marBottom w:val="0"/>
          <w:divBdr>
            <w:top w:val="none" w:sz="0" w:space="0" w:color="auto"/>
            <w:left w:val="none" w:sz="0" w:space="0" w:color="auto"/>
            <w:bottom w:val="none" w:sz="0" w:space="0" w:color="auto"/>
            <w:right w:val="none" w:sz="0" w:space="0" w:color="auto"/>
          </w:divBdr>
          <w:divsChild>
            <w:div w:id="1326938823">
              <w:marLeft w:val="0"/>
              <w:marRight w:val="0"/>
              <w:marTop w:val="0"/>
              <w:marBottom w:val="0"/>
              <w:divBdr>
                <w:top w:val="none" w:sz="0" w:space="0" w:color="auto"/>
                <w:left w:val="none" w:sz="0" w:space="0" w:color="auto"/>
                <w:bottom w:val="none" w:sz="0" w:space="0" w:color="auto"/>
                <w:right w:val="none" w:sz="0" w:space="0" w:color="auto"/>
              </w:divBdr>
              <w:divsChild>
                <w:div w:id="890918840">
                  <w:marLeft w:val="0"/>
                  <w:marRight w:val="0"/>
                  <w:marTop w:val="0"/>
                  <w:marBottom w:val="0"/>
                  <w:divBdr>
                    <w:top w:val="none" w:sz="0" w:space="0" w:color="auto"/>
                    <w:left w:val="none" w:sz="0" w:space="0" w:color="auto"/>
                    <w:bottom w:val="none" w:sz="0" w:space="0" w:color="auto"/>
                    <w:right w:val="none" w:sz="0" w:space="0" w:color="auto"/>
                  </w:divBdr>
                  <w:divsChild>
                    <w:div w:id="1467238430">
                      <w:marLeft w:val="0"/>
                      <w:marRight w:val="0"/>
                      <w:marTop w:val="0"/>
                      <w:marBottom w:val="0"/>
                      <w:divBdr>
                        <w:top w:val="none" w:sz="0" w:space="0" w:color="auto"/>
                        <w:left w:val="none" w:sz="0" w:space="0" w:color="auto"/>
                        <w:bottom w:val="none" w:sz="0" w:space="0" w:color="auto"/>
                        <w:right w:val="none" w:sz="0" w:space="0" w:color="auto"/>
                      </w:divBdr>
                      <w:divsChild>
                        <w:div w:id="1882088661">
                          <w:marLeft w:val="0"/>
                          <w:marRight w:val="0"/>
                          <w:marTop w:val="0"/>
                          <w:marBottom w:val="0"/>
                          <w:divBdr>
                            <w:top w:val="none" w:sz="0" w:space="0" w:color="auto"/>
                            <w:left w:val="none" w:sz="0" w:space="0" w:color="auto"/>
                            <w:bottom w:val="none" w:sz="0" w:space="0" w:color="auto"/>
                            <w:right w:val="none" w:sz="0" w:space="0" w:color="auto"/>
                          </w:divBdr>
                          <w:divsChild>
                            <w:div w:id="199074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1861</Words>
  <Characters>10612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RDRL</dc:creator>
  <cp:lastModifiedBy>hp</cp:lastModifiedBy>
  <cp:revision>8</cp:revision>
  <cp:lastPrinted>2026-09-27T09:24:00Z</cp:lastPrinted>
  <dcterms:created xsi:type="dcterms:W3CDTF">2026-03-23T09:25:00Z</dcterms:created>
  <dcterms:modified xsi:type="dcterms:W3CDTF">2026-09-27T09:24:00Z</dcterms:modified>
</cp:coreProperties>
</file>