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320" w:rsidRDefault="00047320">
      <w:pPr>
        <w:rPr>
          <w:lang w:val="en-US"/>
        </w:rPr>
      </w:pPr>
    </w:p>
    <w:p w:rsidR="00460831" w:rsidRDefault="00460831">
      <w:pPr>
        <w:rPr>
          <w:lang w:val="en-US"/>
        </w:rPr>
      </w:pPr>
    </w:p>
    <w:p w:rsidR="00460831" w:rsidRDefault="00460831" w:rsidP="00460831">
      <w:pPr>
        <w:pStyle w:val="Default"/>
      </w:pPr>
    </w:p>
    <w:p w:rsidR="00460831" w:rsidRDefault="00460831" w:rsidP="00460831">
      <w:pPr>
        <w:pStyle w:val="Default"/>
        <w:rPr>
          <w:sz w:val="20"/>
          <w:szCs w:val="20"/>
        </w:rPr>
      </w:pPr>
      <w:r>
        <w:t xml:space="preserve"> </w:t>
      </w:r>
      <w:r>
        <w:rPr>
          <w:sz w:val="20"/>
          <w:szCs w:val="20"/>
        </w:rPr>
        <w:t xml:space="preserve">Indian Journal of Basic &amp; Applied Medical Research; December 2011: Issue-1, Vol.-1, P. 376-386 </w:t>
      </w:r>
    </w:p>
    <w:p w:rsidR="00460831" w:rsidRDefault="00460831" w:rsidP="00460831">
      <w:pPr>
        <w:pStyle w:val="Default"/>
        <w:rPr>
          <w:color w:val="auto"/>
        </w:rPr>
      </w:pPr>
    </w:p>
    <w:p w:rsidR="00460831" w:rsidRDefault="00460831" w:rsidP="00460831">
      <w:pPr>
        <w:pStyle w:val="Default"/>
        <w:rPr>
          <w:rFonts w:ascii="Calibri" w:hAnsi="Calibri" w:cs="Calibri"/>
          <w:color w:val="auto"/>
          <w:sz w:val="22"/>
          <w:szCs w:val="22"/>
        </w:rPr>
      </w:pPr>
      <w:r>
        <w:rPr>
          <w:color w:val="auto"/>
        </w:rPr>
        <w:t xml:space="preserve"> </w:t>
      </w:r>
      <w:proofErr w:type="gramStart"/>
      <w:r>
        <w:rPr>
          <w:rFonts w:ascii="Calibri" w:hAnsi="Calibri" w:cs="Calibri"/>
          <w:color w:val="auto"/>
          <w:sz w:val="22"/>
          <w:szCs w:val="22"/>
        </w:rPr>
        <w:t>376 www.ijbamr.com</w:t>
      </w:r>
      <w:proofErr w:type="gramEnd"/>
      <w:r>
        <w:rPr>
          <w:rFonts w:ascii="Calibri" w:hAnsi="Calibri" w:cs="Calibri"/>
          <w:color w:val="auto"/>
          <w:sz w:val="22"/>
          <w:szCs w:val="22"/>
        </w:rPr>
        <w:t xml:space="preserve"> </w:t>
      </w:r>
    </w:p>
    <w:p w:rsidR="00460831" w:rsidRDefault="00460831" w:rsidP="00460831">
      <w:pPr>
        <w:pStyle w:val="Default"/>
        <w:rPr>
          <w:color w:val="auto"/>
        </w:rPr>
      </w:pPr>
    </w:p>
    <w:p w:rsidR="00460831" w:rsidRDefault="00460831" w:rsidP="00460831">
      <w:pPr>
        <w:pStyle w:val="Default"/>
        <w:rPr>
          <w:sz w:val="28"/>
          <w:szCs w:val="28"/>
        </w:rPr>
      </w:pPr>
      <w:r>
        <w:rPr>
          <w:color w:val="auto"/>
        </w:rPr>
        <w:t xml:space="preserve"> </w:t>
      </w:r>
      <w:r>
        <w:rPr>
          <w:rFonts w:ascii="Cambria" w:hAnsi="Cambria" w:cs="Cambria"/>
          <w:b/>
          <w:bCs/>
          <w:color w:val="auto"/>
          <w:sz w:val="23"/>
          <w:szCs w:val="23"/>
        </w:rPr>
        <w:t xml:space="preserve">Original article: </w:t>
      </w:r>
      <w:r>
        <w:rPr>
          <w:rFonts w:ascii="Cambria" w:hAnsi="Cambria" w:cs="Cambria"/>
          <w:b/>
          <w:bCs/>
          <w:color w:val="1F487C"/>
          <w:sz w:val="28"/>
          <w:szCs w:val="28"/>
        </w:rPr>
        <w:t xml:space="preserve">Evaluation of Prevalence of Post-Traumatic Stress Disorders in Patients with Blunt Abdominal Trauma: An Institutional Based Study </w:t>
      </w:r>
    </w:p>
    <w:p w:rsidR="00460831" w:rsidRDefault="00460831" w:rsidP="00460831">
      <w:pPr>
        <w:pStyle w:val="Default"/>
        <w:rPr>
          <w:rFonts w:ascii="Cambria" w:hAnsi="Cambria" w:cs="Cambria"/>
          <w:sz w:val="13"/>
          <w:szCs w:val="13"/>
        </w:rPr>
      </w:pPr>
      <w:proofErr w:type="spellStart"/>
      <w:r>
        <w:rPr>
          <w:rFonts w:ascii="Cambria" w:hAnsi="Cambria" w:cs="Cambria"/>
          <w:b/>
          <w:bCs/>
          <w:sz w:val="20"/>
          <w:szCs w:val="20"/>
        </w:rPr>
        <w:t>Bir</w:t>
      </w:r>
      <w:proofErr w:type="spellEnd"/>
      <w:r>
        <w:rPr>
          <w:rFonts w:ascii="Cambria" w:hAnsi="Cambria" w:cs="Cambria"/>
          <w:b/>
          <w:bCs/>
          <w:sz w:val="20"/>
          <w:szCs w:val="20"/>
        </w:rPr>
        <w:t xml:space="preserve"> Singh Yadav</w:t>
      </w:r>
      <w:r>
        <w:rPr>
          <w:rFonts w:ascii="Cambria" w:hAnsi="Cambria" w:cs="Cambria"/>
          <w:b/>
          <w:bCs/>
          <w:sz w:val="13"/>
          <w:szCs w:val="13"/>
        </w:rPr>
        <w:t>1</w:t>
      </w:r>
      <w:r>
        <w:rPr>
          <w:rFonts w:ascii="Cambria" w:hAnsi="Cambria" w:cs="Cambria"/>
          <w:b/>
          <w:bCs/>
          <w:sz w:val="20"/>
          <w:szCs w:val="20"/>
        </w:rPr>
        <w:t xml:space="preserve">, </w:t>
      </w:r>
      <w:proofErr w:type="spellStart"/>
      <w:r>
        <w:rPr>
          <w:rFonts w:ascii="Cambria" w:hAnsi="Cambria" w:cs="Cambria"/>
          <w:b/>
          <w:bCs/>
          <w:sz w:val="20"/>
          <w:szCs w:val="20"/>
        </w:rPr>
        <w:t>Anju</w:t>
      </w:r>
      <w:proofErr w:type="spellEnd"/>
      <w:r>
        <w:rPr>
          <w:rFonts w:ascii="Cambria" w:hAnsi="Cambria" w:cs="Cambria"/>
          <w:b/>
          <w:bCs/>
          <w:sz w:val="20"/>
          <w:szCs w:val="20"/>
        </w:rPr>
        <w:t xml:space="preserve"> Yadav</w:t>
      </w:r>
      <w:r>
        <w:rPr>
          <w:rFonts w:ascii="Cambria" w:hAnsi="Cambria" w:cs="Cambria"/>
          <w:b/>
          <w:bCs/>
          <w:sz w:val="13"/>
          <w:szCs w:val="13"/>
        </w:rPr>
        <w:t xml:space="preserve">2 </w:t>
      </w:r>
    </w:p>
    <w:p w:rsidR="00460831" w:rsidRDefault="00460831" w:rsidP="00460831">
      <w:pPr>
        <w:pStyle w:val="Default"/>
        <w:rPr>
          <w:sz w:val="18"/>
          <w:szCs w:val="18"/>
        </w:rPr>
      </w:pPr>
      <w:r>
        <w:rPr>
          <w:rFonts w:ascii="Cambria" w:hAnsi="Cambria" w:cs="Cambria"/>
          <w:sz w:val="12"/>
          <w:szCs w:val="12"/>
        </w:rPr>
        <w:t>1</w:t>
      </w:r>
      <w:r>
        <w:rPr>
          <w:rFonts w:ascii="Cambria" w:hAnsi="Cambria" w:cs="Cambria"/>
          <w:sz w:val="18"/>
          <w:szCs w:val="18"/>
        </w:rPr>
        <w:t xml:space="preserve">MD Psychiatry, Assistant Professor, Department of Psychiatry, </w:t>
      </w:r>
      <w:proofErr w:type="spellStart"/>
      <w:r>
        <w:rPr>
          <w:rFonts w:ascii="Cambria" w:hAnsi="Cambria" w:cs="Cambria"/>
          <w:sz w:val="18"/>
          <w:szCs w:val="18"/>
        </w:rPr>
        <w:t>Prathima</w:t>
      </w:r>
      <w:proofErr w:type="spellEnd"/>
      <w:r>
        <w:rPr>
          <w:rFonts w:ascii="Cambria" w:hAnsi="Cambria" w:cs="Cambria"/>
          <w:sz w:val="18"/>
          <w:szCs w:val="18"/>
        </w:rPr>
        <w:t xml:space="preserve"> Institute of Medical Sciences, </w:t>
      </w:r>
      <w:proofErr w:type="spellStart"/>
      <w:r>
        <w:rPr>
          <w:rFonts w:ascii="Cambria" w:hAnsi="Cambria" w:cs="Cambria"/>
          <w:sz w:val="18"/>
          <w:szCs w:val="18"/>
        </w:rPr>
        <w:t>Karimnagar</w:t>
      </w:r>
      <w:proofErr w:type="spellEnd"/>
      <w:r>
        <w:rPr>
          <w:rFonts w:ascii="Cambria" w:hAnsi="Cambria" w:cs="Cambria"/>
          <w:sz w:val="18"/>
          <w:szCs w:val="18"/>
        </w:rPr>
        <w:t xml:space="preserve">, Andhra Pradesh, India, </w:t>
      </w:r>
    </w:p>
    <w:p w:rsidR="00460831" w:rsidRDefault="00460831" w:rsidP="00460831">
      <w:pPr>
        <w:pStyle w:val="Default"/>
        <w:rPr>
          <w:rFonts w:ascii="Cambria" w:hAnsi="Cambria" w:cs="Cambria"/>
          <w:sz w:val="12"/>
          <w:szCs w:val="12"/>
        </w:rPr>
      </w:pPr>
      <w:r>
        <w:rPr>
          <w:rFonts w:ascii="Cambria" w:hAnsi="Cambria" w:cs="Cambria"/>
          <w:sz w:val="12"/>
          <w:szCs w:val="12"/>
        </w:rPr>
        <w:t xml:space="preserve">2MD </w:t>
      </w:r>
      <w:proofErr w:type="spellStart"/>
      <w:r>
        <w:rPr>
          <w:rFonts w:ascii="Cambria" w:hAnsi="Cambria" w:cs="Cambria"/>
          <w:sz w:val="12"/>
          <w:szCs w:val="12"/>
        </w:rPr>
        <w:t>Radiodiagnosis</w:t>
      </w:r>
      <w:proofErr w:type="spellEnd"/>
      <w:r>
        <w:rPr>
          <w:rFonts w:ascii="Cambria" w:hAnsi="Cambria" w:cs="Cambria"/>
          <w:sz w:val="12"/>
          <w:szCs w:val="12"/>
        </w:rPr>
        <w:t xml:space="preserve">, Assistant Professor, Maharaja </w:t>
      </w:r>
      <w:proofErr w:type="spellStart"/>
      <w:r>
        <w:rPr>
          <w:rFonts w:ascii="Cambria" w:hAnsi="Cambria" w:cs="Cambria"/>
          <w:sz w:val="12"/>
          <w:szCs w:val="12"/>
        </w:rPr>
        <w:t>Agrasen</w:t>
      </w:r>
      <w:proofErr w:type="spellEnd"/>
      <w:r>
        <w:rPr>
          <w:rFonts w:ascii="Cambria" w:hAnsi="Cambria" w:cs="Cambria"/>
          <w:sz w:val="12"/>
          <w:szCs w:val="12"/>
        </w:rPr>
        <w:t xml:space="preserve"> Medical Collage, </w:t>
      </w:r>
      <w:proofErr w:type="spellStart"/>
      <w:r>
        <w:rPr>
          <w:rFonts w:ascii="Cambria" w:hAnsi="Cambria" w:cs="Cambria"/>
          <w:sz w:val="12"/>
          <w:szCs w:val="12"/>
        </w:rPr>
        <w:t>Agroha</w:t>
      </w:r>
      <w:proofErr w:type="spellEnd"/>
      <w:r>
        <w:rPr>
          <w:rFonts w:ascii="Cambria" w:hAnsi="Cambria" w:cs="Cambria"/>
          <w:sz w:val="12"/>
          <w:szCs w:val="12"/>
        </w:rPr>
        <w:t xml:space="preserve">, </w:t>
      </w:r>
      <w:proofErr w:type="spellStart"/>
      <w:r>
        <w:rPr>
          <w:rFonts w:ascii="Cambria" w:hAnsi="Cambria" w:cs="Cambria"/>
          <w:sz w:val="12"/>
          <w:szCs w:val="12"/>
        </w:rPr>
        <w:t>Hisar</w:t>
      </w:r>
      <w:proofErr w:type="spellEnd"/>
      <w:r>
        <w:rPr>
          <w:rFonts w:ascii="Cambria" w:hAnsi="Cambria" w:cs="Cambria"/>
          <w:sz w:val="12"/>
          <w:szCs w:val="12"/>
        </w:rPr>
        <w:t xml:space="preserve">, Haryana, India. </w:t>
      </w:r>
    </w:p>
    <w:p w:rsidR="00460831" w:rsidRDefault="00460831" w:rsidP="00460831">
      <w:pPr>
        <w:pStyle w:val="Default"/>
        <w:rPr>
          <w:rFonts w:ascii="Cambria" w:hAnsi="Cambria" w:cs="Cambria"/>
          <w:sz w:val="18"/>
          <w:szCs w:val="18"/>
        </w:rPr>
      </w:pPr>
      <w:r>
        <w:rPr>
          <w:rFonts w:ascii="Cambria" w:hAnsi="Cambria" w:cs="Cambria"/>
          <w:sz w:val="18"/>
          <w:szCs w:val="18"/>
        </w:rPr>
        <w:t xml:space="preserve">Corresponding Author: </w:t>
      </w:r>
      <w:proofErr w:type="spellStart"/>
      <w:r>
        <w:rPr>
          <w:rFonts w:ascii="Cambria" w:hAnsi="Cambria" w:cs="Cambria"/>
          <w:sz w:val="18"/>
          <w:szCs w:val="18"/>
        </w:rPr>
        <w:t>Dr.</w:t>
      </w:r>
      <w:proofErr w:type="spellEnd"/>
      <w:r>
        <w:rPr>
          <w:rFonts w:ascii="Cambria" w:hAnsi="Cambria" w:cs="Cambria"/>
          <w:sz w:val="18"/>
          <w:szCs w:val="18"/>
        </w:rPr>
        <w:t xml:space="preserve"> </w:t>
      </w:r>
      <w:proofErr w:type="spellStart"/>
      <w:r>
        <w:rPr>
          <w:rFonts w:ascii="Cambria" w:hAnsi="Cambria" w:cs="Cambria"/>
          <w:sz w:val="18"/>
          <w:szCs w:val="18"/>
        </w:rPr>
        <w:t>Anju</w:t>
      </w:r>
      <w:proofErr w:type="spellEnd"/>
      <w:r>
        <w:rPr>
          <w:rFonts w:ascii="Cambria" w:hAnsi="Cambria" w:cs="Cambria"/>
          <w:sz w:val="18"/>
          <w:szCs w:val="18"/>
        </w:rPr>
        <w:t xml:space="preserve"> </w:t>
      </w:r>
      <w:proofErr w:type="spellStart"/>
      <w:r>
        <w:rPr>
          <w:rFonts w:ascii="Cambria" w:hAnsi="Cambria" w:cs="Cambria"/>
          <w:sz w:val="18"/>
          <w:szCs w:val="18"/>
        </w:rPr>
        <w:t>Yadav</w:t>
      </w:r>
      <w:proofErr w:type="spellEnd"/>
      <w:r>
        <w:rPr>
          <w:rFonts w:ascii="Cambria" w:hAnsi="Cambria" w:cs="Cambria"/>
          <w:sz w:val="18"/>
          <w:szCs w:val="18"/>
        </w:rPr>
        <w:t xml:space="preserve">, MD </w:t>
      </w:r>
      <w:proofErr w:type="spellStart"/>
      <w:r>
        <w:rPr>
          <w:rFonts w:ascii="Cambria" w:hAnsi="Cambria" w:cs="Cambria"/>
          <w:sz w:val="18"/>
          <w:szCs w:val="18"/>
        </w:rPr>
        <w:t>Radiodiagnosis</w:t>
      </w:r>
      <w:proofErr w:type="spellEnd"/>
      <w:r>
        <w:rPr>
          <w:rFonts w:ascii="Cambria" w:hAnsi="Cambria" w:cs="Cambria"/>
          <w:sz w:val="18"/>
          <w:szCs w:val="18"/>
        </w:rPr>
        <w:t xml:space="preserve">, Assistant Professor, Maharaja </w:t>
      </w:r>
      <w:proofErr w:type="spellStart"/>
      <w:r>
        <w:rPr>
          <w:rFonts w:ascii="Cambria" w:hAnsi="Cambria" w:cs="Cambria"/>
          <w:sz w:val="18"/>
          <w:szCs w:val="18"/>
        </w:rPr>
        <w:t>Agrasen</w:t>
      </w:r>
      <w:proofErr w:type="spellEnd"/>
      <w:r>
        <w:rPr>
          <w:rFonts w:ascii="Cambria" w:hAnsi="Cambria" w:cs="Cambria"/>
          <w:sz w:val="18"/>
          <w:szCs w:val="18"/>
        </w:rPr>
        <w:t xml:space="preserve"> Medical Collage, </w:t>
      </w:r>
      <w:proofErr w:type="spellStart"/>
      <w:r>
        <w:rPr>
          <w:rFonts w:ascii="Cambria" w:hAnsi="Cambria" w:cs="Cambria"/>
          <w:sz w:val="18"/>
          <w:szCs w:val="18"/>
        </w:rPr>
        <w:t>Agroha</w:t>
      </w:r>
      <w:proofErr w:type="spellEnd"/>
      <w:r>
        <w:rPr>
          <w:rFonts w:ascii="Cambria" w:hAnsi="Cambria" w:cs="Cambria"/>
          <w:sz w:val="18"/>
          <w:szCs w:val="18"/>
        </w:rPr>
        <w:t xml:space="preserve">, </w:t>
      </w:r>
      <w:proofErr w:type="spellStart"/>
      <w:r>
        <w:rPr>
          <w:rFonts w:ascii="Cambria" w:hAnsi="Cambria" w:cs="Cambria"/>
          <w:sz w:val="18"/>
          <w:szCs w:val="18"/>
        </w:rPr>
        <w:t>Hisar</w:t>
      </w:r>
      <w:proofErr w:type="spellEnd"/>
      <w:r>
        <w:rPr>
          <w:rFonts w:ascii="Cambria" w:hAnsi="Cambria" w:cs="Cambria"/>
          <w:sz w:val="18"/>
          <w:szCs w:val="18"/>
        </w:rPr>
        <w:t xml:space="preserve">, Haryana, India. </w:t>
      </w:r>
    </w:p>
    <w:p w:rsidR="00460831" w:rsidRDefault="00460831" w:rsidP="00460831">
      <w:pPr>
        <w:rPr>
          <w:lang w:val="en-US"/>
        </w:rPr>
      </w:pPr>
      <w:r>
        <w:rPr>
          <w:rFonts w:ascii="Cambria" w:hAnsi="Cambria" w:cs="Cambria"/>
          <w:sz w:val="18"/>
          <w:szCs w:val="18"/>
        </w:rPr>
        <w:t>Date of submission: 11 December 2007, Date of acceptance: 18 January 2008</w:t>
      </w:r>
    </w:p>
    <w:p w:rsidR="00460831" w:rsidRDefault="00460831" w:rsidP="00460831">
      <w:pPr>
        <w:pStyle w:val="Default"/>
      </w:pPr>
    </w:p>
    <w:p w:rsidR="00460831" w:rsidRDefault="00460831" w:rsidP="00460831">
      <w:pPr>
        <w:pStyle w:val="Default"/>
        <w:rPr>
          <w:sz w:val="20"/>
          <w:szCs w:val="20"/>
        </w:rPr>
      </w:pPr>
      <w:r>
        <w:t xml:space="preserve"> </w:t>
      </w:r>
      <w:r>
        <w:rPr>
          <w:b/>
          <w:bCs/>
          <w:sz w:val="20"/>
          <w:szCs w:val="20"/>
        </w:rPr>
        <w:t xml:space="preserve">Abstract </w:t>
      </w:r>
    </w:p>
    <w:p w:rsidR="00460831" w:rsidRDefault="00460831" w:rsidP="00460831">
      <w:pPr>
        <w:pStyle w:val="Default"/>
        <w:rPr>
          <w:sz w:val="18"/>
          <w:szCs w:val="18"/>
        </w:rPr>
      </w:pPr>
      <w:r>
        <w:rPr>
          <w:b/>
          <w:bCs/>
          <w:sz w:val="18"/>
          <w:szCs w:val="18"/>
        </w:rPr>
        <w:t xml:space="preserve">Background: </w:t>
      </w:r>
      <w:r>
        <w:rPr>
          <w:sz w:val="18"/>
          <w:szCs w:val="18"/>
        </w:rPr>
        <w:t>Blunt abdominal trauma is a major cause of morbidity among patients presenting to emergency and trauma services, particularly in tertiary care hospitals. While considerable attention is usually given to its physical and surgical consequences, the psychological impact of such trauma</w:t>
      </w:r>
      <w:bookmarkStart w:id="0" w:name="_GoBack"/>
      <w:bookmarkEnd w:id="0"/>
      <w:r>
        <w:rPr>
          <w:sz w:val="18"/>
          <w:szCs w:val="18"/>
        </w:rPr>
        <w:t xml:space="preserve"> is often under-recognized. Post-traumatic stress disorder (PTSD) is an important mental health outcome that may develop after traumatic injury and can adversely affect recovery, quality of life, and functional outcomes. Identification of the prevalence of PTSD and its associated factors among patients with blunt abdominal trauma is therefore essential for improving comprehensive trauma care. </w:t>
      </w:r>
    </w:p>
    <w:p w:rsidR="00460831" w:rsidRDefault="00460831" w:rsidP="00460831">
      <w:pPr>
        <w:pStyle w:val="Default"/>
        <w:rPr>
          <w:sz w:val="18"/>
          <w:szCs w:val="18"/>
        </w:rPr>
      </w:pPr>
      <w:r>
        <w:rPr>
          <w:b/>
          <w:bCs/>
          <w:sz w:val="18"/>
          <w:szCs w:val="18"/>
        </w:rPr>
        <w:t xml:space="preserve">Aim: </w:t>
      </w:r>
      <w:r>
        <w:rPr>
          <w:sz w:val="18"/>
          <w:szCs w:val="18"/>
        </w:rPr>
        <w:t xml:space="preserve">To evaluate prevalence of post-traumatic stress disorders in patients with blunt abdominal trauma. </w:t>
      </w:r>
    </w:p>
    <w:p w:rsidR="00460831" w:rsidRDefault="00460831" w:rsidP="00460831">
      <w:pPr>
        <w:pStyle w:val="Default"/>
        <w:rPr>
          <w:sz w:val="18"/>
          <w:szCs w:val="18"/>
        </w:rPr>
      </w:pPr>
      <w:r>
        <w:rPr>
          <w:b/>
          <w:bCs/>
          <w:sz w:val="18"/>
          <w:szCs w:val="18"/>
        </w:rPr>
        <w:t xml:space="preserve">Materials and Methods: </w:t>
      </w:r>
      <w:r>
        <w:rPr>
          <w:sz w:val="18"/>
          <w:szCs w:val="18"/>
        </w:rPr>
        <w:t xml:space="preserve">This hospital-based observational cross-sectional study was conducted among 105 patients with blunt abdominal trauma. Adult patients of both sexes with confirmed blunt abdominal injury were included, while those with pre-existing psychiatric illness, cognitive impairment, severe head injury affecting communication, or unwillingness to participate were excluded. Data were collected using a structured and pre-tested </w:t>
      </w:r>
      <w:proofErr w:type="spellStart"/>
      <w:r>
        <w:rPr>
          <w:sz w:val="18"/>
          <w:szCs w:val="18"/>
        </w:rPr>
        <w:t>proforma</w:t>
      </w:r>
      <w:proofErr w:type="spellEnd"/>
      <w:r>
        <w:rPr>
          <w:sz w:val="18"/>
          <w:szCs w:val="18"/>
        </w:rPr>
        <w:t xml:space="preserve">. Clinical variables such as mechanism of injury, type of abdominal injury, mode of management, ICU admission, duration of hospital stay, and associated extra-abdominal injuries were also documented. PTSD was assessed using a standardized screening tool based on established diagnostic criteria. </w:t>
      </w:r>
    </w:p>
    <w:p w:rsidR="00460831" w:rsidRDefault="00460831" w:rsidP="00460831">
      <w:pPr>
        <w:pStyle w:val="Default"/>
        <w:rPr>
          <w:sz w:val="18"/>
          <w:szCs w:val="18"/>
        </w:rPr>
      </w:pPr>
      <w:r>
        <w:rPr>
          <w:b/>
          <w:bCs/>
          <w:sz w:val="18"/>
          <w:szCs w:val="18"/>
        </w:rPr>
        <w:t xml:space="preserve">Results: </w:t>
      </w:r>
      <w:r>
        <w:rPr>
          <w:sz w:val="18"/>
          <w:szCs w:val="18"/>
        </w:rPr>
        <w:t xml:space="preserve">Among the 105 study participants, 29 patients were found to have PTSD, giving an overall prevalence of 27.62%. The majority of patients were males (72.38%), and the most common age group was 31–45 years (37.14%). Road traffic accident was the leading mechanism of injury (55.24%), and solid organ injury was the most frequent abdominal injury pattern (60.00%). PTSD was significantly associated with increasing age (p=0.041), female gender (p=0.028), mechanism of injury (p=0.022), operative management (p=0.008), ICU admission (p=0.001), prolonged hospital stay (p=0.003) and associated extra-abdominal injuries (p=0.015). </w:t>
      </w:r>
    </w:p>
    <w:p w:rsidR="00460831" w:rsidRDefault="00460831" w:rsidP="00460831">
      <w:pPr>
        <w:pStyle w:val="Default"/>
        <w:rPr>
          <w:sz w:val="18"/>
          <w:szCs w:val="18"/>
        </w:rPr>
      </w:pPr>
      <w:r>
        <w:rPr>
          <w:b/>
          <w:bCs/>
          <w:sz w:val="18"/>
          <w:szCs w:val="18"/>
        </w:rPr>
        <w:t xml:space="preserve">Conclusion: </w:t>
      </w:r>
      <w:r>
        <w:rPr>
          <w:sz w:val="18"/>
          <w:szCs w:val="18"/>
        </w:rPr>
        <w:t xml:space="preserve">PTSD is a frequent psychological consequence among patients with blunt abdominal trauma. The findings highlight the importance of integrating psychological assessment and early mental health support into routine trauma care, particularly for patients with severe injuries and high-risk clinical characteristics. </w:t>
      </w:r>
    </w:p>
    <w:p w:rsidR="00460831" w:rsidRPr="00460831" w:rsidRDefault="00460831" w:rsidP="00460831">
      <w:pPr>
        <w:rPr>
          <w:lang w:val="en-US"/>
        </w:rPr>
      </w:pPr>
      <w:r>
        <w:rPr>
          <w:b/>
          <w:bCs/>
          <w:sz w:val="18"/>
          <w:szCs w:val="18"/>
        </w:rPr>
        <w:t xml:space="preserve">Key words: </w:t>
      </w:r>
      <w:r>
        <w:rPr>
          <w:sz w:val="18"/>
          <w:szCs w:val="18"/>
        </w:rPr>
        <w:t>Blunt abdominal trauma; Post-traumatic stress disorder; Prevalence; Tertiary care hospital; Psychological outcomes.</w:t>
      </w:r>
    </w:p>
    <w:sectPr w:rsidR="00460831" w:rsidRPr="0046083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comment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831"/>
    <w:rsid w:val="00047320"/>
    <w:rsid w:val="004608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83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8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1</cp:revision>
  <dcterms:created xsi:type="dcterms:W3CDTF">2026-04-22T06:08:00Z</dcterms:created>
  <dcterms:modified xsi:type="dcterms:W3CDTF">2026-04-22T06:09:00Z</dcterms:modified>
</cp:coreProperties>
</file>