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AB" w:rsidRPr="000137AB" w:rsidRDefault="000137AB" w:rsidP="000137AB">
      <w:pPr>
        <w:spacing w:line="360" w:lineRule="auto"/>
        <w:outlineLvl w:val="0"/>
        <w:rPr>
          <w:rFonts w:asciiTheme="majorHAnsi" w:hAnsiTheme="majorHAnsi"/>
          <w:b/>
          <w:noProof/>
          <w:color w:val="000000"/>
        </w:rPr>
      </w:pPr>
      <w:r w:rsidRPr="000137AB">
        <w:rPr>
          <w:rFonts w:asciiTheme="majorHAnsi" w:hAnsiTheme="majorHAnsi"/>
          <w:b/>
          <w:noProof/>
          <w:color w:val="000000"/>
          <w:highlight w:val="lightGray"/>
        </w:rPr>
        <w:t>Original  research article :</w:t>
      </w:r>
      <w:r w:rsidRPr="000137AB">
        <w:rPr>
          <w:rFonts w:asciiTheme="majorHAnsi" w:hAnsiTheme="majorHAnsi"/>
          <w:b/>
          <w:noProof/>
          <w:color w:val="000000"/>
        </w:rPr>
        <w:t xml:space="preserve"> </w:t>
      </w:r>
    </w:p>
    <w:p w:rsidR="00F86F66" w:rsidRPr="000137AB" w:rsidRDefault="00696517" w:rsidP="000137AB">
      <w:pPr>
        <w:spacing w:line="360" w:lineRule="auto"/>
        <w:outlineLvl w:val="0"/>
        <w:rPr>
          <w:rFonts w:asciiTheme="majorHAnsi" w:hAnsiTheme="majorHAnsi"/>
          <w:b/>
          <w:color w:val="0070C0"/>
          <w:sz w:val="28"/>
          <w:szCs w:val="28"/>
        </w:rPr>
      </w:pPr>
      <w:r w:rsidRPr="000137AB">
        <w:rPr>
          <w:rFonts w:asciiTheme="majorHAnsi" w:hAnsiTheme="majorHAnsi"/>
          <w:b/>
          <w:bCs/>
          <w:color w:val="0070C0"/>
          <w:sz w:val="28"/>
          <w:szCs w:val="28"/>
        </w:rPr>
        <w:t xml:space="preserve">A study of profile of </w:t>
      </w:r>
      <w:proofErr w:type="spellStart"/>
      <w:r w:rsidRPr="000137AB">
        <w:rPr>
          <w:rFonts w:asciiTheme="majorHAnsi" w:hAnsiTheme="majorHAnsi"/>
          <w:b/>
          <w:bCs/>
          <w:color w:val="0070C0"/>
          <w:sz w:val="28"/>
          <w:szCs w:val="28"/>
        </w:rPr>
        <w:t>anemia</w:t>
      </w:r>
      <w:proofErr w:type="spellEnd"/>
      <w:r w:rsidRPr="000137AB">
        <w:rPr>
          <w:rFonts w:asciiTheme="majorHAnsi" w:hAnsiTheme="majorHAnsi"/>
          <w:b/>
          <w:bCs/>
          <w:color w:val="0070C0"/>
          <w:sz w:val="28"/>
          <w:szCs w:val="28"/>
        </w:rPr>
        <w:t xml:space="preserve"> in patients with type 2 diabetes mellitus with normal renal function</w:t>
      </w:r>
    </w:p>
    <w:p w:rsidR="00350E21" w:rsidRPr="00350E21" w:rsidRDefault="00350E21" w:rsidP="00350E21">
      <w:pPr>
        <w:spacing w:line="360" w:lineRule="auto"/>
        <w:outlineLvl w:val="0"/>
        <w:rPr>
          <w:rFonts w:asciiTheme="majorHAnsi" w:hAnsiTheme="majorHAnsi"/>
          <w:b/>
          <w:noProof/>
          <w:color w:val="000000"/>
          <w:sz w:val="20"/>
          <w:szCs w:val="20"/>
          <w:lang w:val="en-IN"/>
        </w:rPr>
      </w:pPr>
      <w:r w:rsidRPr="00350E21">
        <w:rPr>
          <w:rFonts w:asciiTheme="majorHAnsi" w:hAnsiTheme="majorHAnsi"/>
          <w:b/>
          <w:noProof/>
          <w:color w:val="000000"/>
          <w:sz w:val="20"/>
          <w:szCs w:val="20"/>
          <w:lang w:val="en-IN"/>
        </w:rPr>
        <w:t>Dr Aishhwarrya Umeshchandara G , Dr Shashidhar Ramappa , Dr Rakshitha NS ,</w:t>
      </w:r>
      <w:r w:rsidRPr="00350E21">
        <w:rPr>
          <w:rFonts w:asciiTheme="majorHAnsi" w:hAnsiTheme="majorHAnsi"/>
          <w:b/>
          <w:noProof/>
          <w:color w:val="000000"/>
          <w:sz w:val="20"/>
          <w:szCs w:val="20"/>
          <w:lang w:val="en-IN"/>
        </w:rPr>
        <w:br/>
        <w:t>, Dr Ravi K</w:t>
      </w:r>
    </w:p>
    <w:p w:rsidR="000137AB" w:rsidRPr="000137AB" w:rsidRDefault="000137AB" w:rsidP="000137AB">
      <w:pPr>
        <w:spacing w:line="360" w:lineRule="auto"/>
        <w:outlineLvl w:val="0"/>
        <w:rPr>
          <w:rFonts w:asciiTheme="majorHAnsi" w:hAnsiTheme="majorHAnsi"/>
          <w:noProof/>
          <w:color w:val="000000"/>
          <w:sz w:val="22"/>
          <w:szCs w:val="22"/>
        </w:rPr>
      </w:pPr>
    </w:p>
    <w:p w:rsidR="006F0ABD" w:rsidRPr="000137AB" w:rsidRDefault="006F0ABD" w:rsidP="000137AB">
      <w:pPr>
        <w:spacing w:line="360" w:lineRule="auto"/>
        <w:outlineLvl w:val="0"/>
        <w:rPr>
          <w:rFonts w:asciiTheme="majorHAnsi" w:hAnsiTheme="majorHAnsi"/>
          <w:noProof/>
          <w:color w:val="000000"/>
          <w:sz w:val="18"/>
          <w:szCs w:val="18"/>
        </w:rPr>
      </w:pPr>
      <w:r w:rsidRPr="000137AB">
        <w:rPr>
          <w:rFonts w:asciiTheme="majorHAnsi" w:hAnsiTheme="majorHAnsi"/>
          <w:noProof/>
          <w:color w:val="000000"/>
          <w:sz w:val="18"/>
          <w:szCs w:val="18"/>
        </w:rPr>
        <w:t>Name of Institute /college:   Department of Medicine , Bangalore Medical College and Rsearch  Institute</w:t>
      </w:r>
    </w:p>
    <w:p w:rsidR="000137AB" w:rsidRPr="000137AB" w:rsidRDefault="000137AB" w:rsidP="000137AB">
      <w:pPr>
        <w:spacing w:line="360" w:lineRule="auto"/>
        <w:outlineLvl w:val="0"/>
        <w:rPr>
          <w:rFonts w:asciiTheme="majorHAnsi" w:hAnsiTheme="majorHAnsi"/>
          <w:noProof/>
          <w:color w:val="000000"/>
          <w:sz w:val="18"/>
          <w:szCs w:val="18"/>
        </w:rPr>
      </w:pPr>
      <w:r w:rsidRPr="000137AB">
        <w:rPr>
          <w:rFonts w:asciiTheme="majorHAnsi" w:hAnsiTheme="majorHAnsi"/>
          <w:noProof/>
          <w:color w:val="000000"/>
          <w:sz w:val="18"/>
          <w:szCs w:val="18"/>
        </w:rPr>
        <w:t xml:space="preserve">Corresponding Author   :   </w:t>
      </w:r>
      <w:r w:rsidR="00350E21" w:rsidRPr="00350E21">
        <w:rPr>
          <w:rFonts w:asciiTheme="majorHAnsi" w:hAnsiTheme="majorHAnsi"/>
          <w:noProof/>
          <w:color w:val="000000"/>
          <w:sz w:val="18"/>
          <w:szCs w:val="18"/>
          <w:lang w:val="en-IN"/>
        </w:rPr>
        <w:t>Dr Aishhwarrya Umeshchandara G</w:t>
      </w:r>
    </w:p>
    <w:p w:rsidR="006F0ABD" w:rsidRPr="006F0ABD" w:rsidRDefault="006F0ABD" w:rsidP="006F0ABD">
      <w:pPr>
        <w:spacing w:before="60" w:line="360" w:lineRule="auto"/>
        <w:outlineLvl w:val="0"/>
        <w:rPr>
          <w:b/>
          <w:noProof/>
          <w:color w:val="000000"/>
          <w:sz w:val="22"/>
          <w:szCs w:val="22"/>
        </w:rPr>
      </w:pPr>
    </w:p>
    <w:p w:rsidR="00A34662" w:rsidRPr="000137AB" w:rsidRDefault="00A34662" w:rsidP="000137AB">
      <w:pPr>
        <w:spacing w:line="360" w:lineRule="auto"/>
        <w:jc w:val="both"/>
        <w:outlineLvl w:val="0"/>
        <w:rPr>
          <w:noProof/>
          <w:color w:val="000000"/>
          <w:sz w:val="20"/>
          <w:szCs w:val="20"/>
          <w:lang w:val="en-US"/>
        </w:rPr>
      </w:pPr>
      <w:r w:rsidRPr="000137AB">
        <w:rPr>
          <w:b/>
          <w:noProof/>
          <w:color w:val="000000"/>
          <w:sz w:val="20"/>
          <w:szCs w:val="20"/>
          <w:lang w:val="en-US"/>
        </w:rPr>
        <w:t xml:space="preserve">Abstract </w:t>
      </w:r>
      <w:r w:rsidRPr="000137AB">
        <w:rPr>
          <w:noProof/>
          <w:color w:val="000000"/>
          <w:sz w:val="20"/>
          <w:szCs w:val="20"/>
          <w:lang w:val="en-US"/>
        </w:rPr>
        <w:t>:</w:t>
      </w:r>
      <w:bookmarkStart w:id="0" w:name="_GoBack"/>
      <w:bookmarkEnd w:id="0"/>
    </w:p>
    <w:p w:rsidR="00696517" w:rsidRPr="000137AB" w:rsidRDefault="00696517" w:rsidP="000137AB">
      <w:pPr>
        <w:autoSpaceDE w:val="0"/>
        <w:autoSpaceDN w:val="0"/>
        <w:adjustRightInd w:val="0"/>
        <w:spacing w:line="360" w:lineRule="auto"/>
        <w:jc w:val="both"/>
        <w:rPr>
          <w:color w:val="000000"/>
          <w:sz w:val="18"/>
          <w:szCs w:val="18"/>
          <w:lang w:val="en-US"/>
        </w:rPr>
      </w:pPr>
      <w:r w:rsidRPr="000137AB">
        <w:rPr>
          <w:bCs/>
          <w:color w:val="000000"/>
          <w:sz w:val="18"/>
          <w:szCs w:val="18"/>
          <w:lang w:val="en-US"/>
        </w:rPr>
        <w:t xml:space="preserve">Background and Aim: </w:t>
      </w:r>
      <w:r w:rsidRPr="000137AB">
        <w:rPr>
          <w:color w:val="000000"/>
          <w:sz w:val="18"/>
          <w:szCs w:val="18"/>
          <w:lang w:val="en-US"/>
        </w:rPr>
        <w:t xml:space="preserve">Anemia is commonly observed in patients with diabetes mellitus and it contributes to the progression of complications both </w:t>
      </w:r>
      <w:proofErr w:type="spellStart"/>
      <w:r w:rsidRPr="000137AB">
        <w:rPr>
          <w:color w:val="000000"/>
          <w:sz w:val="18"/>
          <w:szCs w:val="18"/>
          <w:lang w:val="en-US"/>
        </w:rPr>
        <w:t>microvascular</w:t>
      </w:r>
      <w:proofErr w:type="spellEnd"/>
      <w:r w:rsidRPr="000137AB">
        <w:rPr>
          <w:color w:val="000000"/>
          <w:sz w:val="18"/>
          <w:szCs w:val="18"/>
          <w:lang w:val="en-US"/>
        </w:rPr>
        <w:t xml:space="preserve"> and </w:t>
      </w:r>
      <w:proofErr w:type="spellStart"/>
      <w:r w:rsidRPr="000137AB">
        <w:rPr>
          <w:color w:val="000000"/>
          <w:sz w:val="18"/>
          <w:szCs w:val="18"/>
          <w:lang w:val="en-US"/>
        </w:rPr>
        <w:t>macrovascular</w:t>
      </w:r>
      <w:proofErr w:type="spellEnd"/>
      <w:r w:rsidRPr="000137AB">
        <w:rPr>
          <w:color w:val="000000"/>
          <w:sz w:val="18"/>
          <w:szCs w:val="18"/>
          <w:lang w:val="en-US"/>
        </w:rPr>
        <w:t xml:space="preserve"> in patients with diabetes mellitus. The prevalence of anemia ranges from 13% to 45% in patients with DM. There are limited studies on incidence of anemia in people with diabetes mellitus with no renal impairment. The current study is mainly to study the factors contributing to the development of anemia in patients with type 2 DM with normal renal function and also to know the pattern of anemia in such patients. </w:t>
      </w:r>
    </w:p>
    <w:p w:rsidR="00696517" w:rsidRPr="000137AB" w:rsidRDefault="00696517" w:rsidP="000137AB">
      <w:pPr>
        <w:autoSpaceDE w:val="0"/>
        <w:autoSpaceDN w:val="0"/>
        <w:adjustRightInd w:val="0"/>
        <w:spacing w:line="360" w:lineRule="auto"/>
        <w:jc w:val="both"/>
        <w:rPr>
          <w:color w:val="000000"/>
          <w:sz w:val="18"/>
          <w:szCs w:val="18"/>
          <w:lang w:val="en-US"/>
        </w:rPr>
      </w:pPr>
      <w:r w:rsidRPr="000137AB">
        <w:rPr>
          <w:bCs/>
          <w:color w:val="000000"/>
          <w:sz w:val="18"/>
          <w:szCs w:val="18"/>
          <w:lang w:val="en-US"/>
        </w:rPr>
        <w:t xml:space="preserve">Methods: </w:t>
      </w:r>
      <w:r w:rsidRPr="000137AB">
        <w:rPr>
          <w:color w:val="000000"/>
          <w:sz w:val="18"/>
          <w:szCs w:val="18"/>
          <w:lang w:val="en-US"/>
        </w:rPr>
        <w:t xml:space="preserve">This was a </w:t>
      </w:r>
      <w:proofErr w:type="spellStart"/>
      <w:r w:rsidRPr="000137AB">
        <w:rPr>
          <w:color w:val="000000"/>
          <w:sz w:val="18"/>
          <w:szCs w:val="18"/>
          <w:lang w:val="en-US"/>
        </w:rPr>
        <w:t>crossectional</w:t>
      </w:r>
      <w:proofErr w:type="spellEnd"/>
      <w:r w:rsidRPr="000137AB">
        <w:rPr>
          <w:color w:val="000000"/>
          <w:sz w:val="18"/>
          <w:szCs w:val="18"/>
          <w:lang w:val="en-US"/>
        </w:rPr>
        <w:t xml:space="preserve"> study of 230 cases, over a period of 2 years. Type 2 DM patients with normal </w:t>
      </w:r>
      <w:proofErr w:type="spellStart"/>
      <w:r w:rsidRPr="000137AB">
        <w:rPr>
          <w:color w:val="000000"/>
          <w:sz w:val="18"/>
          <w:szCs w:val="18"/>
          <w:lang w:val="en-US"/>
        </w:rPr>
        <w:t>eGFR</w:t>
      </w:r>
      <w:proofErr w:type="spellEnd"/>
      <w:r w:rsidRPr="000137AB">
        <w:rPr>
          <w:color w:val="000000"/>
          <w:sz w:val="18"/>
          <w:szCs w:val="18"/>
          <w:lang w:val="en-US"/>
        </w:rPr>
        <w:t xml:space="preserve"> were chosen. Occurrence of anemia in diabetic subjects with normal renal function was assessed</w:t>
      </w:r>
      <w:proofErr w:type="gramStart"/>
      <w:r w:rsidRPr="000137AB">
        <w:rPr>
          <w:color w:val="000000"/>
          <w:sz w:val="18"/>
          <w:szCs w:val="18"/>
          <w:lang w:val="en-US"/>
        </w:rPr>
        <w:t>..</w:t>
      </w:r>
      <w:proofErr w:type="gramEnd"/>
      <w:r w:rsidRPr="000137AB">
        <w:rPr>
          <w:color w:val="000000"/>
          <w:sz w:val="18"/>
          <w:szCs w:val="18"/>
          <w:lang w:val="en-US"/>
        </w:rPr>
        <w:t xml:space="preserve"> </w:t>
      </w:r>
      <w:r w:rsidRPr="000137AB">
        <w:rPr>
          <w:bCs/>
          <w:color w:val="000000"/>
          <w:sz w:val="18"/>
          <w:szCs w:val="18"/>
          <w:lang w:val="en-US"/>
        </w:rPr>
        <w:t xml:space="preserve">Results: </w:t>
      </w:r>
      <w:r w:rsidRPr="000137AB">
        <w:rPr>
          <w:color w:val="000000"/>
          <w:sz w:val="18"/>
          <w:szCs w:val="18"/>
          <w:lang w:val="en-US"/>
        </w:rPr>
        <w:t xml:space="preserve">In our study it was found that 21.73% of the diabetic subjects had anemia. 27.7% of males had anemia while 19.88% of females had anemia though males accounted for only 23.47% of the study population. Out of the 50 anemic subjects,12.6% had Iron deficiency anemia , 5.7% anemia of chronic disease .Out of all the anemic subjects most of them had mild to moderate anemia and most (76%) were asymptomatic.. </w:t>
      </w:r>
      <w:r w:rsidRPr="000137AB">
        <w:rPr>
          <w:bCs/>
          <w:color w:val="000000"/>
          <w:sz w:val="18"/>
          <w:szCs w:val="18"/>
          <w:lang w:val="en-US"/>
        </w:rPr>
        <w:t xml:space="preserve"> </w:t>
      </w:r>
      <w:proofErr w:type="gramStart"/>
      <w:r w:rsidRPr="000137AB">
        <w:rPr>
          <w:bCs/>
          <w:color w:val="000000"/>
          <w:sz w:val="18"/>
          <w:szCs w:val="18"/>
          <w:lang w:val="en-US"/>
        </w:rPr>
        <w:t>conclusion</w:t>
      </w:r>
      <w:proofErr w:type="gramEnd"/>
      <w:r w:rsidRPr="000137AB">
        <w:rPr>
          <w:color w:val="000000"/>
          <w:sz w:val="18"/>
          <w:szCs w:val="18"/>
          <w:lang w:val="en-US"/>
        </w:rPr>
        <w:t xml:space="preserve">: Anemia occurs in a significant percentage of subjects with type 2 diabetes with normal renal function. We conclude that Glycemic control and duration of diabetes do not influence </w:t>
      </w:r>
      <w:proofErr w:type="spellStart"/>
      <w:r w:rsidRPr="000137AB">
        <w:rPr>
          <w:color w:val="000000"/>
          <w:sz w:val="18"/>
          <w:szCs w:val="18"/>
          <w:lang w:val="en-US"/>
        </w:rPr>
        <w:t>Hb</w:t>
      </w:r>
      <w:proofErr w:type="spellEnd"/>
      <w:r w:rsidRPr="000137AB">
        <w:rPr>
          <w:color w:val="000000"/>
          <w:sz w:val="18"/>
          <w:szCs w:val="18"/>
          <w:lang w:val="en-US"/>
        </w:rPr>
        <w:t xml:space="preserve"> levels, in a significant manner.</w:t>
      </w:r>
    </w:p>
    <w:p w:rsidR="00A34662" w:rsidRDefault="00696517" w:rsidP="000137AB">
      <w:pPr>
        <w:spacing w:line="360" w:lineRule="auto"/>
        <w:jc w:val="both"/>
        <w:rPr>
          <w:sz w:val="18"/>
          <w:szCs w:val="18"/>
        </w:rPr>
      </w:pPr>
      <w:r w:rsidRPr="000137AB">
        <w:rPr>
          <w:color w:val="000000"/>
          <w:sz w:val="18"/>
          <w:szCs w:val="18"/>
          <w:lang w:val="en-US"/>
        </w:rPr>
        <w:t xml:space="preserve"> </w:t>
      </w:r>
      <w:r w:rsidRPr="000137AB">
        <w:rPr>
          <w:sz w:val="18"/>
          <w:szCs w:val="18"/>
        </w:rPr>
        <w:t xml:space="preserve">Keywords: HbA1c, </w:t>
      </w:r>
      <w:proofErr w:type="spellStart"/>
      <w:proofErr w:type="gramStart"/>
      <w:r w:rsidRPr="000137AB">
        <w:rPr>
          <w:sz w:val="18"/>
          <w:szCs w:val="18"/>
        </w:rPr>
        <w:t>Anemia</w:t>
      </w:r>
      <w:proofErr w:type="spellEnd"/>
      <w:r w:rsidRPr="000137AB">
        <w:rPr>
          <w:sz w:val="18"/>
          <w:szCs w:val="18"/>
        </w:rPr>
        <w:t xml:space="preserve"> ,</w:t>
      </w:r>
      <w:proofErr w:type="gramEnd"/>
      <w:r w:rsidRPr="000137AB">
        <w:rPr>
          <w:sz w:val="18"/>
          <w:szCs w:val="18"/>
        </w:rPr>
        <w:t xml:space="preserve"> Diabetes mellitus </w:t>
      </w:r>
    </w:p>
    <w:p w:rsidR="000137AB" w:rsidRPr="000137AB" w:rsidRDefault="000137AB" w:rsidP="000137AB">
      <w:pPr>
        <w:spacing w:line="360" w:lineRule="auto"/>
        <w:jc w:val="both"/>
        <w:rPr>
          <w:color w:val="000000"/>
          <w:sz w:val="18"/>
          <w:szCs w:val="18"/>
        </w:rPr>
      </w:pPr>
    </w:p>
    <w:p w:rsidR="0085003E" w:rsidRPr="000137AB" w:rsidRDefault="0085003E" w:rsidP="000137AB">
      <w:pPr>
        <w:spacing w:line="360" w:lineRule="auto"/>
        <w:jc w:val="both"/>
        <w:rPr>
          <w:b/>
          <w:color w:val="000000"/>
          <w:sz w:val="20"/>
          <w:szCs w:val="20"/>
        </w:rPr>
      </w:pPr>
      <w:r w:rsidRPr="000137AB">
        <w:rPr>
          <w:b/>
          <w:color w:val="000000"/>
          <w:sz w:val="20"/>
          <w:szCs w:val="20"/>
        </w:rPr>
        <w:t>Introduction</w:t>
      </w:r>
      <w:r w:rsidR="00B92AAB" w:rsidRPr="000137AB">
        <w:rPr>
          <w:b/>
          <w:color w:val="000000"/>
          <w:sz w:val="20"/>
          <w:szCs w:val="20"/>
        </w:rPr>
        <w:t>:</w:t>
      </w:r>
    </w:p>
    <w:p w:rsidR="00696517" w:rsidRPr="000137AB" w:rsidRDefault="00696517" w:rsidP="000137AB">
      <w:pPr>
        <w:autoSpaceDE w:val="0"/>
        <w:autoSpaceDN w:val="0"/>
        <w:adjustRightInd w:val="0"/>
        <w:spacing w:line="360" w:lineRule="auto"/>
        <w:jc w:val="both"/>
        <w:rPr>
          <w:color w:val="000000"/>
          <w:sz w:val="20"/>
          <w:szCs w:val="20"/>
          <w:vertAlign w:val="superscript"/>
          <w:lang w:val="en-US"/>
        </w:rPr>
      </w:pPr>
      <w:r w:rsidRPr="000137AB">
        <w:rPr>
          <w:color w:val="000000"/>
          <w:sz w:val="20"/>
          <w:szCs w:val="20"/>
          <w:lang w:val="en-US"/>
        </w:rPr>
        <w:t xml:space="preserve">Diabetes mellitus is a disease marked by chronic hyperglycemia with disturbances in carbohydrate, fat, and protein metabolism resulting from defects in insulin secretion, insulin action, or both. The effects of diabetes mellitus are long-term damage, dysfunction, and failure of various organs. The prevalence of type 2 diabetes has risen alarmingly in the past </w:t>
      </w:r>
      <w:proofErr w:type="gramStart"/>
      <w:r w:rsidRPr="000137AB">
        <w:rPr>
          <w:color w:val="000000"/>
          <w:sz w:val="20"/>
          <w:szCs w:val="20"/>
          <w:lang w:val="en-US"/>
        </w:rPr>
        <w:t>decade ,</w:t>
      </w:r>
      <w:proofErr w:type="gramEnd"/>
      <w:r w:rsidRPr="000137AB">
        <w:rPr>
          <w:color w:val="000000"/>
          <w:sz w:val="20"/>
          <w:szCs w:val="20"/>
          <w:lang w:val="en-US"/>
        </w:rPr>
        <w:t xml:space="preserve"> in large part linked to the trends in obesity and sedentary lifestyle. Diabetes is among the largest global health emergencies of the 21st </w:t>
      </w:r>
      <w:proofErr w:type="gramStart"/>
      <w:r w:rsidRPr="000137AB">
        <w:rPr>
          <w:color w:val="000000"/>
          <w:sz w:val="20"/>
          <w:szCs w:val="20"/>
          <w:lang w:val="en-US"/>
        </w:rPr>
        <w:t>century</w:t>
      </w:r>
      <w:r w:rsidRPr="000137AB">
        <w:rPr>
          <w:color w:val="000000"/>
          <w:sz w:val="20"/>
          <w:szCs w:val="20"/>
          <w:vertAlign w:val="superscript"/>
          <w:lang w:val="en-US"/>
        </w:rPr>
        <w:t>1</w:t>
      </w:r>
      <w:r w:rsidR="000137AB">
        <w:rPr>
          <w:color w:val="000000"/>
          <w:sz w:val="20"/>
          <w:szCs w:val="20"/>
          <w:vertAlign w:val="superscript"/>
          <w:lang w:val="en-US"/>
        </w:rPr>
        <w:t xml:space="preserve"> </w:t>
      </w:r>
      <w:r w:rsidR="000137AB">
        <w:rPr>
          <w:color w:val="000000"/>
          <w:sz w:val="20"/>
          <w:szCs w:val="20"/>
          <w:lang w:val="en-US"/>
        </w:rPr>
        <w:t>,</w:t>
      </w:r>
      <w:proofErr w:type="gramEnd"/>
      <w:r w:rsidR="000137AB">
        <w:rPr>
          <w:color w:val="000000"/>
          <w:sz w:val="20"/>
          <w:szCs w:val="20"/>
          <w:lang w:val="en-US"/>
        </w:rPr>
        <w:t xml:space="preserve"> </w:t>
      </w:r>
      <w:r w:rsidRPr="000137AB">
        <w:rPr>
          <w:color w:val="000000"/>
          <w:sz w:val="20"/>
          <w:szCs w:val="20"/>
          <w:lang w:val="en-US"/>
        </w:rPr>
        <w:t>Anemia is a commonly observed condition in patients with diabetes mellitus</w:t>
      </w:r>
      <w:r w:rsidRPr="000137AB">
        <w:rPr>
          <w:color w:val="000000"/>
          <w:sz w:val="20"/>
          <w:szCs w:val="20"/>
          <w:vertAlign w:val="superscript"/>
          <w:lang w:val="en-US"/>
        </w:rPr>
        <w:t>2</w:t>
      </w:r>
      <w:r w:rsidRPr="000137AB">
        <w:rPr>
          <w:color w:val="000000"/>
          <w:sz w:val="20"/>
          <w:szCs w:val="20"/>
          <w:lang w:val="en-US"/>
        </w:rPr>
        <w:t xml:space="preserve"> and it contributes to the progression of complications both </w:t>
      </w:r>
      <w:proofErr w:type="spellStart"/>
      <w:r w:rsidRPr="000137AB">
        <w:rPr>
          <w:color w:val="000000"/>
          <w:sz w:val="20"/>
          <w:szCs w:val="20"/>
          <w:lang w:val="en-US"/>
        </w:rPr>
        <w:t>microvascular</w:t>
      </w:r>
      <w:proofErr w:type="spellEnd"/>
      <w:r w:rsidRPr="000137AB">
        <w:rPr>
          <w:color w:val="000000"/>
          <w:sz w:val="20"/>
          <w:szCs w:val="20"/>
          <w:lang w:val="en-US"/>
        </w:rPr>
        <w:t xml:space="preserve"> and </w:t>
      </w:r>
      <w:proofErr w:type="spellStart"/>
      <w:r w:rsidRPr="000137AB">
        <w:rPr>
          <w:color w:val="000000"/>
          <w:sz w:val="20"/>
          <w:szCs w:val="20"/>
          <w:lang w:val="en-US"/>
        </w:rPr>
        <w:t>macrovascular</w:t>
      </w:r>
      <w:proofErr w:type="spellEnd"/>
      <w:r w:rsidRPr="000137AB">
        <w:rPr>
          <w:color w:val="000000"/>
          <w:sz w:val="20"/>
          <w:szCs w:val="20"/>
          <w:lang w:val="en-US"/>
        </w:rPr>
        <w:t xml:space="preserve"> in patients with diabetes mellitus</w:t>
      </w:r>
      <w:r w:rsidRPr="000137AB">
        <w:rPr>
          <w:color w:val="000000"/>
          <w:sz w:val="20"/>
          <w:szCs w:val="20"/>
          <w:vertAlign w:val="superscript"/>
          <w:lang w:val="en-US"/>
        </w:rPr>
        <w:t>2</w:t>
      </w:r>
      <w:r w:rsidRPr="000137AB">
        <w:rPr>
          <w:color w:val="000000"/>
          <w:sz w:val="20"/>
          <w:szCs w:val="20"/>
          <w:lang w:val="en-US"/>
        </w:rPr>
        <w:t xml:space="preserve">.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There are number of possible mechanisms for the development of anemia in diabetes patients. Failure of the kidney to increase erythropoietin (</w:t>
      </w:r>
      <w:proofErr w:type="spellStart"/>
      <w:r w:rsidRPr="000137AB">
        <w:rPr>
          <w:color w:val="000000"/>
          <w:sz w:val="20"/>
          <w:szCs w:val="20"/>
          <w:lang w:val="en-US"/>
        </w:rPr>
        <w:t>Epo</w:t>
      </w:r>
      <w:proofErr w:type="spellEnd"/>
      <w:r w:rsidRPr="000137AB">
        <w:rPr>
          <w:color w:val="000000"/>
          <w:sz w:val="20"/>
          <w:szCs w:val="20"/>
          <w:lang w:val="en-US"/>
        </w:rPr>
        <w:t>) release in response to a decreasing hemoglobin (</w:t>
      </w:r>
      <w:proofErr w:type="spellStart"/>
      <w:r w:rsidRPr="000137AB">
        <w:rPr>
          <w:color w:val="000000"/>
          <w:sz w:val="20"/>
          <w:szCs w:val="20"/>
          <w:lang w:val="en-US"/>
        </w:rPr>
        <w:t>Hb</w:t>
      </w:r>
      <w:proofErr w:type="spellEnd"/>
      <w:r w:rsidRPr="000137AB">
        <w:rPr>
          <w:color w:val="000000"/>
          <w:sz w:val="20"/>
          <w:szCs w:val="20"/>
          <w:lang w:val="en-US"/>
        </w:rPr>
        <w:t>) level appears to be the key contributor to the development of anemia</w:t>
      </w:r>
      <w:r w:rsidRPr="000137AB">
        <w:rPr>
          <w:color w:val="000000"/>
          <w:sz w:val="20"/>
          <w:szCs w:val="20"/>
          <w:vertAlign w:val="superscript"/>
          <w:lang w:val="en-US"/>
        </w:rPr>
        <w:t>3</w:t>
      </w:r>
      <w:r w:rsidRPr="000137AB">
        <w:rPr>
          <w:color w:val="000000"/>
          <w:sz w:val="20"/>
          <w:szCs w:val="20"/>
          <w:lang w:val="en-US"/>
        </w:rPr>
        <w:t xml:space="preserve">.However, numerous hypotheses have been proposed including efferent denervation of the kidney due to autonomic neuropathy leading to reduced erythropoietin production, chronic renal hypoxia, </w:t>
      </w:r>
      <w:proofErr w:type="spellStart"/>
      <w:r w:rsidRPr="000137AB">
        <w:rPr>
          <w:color w:val="000000"/>
          <w:sz w:val="20"/>
          <w:szCs w:val="20"/>
          <w:lang w:val="en-US"/>
        </w:rPr>
        <w:t>tubulointerstitial</w:t>
      </w:r>
      <w:proofErr w:type="spellEnd"/>
      <w:r w:rsidRPr="000137AB">
        <w:rPr>
          <w:color w:val="000000"/>
          <w:sz w:val="20"/>
          <w:szCs w:val="20"/>
          <w:lang w:val="en-US"/>
        </w:rPr>
        <w:t xml:space="preserve"> disease, altered iron metabolism, drugs, </w:t>
      </w:r>
      <w:proofErr w:type="spellStart"/>
      <w:r w:rsidRPr="000137AB">
        <w:rPr>
          <w:color w:val="000000"/>
          <w:sz w:val="20"/>
          <w:szCs w:val="20"/>
          <w:lang w:val="en-US"/>
        </w:rPr>
        <w:t>hyperglycaemia</w:t>
      </w:r>
      <w:proofErr w:type="spellEnd"/>
      <w:r w:rsidRPr="000137AB">
        <w:rPr>
          <w:color w:val="000000"/>
          <w:sz w:val="20"/>
          <w:szCs w:val="20"/>
          <w:lang w:val="en-US"/>
        </w:rPr>
        <w:t xml:space="preserve"> and systemic inflammation</w:t>
      </w:r>
      <w:r w:rsidRPr="000137AB">
        <w:rPr>
          <w:color w:val="000000"/>
          <w:sz w:val="20"/>
          <w:szCs w:val="20"/>
          <w:vertAlign w:val="superscript"/>
          <w:lang w:val="en-US"/>
        </w:rPr>
        <w:t>4</w:t>
      </w:r>
      <w:r w:rsidRPr="000137AB">
        <w:rPr>
          <w:color w:val="000000"/>
          <w:sz w:val="20"/>
          <w:szCs w:val="20"/>
          <w:lang w:val="en-US"/>
        </w:rPr>
        <w:t xml:space="preserve">.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lastRenderedPageBreak/>
        <w:t xml:space="preserve">The prevalence of anemia ranges from 13% to 45% in patients with diabetes mellitus, depending upon the ethnicity and diagnostic criteria </w:t>
      </w:r>
      <w:r w:rsidR="00F86F66" w:rsidRPr="000137AB">
        <w:rPr>
          <w:color w:val="000000"/>
          <w:sz w:val="20"/>
          <w:szCs w:val="20"/>
          <w:lang w:val="en-US"/>
        </w:rPr>
        <w:t xml:space="preserve">used </w:t>
      </w:r>
      <w:r w:rsidR="00F86F66" w:rsidRPr="000137AB">
        <w:rPr>
          <w:color w:val="000000"/>
          <w:sz w:val="20"/>
          <w:szCs w:val="20"/>
          <w:vertAlign w:val="superscript"/>
          <w:lang w:val="en-US"/>
        </w:rPr>
        <w:t>2</w:t>
      </w:r>
      <w:r w:rsidRPr="000137AB">
        <w:rPr>
          <w:color w:val="000000"/>
          <w:sz w:val="20"/>
          <w:szCs w:val="20"/>
          <w:lang w:val="en-US"/>
        </w:rPr>
        <w:t>and it is especially high when associated with renal impairment</w:t>
      </w:r>
      <w:r w:rsidRPr="000137AB">
        <w:rPr>
          <w:color w:val="000000"/>
          <w:sz w:val="20"/>
          <w:szCs w:val="20"/>
          <w:vertAlign w:val="superscript"/>
          <w:lang w:val="en-US"/>
        </w:rPr>
        <w:t>5</w:t>
      </w:r>
      <w:r w:rsidRPr="000137AB">
        <w:rPr>
          <w:color w:val="000000"/>
          <w:sz w:val="20"/>
          <w:szCs w:val="20"/>
          <w:lang w:val="en-US"/>
        </w:rPr>
        <w:t xml:space="preserve">. </w:t>
      </w:r>
      <w:proofErr w:type="gramStart"/>
      <w:r w:rsidRPr="000137AB">
        <w:rPr>
          <w:color w:val="000000"/>
          <w:sz w:val="20"/>
          <w:szCs w:val="20"/>
          <w:lang w:val="en-US"/>
        </w:rPr>
        <w:t>While limited studies have reported the incidence of anemia in people with diabetes mellitus with no evidence of renal impairment.</w:t>
      </w:r>
      <w:proofErr w:type="gramEnd"/>
      <w:r w:rsidRPr="000137AB">
        <w:rPr>
          <w:color w:val="000000"/>
          <w:sz w:val="20"/>
          <w:szCs w:val="20"/>
          <w:lang w:val="en-US"/>
        </w:rPr>
        <w:t xml:space="preserve"> </w:t>
      </w:r>
    </w:p>
    <w:p w:rsidR="00696517" w:rsidRPr="000137AB" w:rsidRDefault="00F47CDB" w:rsidP="000137AB">
      <w:pPr>
        <w:spacing w:line="360" w:lineRule="auto"/>
        <w:ind w:right="-45"/>
        <w:jc w:val="both"/>
        <w:rPr>
          <w:b/>
          <w:sz w:val="20"/>
          <w:szCs w:val="20"/>
        </w:rPr>
      </w:pPr>
      <w:r w:rsidRPr="000137AB">
        <w:rPr>
          <w:b/>
          <w:sz w:val="20"/>
          <w:szCs w:val="20"/>
        </w:rPr>
        <w:t xml:space="preserve">Aims and </w:t>
      </w:r>
      <w:r w:rsidR="00696517" w:rsidRPr="000137AB">
        <w:rPr>
          <w:b/>
          <w:sz w:val="20"/>
          <w:szCs w:val="20"/>
        </w:rPr>
        <w:t>Objectives of the study</w:t>
      </w:r>
    </w:p>
    <w:p w:rsidR="00696517" w:rsidRPr="000137AB" w:rsidRDefault="00696517" w:rsidP="000137AB">
      <w:pPr>
        <w:autoSpaceDE w:val="0"/>
        <w:autoSpaceDN w:val="0"/>
        <w:adjustRightInd w:val="0"/>
        <w:spacing w:line="360" w:lineRule="auto"/>
        <w:jc w:val="both"/>
        <w:rPr>
          <w:sz w:val="20"/>
          <w:szCs w:val="20"/>
        </w:rPr>
      </w:pPr>
      <w:r w:rsidRPr="000137AB">
        <w:rPr>
          <w:color w:val="000000"/>
          <w:sz w:val="20"/>
          <w:szCs w:val="20"/>
          <w:lang w:val="en-US"/>
        </w:rPr>
        <w:t xml:space="preserve">The current study is mainly to study profile of </w:t>
      </w:r>
      <w:proofErr w:type="spellStart"/>
      <w:r w:rsidRPr="000137AB">
        <w:rPr>
          <w:color w:val="000000"/>
          <w:sz w:val="20"/>
          <w:szCs w:val="20"/>
          <w:lang w:val="en-US"/>
        </w:rPr>
        <w:t>anaemia</w:t>
      </w:r>
      <w:proofErr w:type="spellEnd"/>
      <w:r w:rsidRPr="000137AB">
        <w:rPr>
          <w:color w:val="000000"/>
          <w:sz w:val="20"/>
          <w:szCs w:val="20"/>
          <w:lang w:val="en-US"/>
        </w:rPr>
        <w:t xml:space="preserve"> in </w:t>
      </w:r>
      <w:proofErr w:type="spellStart"/>
      <w:r w:rsidRPr="000137AB">
        <w:rPr>
          <w:color w:val="000000"/>
          <w:sz w:val="20"/>
          <w:szCs w:val="20"/>
          <w:lang w:val="en-US"/>
        </w:rPr>
        <w:t>dibetes</w:t>
      </w:r>
      <w:proofErr w:type="spellEnd"/>
      <w:r w:rsidRPr="000137AB">
        <w:rPr>
          <w:color w:val="000000"/>
          <w:sz w:val="20"/>
          <w:szCs w:val="20"/>
          <w:lang w:val="en-US"/>
        </w:rPr>
        <w:t xml:space="preserve"> patients with normal renal function.</w:t>
      </w:r>
    </w:p>
    <w:p w:rsidR="0085003E" w:rsidRPr="000137AB" w:rsidRDefault="00F47CDB" w:rsidP="000137AB">
      <w:pPr>
        <w:spacing w:line="360" w:lineRule="auto"/>
        <w:ind w:right="-45"/>
        <w:jc w:val="both"/>
        <w:rPr>
          <w:sz w:val="20"/>
          <w:szCs w:val="20"/>
        </w:rPr>
      </w:pPr>
      <w:r w:rsidRPr="000137AB">
        <w:rPr>
          <w:b/>
          <w:color w:val="000000"/>
          <w:sz w:val="20"/>
          <w:szCs w:val="20"/>
        </w:rPr>
        <w:t xml:space="preserve">Materials </w:t>
      </w:r>
      <w:r w:rsidR="0085003E" w:rsidRPr="000137AB">
        <w:rPr>
          <w:b/>
          <w:color w:val="000000"/>
          <w:sz w:val="20"/>
          <w:szCs w:val="20"/>
        </w:rPr>
        <w:t>and Methods:</w:t>
      </w:r>
    </w:p>
    <w:p w:rsidR="00B92AAB" w:rsidRPr="000137AB" w:rsidRDefault="00B92AAB" w:rsidP="000137AB">
      <w:pPr>
        <w:tabs>
          <w:tab w:val="left" w:pos="1047"/>
        </w:tabs>
        <w:spacing w:line="360" w:lineRule="auto"/>
        <w:jc w:val="both"/>
        <w:rPr>
          <w:sz w:val="20"/>
          <w:szCs w:val="20"/>
        </w:rPr>
      </w:pPr>
      <w:r w:rsidRPr="000137AB">
        <w:rPr>
          <w:sz w:val="20"/>
          <w:szCs w:val="20"/>
        </w:rPr>
        <w:t>Source of data:</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The study was conducted on 230 patients with type 2 diabetes mellitus with normal renal function visiting different hospital attached to </w:t>
      </w:r>
      <w:proofErr w:type="spellStart"/>
      <w:proofErr w:type="gramStart"/>
      <w:r w:rsidRPr="000137AB">
        <w:rPr>
          <w:color w:val="000000"/>
          <w:sz w:val="20"/>
          <w:szCs w:val="20"/>
          <w:lang w:val="en-US"/>
        </w:rPr>
        <w:t>bangalore</w:t>
      </w:r>
      <w:proofErr w:type="spellEnd"/>
      <w:proofErr w:type="gramEnd"/>
      <w:r w:rsidRPr="000137AB">
        <w:rPr>
          <w:color w:val="000000"/>
          <w:sz w:val="20"/>
          <w:szCs w:val="20"/>
          <w:lang w:val="en-US"/>
        </w:rPr>
        <w:t xml:space="preserve"> medical college and research institute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bCs/>
          <w:color w:val="000000"/>
          <w:sz w:val="20"/>
          <w:szCs w:val="20"/>
          <w:lang w:val="en-US"/>
        </w:rPr>
        <w:t xml:space="preserve">Method of collection of </w:t>
      </w:r>
      <w:proofErr w:type="gramStart"/>
      <w:r w:rsidRPr="000137AB">
        <w:rPr>
          <w:bCs/>
          <w:color w:val="000000"/>
          <w:sz w:val="20"/>
          <w:szCs w:val="20"/>
          <w:lang w:val="en-US"/>
        </w:rPr>
        <w:t>data :</w:t>
      </w:r>
      <w:proofErr w:type="gramEnd"/>
      <w:r w:rsidRPr="000137AB">
        <w:rPr>
          <w:bCs/>
          <w:color w:val="000000"/>
          <w:sz w:val="20"/>
          <w:szCs w:val="20"/>
          <w:lang w:val="en-US"/>
        </w:rPr>
        <w:t xml:space="preserve">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bCs/>
          <w:color w:val="000000"/>
          <w:sz w:val="20"/>
          <w:szCs w:val="20"/>
          <w:lang w:val="en-US"/>
        </w:rPr>
        <w:t xml:space="preserve">Design of study: </w:t>
      </w:r>
      <w:r w:rsidRPr="000137AB">
        <w:rPr>
          <w:color w:val="000000"/>
          <w:sz w:val="20"/>
          <w:szCs w:val="20"/>
          <w:lang w:val="en-US"/>
        </w:rPr>
        <w:t xml:space="preserve">cross sectional study.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bCs/>
          <w:color w:val="000000"/>
          <w:sz w:val="20"/>
          <w:szCs w:val="20"/>
          <w:lang w:val="en-US"/>
        </w:rPr>
        <w:t xml:space="preserve">Study </w:t>
      </w:r>
      <w:proofErr w:type="gramStart"/>
      <w:r w:rsidRPr="000137AB">
        <w:rPr>
          <w:bCs/>
          <w:color w:val="000000"/>
          <w:sz w:val="20"/>
          <w:szCs w:val="20"/>
          <w:lang w:val="en-US"/>
        </w:rPr>
        <w:t xml:space="preserve">period </w:t>
      </w:r>
      <w:r w:rsidRPr="000137AB">
        <w:rPr>
          <w:color w:val="000000"/>
          <w:sz w:val="20"/>
          <w:szCs w:val="20"/>
          <w:lang w:val="en-US"/>
        </w:rPr>
        <w:t>:</w:t>
      </w:r>
      <w:proofErr w:type="spellStart"/>
      <w:r w:rsidRPr="000137AB">
        <w:rPr>
          <w:color w:val="000000"/>
          <w:sz w:val="20"/>
          <w:szCs w:val="20"/>
          <w:lang w:val="en-US"/>
        </w:rPr>
        <w:t>november</w:t>
      </w:r>
      <w:proofErr w:type="spellEnd"/>
      <w:proofErr w:type="gramEnd"/>
      <w:r w:rsidRPr="000137AB">
        <w:rPr>
          <w:color w:val="000000"/>
          <w:sz w:val="20"/>
          <w:szCs w:val="20"/>
          <w:lang w:val="en-US"/>
        </w:rPr>
        <w:t xml:space="preserve"> 2017 to </w:t>
      </w:r>
      <w:proofErr w:type="spellStart"/>
      <w:r w:rsidRPr="000137AB">
        <w:rPr>
          <w:color w:val="000000"/>
          <w:sz w:val="20"/>
          <w:szCs w:val="20"/>
          <w:lang w:val="en-US"/>
        </w:rPr>
        <w:t>may</w:t>
      </w:r>
      <w:proofErr w:type="spellEnd"/>
      <w:r w:rsidRPr="000137AB">
        <w:rPr>
          <w:color w:val="000000"/>
          <w:sz w:val="20"/>
          <w:szCs w:val="20"/>
          <w:lang w:val="en-US"/>
        </w:rPr>
        <w:t xml:space="preserve"> 2019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bCs/>
          <w:color w:val="000000"/>
          <w:sz w:val="20"/>
          <w:szCs w:val="20"/>
          <w:lang w:val="en-US"/>
        </w:rPr>
        <w:t xml:space="preserve">Place of </w:t>
      </w:r>
      <w:proofErr w:type="gramStart"/>
      <w:r w:rsidRPr="000137AB">
        <w:rPr>
          <w:bCs/>
          <w:color w:val="000000"/>
          <w:sz w:val="20"/>
          <w:szCs w:val="20"/>
          <w:lang w:val="en-US"/>
        </w:rPr>
        <w:t>study :</w:t>
      </w:r>
      <w:r w:rsidRPr="000137AB">
        <w:rPr>
          <w:color w:val="000000"/>
          <w:sz w:val="20"/>
          <w:szCs w:val="20"/>
          <w:lang w:val="en-US"/>
        </w:rPr>
        <w:t>hospitals</w:t>
      </w:r>
      <w:proofErr w:type="gramEnd"/>
      <w:r w:rsidRPr="000137AB">
        <w:rPr>
          <w:color w:val="000000"/>
          <w:sz w:val="20"/>
          <w:szCs w:val="20"/>
          <w:lang w:val="en-US"/>
        </w:rPr>
        <w:t xml:space="preserve"> attached to </w:t>
      </w:r>
      <w:proofErr w:type="spellStart"/>
      <w:r w:rsidRPr="000137AB">
        <w:rPr>
          <w:color w:val="000000"/>
          <w:sz w:val="20"/>
          <w:szCs w:val="20"/>
          <w:lang w:val="en-US"/>
        </w:rPr>
        <w:t>bmcri</w:t>
      </w:r>
      <w:proofErr w:type="spellEnd"/>
      <w:r w:rsidRPr="000137AB">
        <w:rPr>
          <w:color w:val="000000"/>
          <w:sz w:val="20"/>
          <w:szCs w:val="20"/>
          <w:lang w:val="en-US"/>
        </w:rPr>
        <w:t xml:space="preserve">, </w:t>
      </w:r>
      <w:proofErr w:type="spellStart"/>
      <w:r w:rsidRPr="000137AB">
        <w:rPr>
          <w:color w:val="000000"/>
          <w:sz w:val="20"/>
          <w:szCs w:val="20"/>
          <w:lang w:val="en-US"/>
        </w:rPr>
        <w:t>bangalore</w:t>
      </w:r>
      <w:proofErr w:type="spellEnd"/>
      <w:r w:rsidRPr="000137AB">
        <w:rPr>
          <w:color w:val="000000"/>
          <w:sz w:val="20"/>
          <w:szCs w:val="20"/>
          <w:lang w:val="en-US"/>
        </w:rPr>
        <w:t xml:space="preserve">.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bCs/>
          <w:color w:val="000000"/>
          <w:sz w:val="20"/>
          <w:szCs w:val="20"/>
          <w:lang w:val="en-US"/>
        </w:rPr>
        <w:t xml:space="preserve">Sample size: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Based on previous study by </w:t>
      </w:r>
      <w:proofErr w:type="spellStart"/>
      <w:r w:rsidRPr="000137AB">
        <w:rPr>
          <w:color w:val="000000"/>
          <w:sz w:val="20"/>
          <w:szCs w:val="20"/>
          <w:lang w:val="en-US"/>
        </w:rPr>
        <w:t>rathod</w:t>
      </w:r>
      <w:proofErr w:type="spellEnd"/>
      <w:r w:rsidRPr="000137AB">
        <w:rPr>
          <w:color w:val="000000"/>
          <w:sz w:val="20"/>
          <w:szCs w:val="20"/>
          <w:lang w:val="en-US"/>
        </w:rPr>
        <w:t xml:space="preserve"> g b </w:t>
      </w:r>
      <w:proofErr w:type="gramStart"/>
      <w:r w:rsidRPr="000137AB">
        <w:rPr>
          <w:color w:val="000000"/>
          <w:sz w:val="20"/>
          <w:szCs w:val="20"/>
          <w:lang w:val="en-US"/>
        </w:rPr>
        <w:t>et</w:t>
      </w:r>
      <w:proofErr w:type="gramEnd"/>
      <w:r w:rsidRPr="000137AB">
        <w:rPr>
          <w:color w:val="000000"/>
          <w:sz w:val="20"/>
          <w:szCs w:val="20"/>
          <w:lang w:val="en-US"/>
        </w:rPr>
        <w:t xml:space="preserve"> al93 18% of patients with type 2 diabetes mellitus with normal renal function were anemic.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The sample size calculation is according to the formula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N= z2α </w:t>
      </w:r>
      <w:proofErr w:type="spellStart"/>
      <w:proofErr w:type="gramStart"/>
      <w:r w:rsidRPr="000137AB">
        <w:rPr>
          <w:color w:val="000000"/>
          <w:sz w:val="20"/>
          <w:szCs w:val="20"/>
          <w:lang w:val="en-US"/>
        </w:rPr>
        <w:t>pq</w:t>
      </w:r>
      <w:proofErr w:type="spellEnd"/>
      <w:proofErr w:type="gramEnd"/>
      <w:r w:rsidRPr="000137AB">
        <w:rPr>
          <w:color w:val="000000"/>
          <w:sz w:val="20"/>
          <w:szCs w:val="20"/>
          <w:lang w:val="en-US"/>
        </w:rPr>
        <w:t xml:space="preserve"> / d2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Where z2α =1.96 P=18,       q =100-18 D=absolute precision =5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N=1.96x18x82/52 </w:t>
      </w:r>
      <w:r w:rsidRPr="000137AB">
        <w:rPr>
          <w:bCs/>
          <w:color w:val="000000"/>
          <w:sz w:val="20"/>
          <w:szCs w:val="20"/>
          <w:lang w:val="en-US"/>
        </w:rPr>
        <w:t>=</w:t>
      </w:r>
      <w:r w:rsidRPr="000137AB">
        <w:rPr>
          <w:color w:val="000000"/>
          <w:sz w:val="20"/>
          <w:szCs w:val="20"/>
          <w:lang w:val="en-US"/>
        </w:rPr>
        <w:t xml:space="preserve">226.8 ≈227 ≈230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bCs/>
          <w:color w:val="000000"/>
          <w:sz w:val="20"/>
          <w:szCs w:val="20"/>
          <w:lang w:val="en-US"/>
        </w:rPr>
        <w:t xml:space="preserve">Inclusion criteria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1. Patients aged ≥18 yrs.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2. Patients willing to give informed written consent.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3. Patients with type 2 diabetes mellitus as per </w:t>
      </w:r>
      <w:proofErr w:type="spellStart"/>
      <w:r w:rsidRPr="000137AB">
        <w:rPr>
          <w:color w:val="000000"/>
          <w:sz w:val="20"/>
          <w:szCs w:val="20"/>
          <w:lang w:val="en-US"/>
        </w:rPr>
        <w:t>ada</w:t>
      </w:r>
      <w:proofErr w:type="spellEnd"/>
      <w:r w:rsidRPr="000137AB">
        <w:rPr>
          <w:color w:val="000000"/>
          <w:sz w:val="20"/>
          <w:szCs w:val="20"/>
          <w:lang w:val="en-US"/>
        </w:rPr>
        <w:t xml:space="preserve"> criteria</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4. Patients with normal renal function.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bCs/>
          <w:color w:val="000000"/>
          <w:sz w:val="20"/>
          <w:szCs w:val="20"/>
          <w:lang w:val="en-US"/>
        </w:rPr>
        <w:t xml:space="preserve">Exclusion criteria </w:t>
      </w:r>
    </w:p>
    <w:p w:rsidR="00696517" w:rsidRPr="000137AB" w:rsidRDefault="00696517" w:rsidP="000137AB">
      <w:pPr>
        <w:autoSpaceDE w:val="0"/>
        <w:autoSpaceDN w:val="0"/>
        <w:adjustRightInd w:val="0"/>
        <w:spacing w:line="360" w:lineRule="auto"/>
        <w:jc w:val="both"/>
        <w:rPr>
          <w:color w:val="000000"/>
          <w:sz w:val="20"/>
          <w:szCs w:val="20"/>
          <w:lang w:val="en-US"/>
        </w:rPr>
      </w:pPr>
      <w:proofErr w:type="gramStart"/>
      <w:r w:rsidRPr="000137AB">
        <w:rPr>
          <w:color w:val="000000"/>
          <w:sz w:val="20"/>
          <w:szCs w:val="20"/>
          <w:lang w:val="en-US"/>
        </w:rPr>
        <w:t>1.age</w:t>
      </w:r>
      <w:proofErr w:type="gramEnd"/>
      <w:r w:rsidRPr="000137AB">
        <w:rPr>
          <w:color w:val="000000"/>
          <w:sz w:val="20"/>
          <w:szCs w:val="20"/>
          <w:lang w:val="en-US"/>
        </w:rPr>
        <w:t xml:space="preserve"> ≤18 years.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2. Patients with abnormal rft126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3. Patients with associated </w:t>
      </w:r>
      <w:proofErr w:type="spellStart"/>
      <w:r w:rsidRPr="000137AB">
        <w:rPr>
          <w:color w:val="000000"/>
          <w:sz w:val="20"/>
          <w:szCs w:val="20"/>
          <w:lang w:val="en-US"/>
        </w:rPr>
        <w:t>ckd</w:t>
      </w:r>
      <w:proofErr w:type="spellEnd"/>
      <w:r w:rsidRPr="000137AB">
        <w:rPr>
          <w:color w:val="000000"/>
          <w:sz w:val="20"/>
          <w:szCs w:val="20"/>
          <w:lang w:val="en-US"/>
        </w:rPr>
        <w:t xml:space="preserve"> (as per </w:t>
      </w:r>
      <w:proofErr w:type="spellStart"/>
      <w:r w:rsidRPr="000137AB">
        <w:rPr>
          <w:color w:val="000000"/>
          <w:sz w:val="20"/>
          <w:szCs w:val="20"/>
          <w:lang w:val="en-US"/>
        </w:rPr>
        <w:t>egfr</w:t>
      </w:r>
      <w:proofErr w:type="spellEnd"/>
      <w:r w:rsidRPr="000137AB">
        <w:rPr>
          <w:color w:val="000000"/>
          <w:sz w:val="20"/>
          <w:szCs w:val="20"/>
          <w:lang w:val="en-US"/>
        </w:rPr>
        <w:t xml:space="preserve"> as calculated by </w:t>
      </w:r>
      <w:proofErr w:type="spellStart"/>
      <w:r w:rsidRPr="000137AB">
        <w:rPr>
          <w:color w:val="000000"/>
          <w:sz w:val="20"/>
          <w:szCs w:val="20"/>
          <w:lang w:val="en-US"/>
        </w:rPr>
        <w:t>cockcroft-gault</w:t>
      </w:r>
      <w:proofErr w:type="spellEnd"/>
      <w:r w:rsidRPr="000137AB">
        <w:rPr>
          <w:color w:val="000000"/>
          <w:sz w:val="20"/>
          <w:szCs w:val="20"/>
          <w:lang w:val="en-US"/>
        </w:rPr>
        <w:t xml:space="preserve"> equation</w:t>
      </w:r>
      <w:proofErr w:type="gramStart"/>
      <w:r w:rsidRPr="000137AB">
        <w:rPr>
          <w:color w:val="000000"/>
          <w:sz w:val="20"/>
          <w:szCs w:val="20"/>
          <w:lang w:val="en-US"/>
        </w:rPr>
        <w:t>)127</w:t>
      </w:r>
      <w:proofErr w:type="gramEnd"/>
      <w:r w:rsidRPr="000137AB">
        <w:rPr>
          <w:color w:val="000000"/>
          <w:sz w:val="20"/>
          <w:szCs w:val="20"/>
          <w:lang w:val="en-US"/>
        </w:rPr>
        <w:t xml:space="preserve"> </w:t>
      </w:r>
    </w:p>
    <w:p w:rsidR="00696517" w:rsidRPr="000137AB" w:rsidRDefault="00696517" w:rsidP="000137AB">
      <w:pPr>
        <w:spacing w:line="360" w:lineRule="auto"/>
        <w:jc w:val="both"/>
        <w:rPr>
          <w:sz w:val="20"/>
          <w:szCs w:val="20"/>
        </w:rPr>
      </w:pPr>
      <w:r w:rsidRPr="000137AB">
        <w:rPr>
          <w:color w:val="000000"/>
          <w:sz w:val="20"/>
          <w:szCs w:val="20"/>
          <w:lang w:val="en-US"/>
        </w:rPr>
        <w:t xml:space="preserve">4. Patients on any prolonged therapy with drugs with bone marrow suppressant </w:t>
      </w:r>
      <w:proofErr w:type="spellStart"/>
      <w:r w:rsidRPr="000137AB">
        <w:rPr>
          <w:color w:val="000000"/>
          <w:sz w:val="20"/>
          <w:szCs w:val="20"/>
          <w:lang w:val="en-US"/>
        </w:rPr>
        <w:t>actio</w:t>
      </w:r>
      <w:proofErr w:type="spellEnd"/>
      <w:r w:rsidRPr="000137AB">
        <w:rPr>
          <w:color w:val="000000"/>
          <w:sz w:val="20"/>
          <w:szCs w:val="20"/>
          <w:lang w:val="en-US"/>
        </w:rPr>
        <w:t xml:space="preserve"> </w:t>
      </w:r>
      <w:r w:rsidRPr="000137AB">
        <w:rPr>
          <w:color w:val="000000"/>
          <w:sz w:val="20"/>
          <w:szCs w:val="20"/>
        </w:rPr>
        <w:t>statistical analysis used:</w:t>
      </w:r>
    </w:p>
    <w:p w:rsidR="00696517" w:rsidRPr="000137AB" w:rsidRDefault="00696517" w:rsidP="000137AB">
      <w:pPr>
        <w:autoSpaceDE w:val="0"/>
        <w:autoSpaceDN w:val="0"/>
        <w:adjustRightInd w:val="0"/>
        <w:spacing w:line="360" w:lineRule="auto"/>
        <w:jc w:val="both"/>
        <w:rPr>
          <w:color w:val="000000"/>
          <w:sz w:val="20"/>
          <w:szCs w:val="20"/>
          <w:lang w:val="en-US"/>
        </w:rPr>
      </w:pPr>
    </w:p>
    <w:p w:rsidR="00696517" w:rsidRPr="000137AB" w:rsidRDefault="00696517" w:rsidP="000137AB">
      <w:pPr>
        <w:spacing w:line="360" w:lineRule="auto"/>
        <w:jc w:val="both"/>
        <w:rPr>
          <w:sz w:val="20"/>
          <w:szCs w:val="20"/>
        </w:rPr>
      </w:pPr>
      <w:r w:rsidRPr="000137AB">
        <w:rPr>
          <w:color w:val="000000"/>
          <w:sz w:val="20"/>
          <w:szCs w:val="20"/>
          <w:lang w:val="en-US"/>
        </w:rPr>
        <w:t xml:space="preserve"> After obtaining ethical clearance and approval from the Institutional Ethics Committee of BMCRI, Written informed consent was taken from the patients</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 Data was collected by semi structured questionnaire, clinical examination and investigations]. </w:t>
      </w:r>
    </w:p>
    <w:p w:rsidR="00696517" w:rsidRPr="000137AB" w:rsidRDefault="00696517"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Using study </w:t>
      </w:r>
      <w:proofErr w:type="spellStart"/>
      <w:r w:rsidRPr="000137AB">
        <w:rPr>
          <w:color w:val="000000"/>
          <w:sz w:val="20"/>
          <w:szCs w:val="20"/>
          <w:lang w:val="en-US"/>
        </w:rPr>
        <w:t>proforma</w:t>
      </w:r>
      <w:proofErr w:type="spellEnd"/>
      <w:r w:rsidRPr="000137AB">
        <w:rPr>
          <w:color w:val="000000"/>
          <w:sz w:val="20"/>
          <w:szCs w:val="20"/>
          <w:lang w:val="en-US"/>
        </w:rPr>
        <w:t xml:space="preserve"> data was collected and analyzed of all the patients satisfying the inclusion and exclusion criteria. Patients with type 2 diabetes mellitus with normal renal function were screened for the presence of anemia by clinical means and use of basic laboratory tests like Complete blood counts. Those with anemia were worked up further with laboratory tests as required to know the type of </w:t>
      </w:r>
      <w:proofErr w:type="gramStart"/>
      <w:r w:rsidRPr="000137AB">
        <w:rPr>
          <w:color w:val="000000"/>
          <w:sz w:val="20"/>
          <w:szCs w:val="20"/>
          <w:lang w:val="en-US"/>
        </w:rPr>
        <w:t>anemia  and</w:t>
      </w:r>
      <w:proofErr w:type="gramEnd"/>
      <w:r w:rsidRPr="000137AB">
        <w:rPr>
          <w:color w:val="000000"/>
          <w:sz w:val="20"/>
          <w:szCs w:val="20"/>
          <w:lang w:val="en-US"/>
        </w:rPr>
        <w:t xml:space="preserve"> cause. The subjects were </w:t>
      </w:r>
      <w:r w:rsidRPr="000137AB">
        <w:rPr>
          <w:color w:val="000000"/>
          <w:sz w:val="20"/>
          <w:szCs w:val="20"/>
          <w:lang w:val="en-US"/>
        </w:rPr>
        <w:lastRenderedPageBreak/>
        <w:t>also compared among themselves with regard to severity of anemia and its relation to glycemic control and duration of diabetes.</w:t>
      </w:r>
    </w:p>
    <w:p w:rsidR="00696517" w:rsidRPr="000137AB" w:rsidRDefault="00696517" w:rsidP="000137AB">
      <w:pPr>
        <w:spacing w:line="360" w:lineRule="auto"/>
        <w:jc w:val="both"/>
        <w:rPr>
          <w:sz w:val="20"/>
          <w:szCs w:val="20"/>
        </w:rPr>
      </w:pPr>
    </w:p>
    <w:p w:rsidR="00696517" w:rsidRPr="0044166B" w:rsidRDefault="00696517" w:rsidP="000137AB">
      <w:pPr>
        <w:spacing w:line="360" w:lineRule="auto"/>
        <w:jc w:val="both"/>
        <w:rPr>
          <w:b/>
          <w:sz w:val="20"/>
          <w:szCs w:val="20"/>
        </w:rPr>
      </w:pPr>
      <w:r w:rsidRPr="0044166B">
        <w:rPr>
          <w:b/>
          <w:sz w:val="20"/>
          <w:szCs w:val="20"/>
        </w:rPr>
        <w:t xml:space="preserve"> Statistical analysis:</w:t>
      </w:r>
    </w:p>
    <w:p w:rsidR="004C66B3" w:rsidRPr="000137AB" w:rsidRDefault="00696517" w:rsidP="000137AB">
      <w:pPr>
        <w:tabs>
          <w:tab w:val="left" w:pos="2730"/>
        </w:tabs>
        <w:spacing w:line="360" w:lineRule="auto"/>
        <w:jc w:val="both"/>
        <w:rPr>
          <w:sz w:val="20"/>
          <w:szCs w:val="20"/>
        </w:rPr>
      </w:pPr>
      <w:r w:rsidRPr="000137AB">
        <w:rPr>
          <w:sz w:val="20"/>
          <w:szCs w:val="20"/>
        </w:rPr>
        <w:t xml:space="preserve">Data was entered in Microsoft excel and was exported into SPSS version 21.0. Data was </w:t>
      </w:r>
      <w:proofErr w:type="spellStart"/>
      <w:r w:rsidRPr="000137AB">
        <w:rPr>
          <w:sz w:val="20"/>
          <w:szCs w:val="20"/>
        </w:rPr>
        <w:t>analyzed</w:t>
      </w:r>
      <w:proofErr w:type="spellEnd"/>
      <w:r w:rsidRPr="000137AB">
        <w:rPr>
          <w:sz w:val="20"/>
          <w:szCs w:val="20"/>
        </w:rPr>
        <w:t xml:space="preserve"> by descriptive </w:t>
      </w:r>
      <w:proofErr w:type="gramStart"/>
      <w:r w:rsidRPr="000137AB">
        <w:rPr>
          <w:sz w:val="20"/>
          <w:szCs w:val="20"/>
        </w:rPr>
        <w:t>statistics,</w:t>
      </w:r>
      <w:proofErr w:type="gramEnd"/>
      <w:r w:rsidRPr="000137AB">
        <w:rPr>
          <w:sz w:val="20"/>
          <w:szCs w:val="20"/>
        </w:rPr>
        <w:t xml:space="preserve"> student’s t test was used for significant difference between 2 means, correlation co-efficient was used for relationship between 2 variables. P value of &lt;0.05 was considered significant.</w:t>
      </w:r>
    </w:p>
    <w:p w:rsidR="0085003E" w:rsidRPr="000137AB" w:rsidRDefault="00F47CDB" w:rsidP="000137AB">
      <w:pPr>
        <w:tabs>
          <w:tab w:val="left" w:pos="2730"/>
        </w:tabs>
        <w:spacing w:line="360" w:lineRule="auto"/>
        <w:jc w:val="both"/>
        <w:rPr>
          <w:b/>
          <w:sz w:val="20"/>
          <w:szCs w:val="20"/>
        </w:rPr>
      </w:pPr>
      <w:r w:rsidRPr="000137AB">
        <w:rPr>
          <w:b/>
          <w:color w:val="000000"/>
          <w:sz w:val="20"/>
          <w:szCs w:val="20"/>
        </w:rPr>
        <w:t xml:space="preserve">Observation and </w:t>
      </w:r>
      <w:r w:rsidR="0085003E" w:rsidRPr="000137AB">
        <w:rPr>
          <w:b/>
          <w:color w:val="000000"/>
          <w:sz w:val="20"/>
          <w:szCs w:val="20"/>
        </w:rPr>
        <w:t>Results:</w:t>
      </w:r>
    </w:p>
    <w:p w:rsidR="00696517" w:rsidRPr="000137AB" w:rsidRDefault="00696517" w:rsidP="000137AB">
      <w:pPr>
        <w:autoSpaceDE w:val="0"/>
        <w:autoSpaceDN w:val="0"/>
        <w:adjustRightInd w:val="0"/>
        <w:spacing w:line="360" w:lineRule="auto"/>
        <w:jc w:val="both"/>
        <w:rPr>
          <w:sz w:val="20"/>
          <w:szCs w:val="20"/>
        </w:rPr>
      </w:pPr>
      <w:r w:rsidRPr="000137AB">
        <w:rPr>
          <w:sz w:val="20"/>
          <w:szCs w:val="20"/>
        </w:rPr>
        <w:t>Table 1: Mean age distribution of the subjects</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1"/>
        <w:gridCol w:w="1307"/>
        <w:gridCol w:w="1367"/>
        <w:gridCol w:w="1406"/>
        <w:gridCol w:w="1307"/>
        <w:gridCol w:w="1842"/>
      </w:tblGrid>
      <w:tr w:rsidR="00696517" w:rsidRPr="000137AB" w:rsidTr="00F86F66">
        <w:trPr>
          <w:cantSplit/>
          <w:trHeight w:val="678"/>
        </w:trPr>
        <w:tc>
          <w:tcPr>
            <w:tcW w:w="2181" w:type="dxa"/>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
        </w:tc>
        <w:tc>
          <w:tcPr>
            <w:tcW w:w="1307" w:type="dxa"/>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N</w:t>
            </w:r>
          </w:p>
        </w:tc>
        <w:tc>
          <w:tcPr>
            <w:tcW w:w="1367" w:type="dxa"/>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Minimum</w:t>
            </w:r>
          </w:p>
        </w:tc>
        <w:tc>
          <w:tcPr>
            <w:tcW w:w="1406" w:type="dxa"/>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Maximum</w:t>
            </w:r>
          </w:p>
        </w:tc>
        <w:tc>
          <w:tcPr>
            <w:tcW w:w="1307" w:type="dxa"/>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Mean</w:t>
            </w:r>
          </w:p>
        </w:tc>
        <w:tc>
          <w:tcPr>
            <w:tcW w:w="1842" w:type="dxa"/>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Std. Deviation</w:t>
            </w:r>
          </w:p>
        </w:tc>
      </w:tr>
      <w:tr w:rsidR="00696517" w:rsidRPr="000137AB" w:rsidTr="00F86F66">
        <w:trPr>
          <w:cantSplit/>
          <w:trHeight w:val="745"/>
        </w:trPr>
        <w:tc>
          <w:tcPr>
            <w:tcW w:w="2181"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Age</w:t>
            </w:r>
          </w:p>
        </w:tc>
        <w:tc>
          <w:tcPr>
            <w:tcW w:w="13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230</w:t>
            </w:r>
          </w:p>
        </w:tc>
        <w:tc>
          <w:tcPr>
            <w:tcW w:w="136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24</w:t>
            </w:r>
          </w:p>
        </w:tc>
        <w:tc>
          <w:tcPr>
            <w:tcW w:w="1406"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87</w:t>
            </w:r>
          </w:p>
        </w:tc>
        <w:tc>
          <w:tcPr>
            <w:tcW w:w="13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54.11</w:t>
            </w:r>
          </w:p>
        </w:tc>
        <w:tc>
          <w:tcPr>
            <w:tcW w:w="184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12.143</w:t>
            </w:r>
          </w:p>
        </w:tc>
      </w:tr>
    </w:tbl>
    <w:p w:rsidR="00696517" w:rsidRPr="000137AB" w:rsidRDefault="00696517" w:rsidP="000137AB">
      <w:pPr>
        <w:autoSpaceDE w:val="0"/>
        <w:autoSpaceDN w:val="0"/>
        <w:adjustRightInd w:val="0"/>
        <w:spacing w:line="360" w:lineRule="auto"/>
        <w:jc w:val="both"/>
        <w:rPr>
          <w:sz w:val="20"/>
          <w:szCs w:val="20"/>
        </w:rPr>
      </w:pPr>
    </w:p>
    <w:p w:rsidR="00696517" w:rsidRPr="000137AB" w:rsidRDefault="00696517" w:rsidP="000137AB">
      <w:pPr>
        <w:spacing w:line="360" w:lineRule="auto"/>
        <w:jc w:val="both"/>
        <w:rPr>
          <w:sz w:val="20"/>
          <w:szCs w:val="20"/>
        </w:rPr>
      </w:pPr>
      <w:r w:rsidRPr="000137AB">
        <w:rPr>
          <w:sz w:val="20"/>
          <w:szCs w:val="20"/>
        </w:rPr>
        <w:t xml:space="preserve">The mean age of the study subjects was 54.11 </w:t>
      </w:r>
      <w:r w:rsidRPr="000137AB">
        <w:rPr>
          <w:sz w:val="20"/>
          <w:szCs w:val="20"/>
          <w:u w:val="single"/>
        </w:rPr>
        <w:t>+</w:t>
      </w:r>
      <w:r w:rsidRPr="000137AB">
        <w:rPr>
          <w:sz w:val="20"/>
          <w:szCs w:val="20"/>
        </w:rPr>
        <w:t xml:space="preserve"> 12.143 years in the present study. </w:t>
      </w:r>
    </w:p>
    <w:p w:rsidR="00696517" w:rsidRPr="000137AB" w:rsidRDefault="00696517" w:rsidP="000137AB">
      <w:pPr>
        <w:autoSpaceDE w:val="0"/>
        <w:spacing w:line="360" w:lineRule="auto"/>
        <w:jc w:val="both"/>
        <w:rPr>
          <w:sz w:val="20"/>
          <w:szCs w:val="20"/>
        </w:rPr>
      </w:pPr>
    </w:p>
    <w:p w:rsidR="00696517" w:rsidRPr="000137AB" w:rsidRDefault="00696517" w:rsidP="000137AB">
      <w:pPr>
        <w:autoSpaceDE w:val="0"/>
        <w:autoSpaceDN w:val="0"/>
        <w:adjustRightInd w:val="0"/>
        <w:spacing w:line="360" w:lineRule="auto"/>
        <w:jc w:val="both"/>
        <w:rPr>
          <w:sz w:val="20"/>
          <w:szCs w:val="20"/>
        </w:rPr>
      </w:pPr>
      <w:r w:rsidRPr="000137AB">
        <w:rPr>
          <w:sz w:val="20"/>
          <w:szCs w:val="20"/>
        </w:rPr>
        <w:t>Table 2:Gender-wise distribution of the subjects</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118"/>
        <w:gridCol w:w="2552"/>
      </w:tblGrid>
      <w:tr w:rsidR="00696517" w:rsidRPr="000137AB" w:rsidTr="00F86F66">
        <w:trPr>
          <w:cantSplit/>
          <w:trHeight w:val="382"/>
        </w:trPr>
        <w:tc>
          <w:tcPr>
            <w:tcW w:w="3691" w:type="dxa"/>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
        </w:tc>
        <w:tc>
          <w:tcPr>
            <w:tcW w:w="3118" w:type="dxa"/>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Frequency</w:t>
            </w:r>
          </w:p>
        </w:tc>
        <w:tc>
          <w:tcPr>
            <w:tcW w:w="2552" w:type="dxa"/>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color w:val="000000"/>
                <w:sz w:val="20"/>
                <w:szCs w:val="20"/>
              </w:rPr>
              <w:t>Percent</w:t>
            </w:r>
            <w:proofErr w:type="spellEnd"/>
          </w:p>
        </w:tc>
      </w:tr>
      <w:tr w:rsidR="00696517" w:rsidRPr="000137AB" w:rsidTr="00F86F66">
        <w:trPr>
          <w:cantSplit/>
          <w:trHeight w:val="382"/>
        </w:trPr>
        <w:tc>
          <w:tcPr>
            <w:tcW w:w="3691"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Males</w:t>
            </w:r>
          </w:p>
        </w:tc>
        <w:tc>
          <w:tcPr>
            <w:tcW w:w="31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54</w:t>
            </w:r>
          </w:p>
        </w:tc>
        <w:tc>
          <w:tcPr>
            <w:tcW w:w="255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23.5</w:t>
            </w:r>
          </w:p>
        </w:tc>
      </w:tr>
      <w:tr w:rsidR="00696517" w:rsidRPr="000137AB" w:rsidTr="00F86F66">
        <w:trPr>
          <w:cantSplit/>
          <w:trHeight w:val="548"/>
        </w:trPr>
        <w:tc>
          <w:tcPr>
            <w:tcW w:w="3691"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Females</w:t>
            </w:r>
          </w:p>
        </w:tc>
        <w:tc>
          <w:tcPr>
            <w:tcW w:w="31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176</w:t>
            </w:r>
          </w:p>
        </w:tc>
        <w:tc>
          <w:tcPr>
            <w:tcW w:w="255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76.5</w:t>
            </w:r>
          </w:p>
        </w:tc>
      </w:tr>
      <w:tr w:rsidR="00696517" w:rsidRPr="000137AB" w:rsidTr="00F86F66">
        <w:trPr>
          <w:cantSplit/>
          <w:trHeight w:val="382"/>
        </w:trPr>
        <w:tc>
          <w:tcPr>
            <w:tcW w:w="3691"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Total</w:t>
            </w:r>
          </w:p>
        </w:tc>
        <w:tc>
          <w:tcPr>
            <w:tcW w:w="31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230</w:t>
            </w:r>
          </w:p>
        </w:tc>
        <w:tc>
          <w:tcPr>
            <w:tcW w:w="255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100.0</w:t>
            </w:r>
          </w:p>
        </w:tc>
      </w:tr>
    </w:tbl>
    <w:p w:rsidR="00696517" w:rsidRPr="000137AB" w:rsidRDefault="00696517" w:rsidP="000137AB">
      <w:pPr>
        <w:spacing w:line="360" w:lineRule="auto"/>
        <w:jc w:val="both"/>
        <w:rPr>
          <w:sz w:val="20"/>
          <w:szCs w:val="20"/>
        </w:rPr>
      </w:pPr>
    </w:p>
    <w:p w:rsidR="00696517" w:rsidRPr="000137AB" w:rsidRDefault="00696517" w:rsidP="0044166B">
      <w:pPr>
        <w:spacing w:line="360" w:lineRule="auto"/>
        <w:jc w:val="both"/>
        <w:rPr>
          <w:color w:val="000000"/>
          <w:sz w:val="20"/>
          <w:szCs w:val="20"/>
        </w:rPr>
      </w:pPr>
      <w:r w:rsidRPr="000137AB">
        <w:rPr>
          <w:sz w:val="20"/>
          <w:szCs w:val="20"/>
        </w:rPr>
        <w:t xml:space="preserve">In the present study, females (76.5%) outnumbered males </w:t>
      </w:r>
      <w:proofErr w:type="gramStart"/>
      <w:r w:rsidRPr="000137AB">
        <w:rPr>
          <w:sz w:val="20"/>
          <w:szCs w:val="20"/>
        </w:rPr>
        <w:t>( 23.5</w:t>
      </w:r>
      <w:proofErr w:type="gramEnd"/>
      <w:r w:rsidRPr="000137AB">
        <w:rPr>
          <w:sz w:val="20"/>
          <w:szCs w:val="20"/>
        </w:rPr>
        <w:t xml:space="preserve">%). </w:t>
      </w:r>
    </w:p>
    <w:p w:rsidR="00696517" w:rsidRPr="000137AB" w:rsidRDefault="00696517" w:rsidP="000137AB">
      <w:pPr>
        <w:spacing w:line="360" w:lineRule="auto"/>
        <w:jc w:val="both"/>
        <w:outlineLvl w:val="0"/>
        <w:rPr>
          <w:color w:val="000000"/>
          <w:sz w:val="20"/>
          <w:szCs w:val="20"/>
        </w:rPr>
      </w:pPr>
      <w:r w:rsidRPr="000137AB">
        <w:rPr>
          <w:noProof/>
          <w:color w:val="000000"/>
          <w:sz w:val="20"/>
          <w:szCs w:val="20"/>
          <w:lang w:val="en-IN" w:eastAsia="en-IN"/>
        </w:rPr>
        <w:drawing>
          <wp:inline distT="0" distB="0" distL="0" distR="0" wp14:anchorId="1C8F8F14" wp14:editId="4A70B2EE">
            <wp:extent cx="5242560" cy="3375660"/>
            <wp:effectExtent l="0" t="0" r="15240" b="1524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6517" w:rsidRPr="000137AB" w:rsidRDefault="00696517" w:rsidP="000137AB">
      <w:pPr>
        <w:spacing w:line="360" w:lineRule="auto"/>
        <w:jc w:val="both"/>
        <w:outlineLvl w:val="0"/>
        <w:rPr>
          <w:color w:val="000000"/>
          <w:sz w:val="20"/>
          <w:szCs w:val="20"/>
        </w:rPr>
      </w:pPr>
      <w:r w:rsidRPr="000137AB">
        <w:rPr>
          <w:sz w:val="20"/>
          <w:szCs w:val="20"/>
        </w:rPr>
        <w:lastRenderedPageBreak/>
        <w:t>Figure 1: Distribution of the subje</w:t>
      </w:r>
      <w:r w:rsidR="00B41861" w:rsidRPr="000137AB">
        <w:rPr>
          <w:sz w:val="20"/>
          <w:szCs w:val="20"/>
        </w:rPr>
        <w:t>cts based on duration of diabetes</w:t>
      </w:r>
    </w:p>
    <w:p w:rsidR="0044166B" w:rsidRDefault="0044166B" w:rsidP="000137AB">
      <w:pPr>
        <w:autoSpaceDE w:val="0"/>
        <w:autoSpaceDN w:val="0"/>
        <w:adjustRightInd w:val="0"/>
        <w:spacing w:line="360" w:lineRule="auto"/>
        <w:jc w:val="both"/>
        <w:rPr>
          <w:sz w:val="20"/>
          <w:szCs w:val="20"/>
        </w:rPr>
      </w:pPr>
    </w:p>
    <w:p w:rsidR="0044166B" w:rsidRDefault="0044166B" w:rsidP="000137AB">
      <w:pPr>
        <w:autoSpaceDE w:val="0"/>
        <w:autoSpaceDN w:val="0"/>
        <w:adjustRightInd w:val="0"/>
        <w:spacing w:line="360" w:lineRule="auto"/>
        <w:jc w:val="both"/>
        <w:rPr>
          <w:sz w:val="20"/>
          <w:szCs w:val="20"/>
        </w:rPr>
      </w:pPr>
    </w:p>
    <w:p w:rsidR="00696517" w:rsidRPr="000137AB" w:rsidRDefault="00696517" w:rsidP="000137AB">
      <w:pPr>
        <w:autoSpaceDE w:val="0"/>
        <w:autoSpaceDN w:val="0"/>
        <w:adjustRightInd w:val="0"/>
        <w:spacing w:line="360" w:lineRule="auto"/>
        <w:jc w:val="both"/>
        <w:rPr>
          <w:sz w:val="20"/>
          <w:szCs w:val="20"/>
        </w:rPr>
      </w:pPr>
      <w:r w:rsidRPr="000137AB">
        <w:rPr>
          <w:sz w:val="20"/>
          <w:szCs w:val="20"/>
        </w:rPr>
        <w:t xml:space="preserve">Table 3: Distribution of the subjects based on </w:t>
      </w:r>
      <w:proofErr w:type="spellStart"/>
      <w:r w:rsidRPr="000137AB">
        <w:rPr>
          <w:sz w:val="20"/>
          <w:szCs w:val="20"/>
        </w:rPr>
        <w:t>anemia</w:t>
      </w:r>
      <w:proofErr w:type="spellEnd"/>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118"/>
        <w:gridCol w:w="2552"/>
      </w:tblGrid>
      <w:tr w:rsidR="00696517" w:rsidRPr="000137AB" w:rsidTr="00F86F66">
        <w:trPr>
          <w:cantSplit/>
          <w:trHeight w:val="382"/>
        </w:trPr>
        <w:tc>
          <w:tcPr>
            <w:tcW w:w="3691" w:type="dxa"/>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
        </w:tc>
        <w:tc>
          <w:tcPr>
            <w:tcW w:w="3118" w:type="dxa"/>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Frequency</w:t>
            </w:r>
          </w:p>
        </w:tc>
        <w:tc>
          <w:tcPr>
            <w:tcW w:w="2552" w:type="dxa"/>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color w:val="000000"/>
                <w:sz w:val="20"/>
                <w:szCs w:val="20"/>
              </w:rPr>
              <w:t>Percent</w:t>
            </w:r>
            <w:proofErr w:type="spellEnd"/>
          </w:p>
        </w:tc>
      </w:tr>
      <w:tr w:rsidR="00696517" w:rsidRPr="000137AB" w:rsidTr="00F86F66">
        <w:trPr>
          <w:cantSplit/>
          <w:trHeight w:val="382"/>
        </w:trPr>
        <w:tc>
          <w:tcPr>
            <w:tcW w:w="3691"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No</w:t>
            </w:r>
          </w:p>
        </w:tc>
        <w:tc>
          <w:tcPr>
            <w:tcW w:w="31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180</w:t>
            </w:r>
          </w:p>
        </w:tc>
        <w:tc>
          <w:tcPr>
            <w:tcW w:w="255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78.3</w:t>
            </w:r>
          </w:p>
        </w:tc>
      </w:tr>
      <w:tr w:rsidR="00696517" w:rsidRPr="000137AB" w:rsidTr="00F86F66">
        <w:trPr>
          <w:cantSplit/>
          <w:trHeight w:val="382"/>
        </w:trPr>
        <w:tc>
          <w:tcPr>
            <w:tcW w:w="3691"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Yes</w:t>
            </w:r>
          </w:p>
        </w:tc>
        <w:tc>
          <w:tcPr>
            <w:tcW w:w="31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50</w:t>
            </w:r>
          </w:p>
        </w:tc>
        <w:tc>
          <w:tcPr>
            <w:tcW w:w="255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21.7</w:t>
            </w:r>
          </w:p>
        </w:tc>
      </w:tr>
      <w:tr w:rsidR="00696517" w:rsidRPr="000137AB" w:rsidTr="00F86F66">
        <w:trPr>
          <w:cantSplit/>
          <w:trHeight w:val="382"/>
        </w:trPr>
        <w:tc>
          <w:tcPr>
            <w:tcW w:w="3691"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Total</w:t>
            </w:r>
          </w:p>
        </w:tc>
        <w:tc>
          <w:tcPr>
            <w:tcW w:w="31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230</w:t>
            </w:r>
          </w:p>
        </w:tc>
        <w:tc>
          <w:tcPr>
            <w:tcW w:w="255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100.0</w:t>
            </w:r>
          </w:p>
        </w:tc>
      </w:tr>
    </w:tbl>
    <w:p w:rsidR="00696517" w:rsidRPr="000137AB" w:rsidRDefault="00696517" w:rsidP="000137AB">
      <w:pPr>
        <w:spacing w:line="360" w:lineRule="auto"/>
        <w:jc w:val="both"/>
        <w:rPr>
          <w:sz w:val="20"/>
          <w:szCs w:val="20"/>
        </w:rPr>
      </w:pPr>
    </w:p>
    <w:p w:rsidR="00696517" w:rsidRPr="000137AB" w:rsidRDefault="00696517" w:rsidP="000137AB">
      <w:pPr>
        <w:spacing w:line="360" w:lineRule="auto"/>
        <w:jc w:val="both"/>
        <w:rPr>
          <w:sz w:val="20"/>
          <w:szCs w:val="20"/>
        </w:rPr>
      </w:pPr>
      <w:r w:rsidRPr="000137AB">
        <w:rPr>
          <w:sz w:val="20"/>
          <w:szCs w:val="20"/>
        </w:rPr>
        <w:t xml:space="preserve">Anaemia was present in 21.7% of the study subjects and was absent in 78.3% of the study subjects. </w:t>
      </w:r>
    </w:p>
    <w:p w:rsidR="00696517" w:rsidRPr="000137AB" w:rsidRDefault="00696517" w:rsidP="000137AB">
      <w:pPr>
        <w:autoSpaceDE w:val="0"/>
        <w:autoSpaceDN w:val="0"/>
        <w:adjustRightInd w:val="0"/>
        <w:spacing w:line="360" w:lineRule="auto"/>
        <w:jc w:val="both"/>
        <w:rPr>
          <w:sz w:val="20"/>
          <w:szCs w:val="20"/>
        </w:rPr>
      </w:pPr>
      <w:r w:rsidRPr="000137AB">
        <w:rPr>
          <w:sz w:val="20"/>
          <w:szCs w:val="20"/>
        </w:rPr>
        <w:t xml:space="preserve">Table 4: distribution of the subjects based on type of </w:t>
      </w:r>
      <w:proofErr w:type="spellStart"/>
      <w:r w:rsidRPr="000137AB">
        <w:rPr>
          <w:sz w:val="20"/>
          <w:szCs w:val="20"/>
        </w:rPr>
        <w:t>anemia</w:t>
      </w:r>
      <w:proofErr w:type="spellEnd"/>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118"/>
        <w:gridCol w:w="2552"/>
      </w:tblGrid>
      <w:tr w:rsidR="00696517" w:rsidRPr="000137AB" w:rsidTr="00F86F66">
        <w:trPr>
          <w:cantSplit/>
          <w:trHeight w:val="382"/>
        </w:trPr>
        <w:tc>
          <w:tcPr>
            <w:tcW w:w="3691" w:type="dxa"/>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
        </w:tc>
        <w:tc>
          <w:tcPr>
            <w:tcW w:w="3118" w:type="dxa"/>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Frequency</w:t>
            </w:r>
          </w:p>
        </w:tc>
        <w:tc>
          <w:tcPr>
            <w:tcW w:w="2552" w:type="dxa"/>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color w:val="000000"/>
                <w:sz w:val="20"/>
                <w:szCs w:val="20"/>
              </w:rPr>
              <w:t>Percent</w:t>
            </w:r>
            <w:proofErr w:type="spellEnd"/>
          </w:p>
        </w:tc>
      </w:tr>
      <w:tr w:rsidR="00696517" w:rsidRPr="000137AB" w:rsidTr="00F86F66">
        <w:trPr>
          <w:cantSplit/>
          <w:trHeight w:val="382"/>
        </w:trPr>
        <w:tc>
          <w:tcPr>
            <w:tcW w:w="3691"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sz w:val="20"/>
                <w:szCs w:val="20"/>
              </w:rPr>
              <w:t>Iron deficiency anaemia</w:t>
            </w:r>
          </w:p>
        </w:tc>
        <w:tc>
          <w:tcPr>
            <w:tcW w:w="31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29</w:t>
            </w:r>
          </w:p>
        </w:tc>
        <w:tc>
          <w:tcPr>
            <w:tcW w:w="255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12.6</w:t>
            </w:r>
          </w:p>
        </w:tc>
      </w:tr>
      <w:tr w:rsidR="00696517" w:rsidRPr="000137AB" w:rsidTr="00F86F66">
        <w:trPr>
          <w:cantSplit/>
          <w:trHeight w:val="382"/>
        </w:trPr>
        <w:tc>
          <w:tcPr>
            <w:tcW w:w="3691"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sz w:val="20"/>
                <w:szCs w:val="20"/>
              </w:rPr>
              <w:t>Vitamin B12 deficiency</w:t>
            </w:r>
          </w:p>
        </w:tc>
        <w:tc>
          <w:tcPr>
            <w:tcW w:w="31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6</w:t>
            </w:r>
          </w:p>
        </w:tc>
        <w:tc>
          <w:tcPr>
            <w:tcW w:w="255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2.6</w:t>
            </w:r>
          </w:p>
        </w:tc>
      </w:tr>
      <w:tr w:rsidR="00696517" w:rsidRPr="000137AB" w:rsidTr="00F86F66">
        <w:trPr>
          <w:cantSplit/>
          <w:trHeight w:val="382"/>
        </w:trPr>
        <w:tc>
          <w:tcPr>
            <w:tcW w:w="3691"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sz w:val="20"/>
                <w:szCs w:val="20"/>
              </w:rPr>
              <w:t>Anemia</w:t>
            </w:r>
            <w:proofErr w:type="spellEnd"/>
            <w:r w:rsidRPr="000137AB">
              <w:rPr>
                <w:sz w:val="20"/>
                <w:szCs w:val="20"/>
              </w:rPr>
              <w:t xml:space="preserve"> of chronic disease</w:t>
            </w:r>
          </w:p>
        </w:tc>
        <w:tc>
          <w:tcPr>
            <w:tcW w:w="31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13</w:t>
            </w:r>
          </w:p>
        </w:tc>
        <w:tc>
          <w:tcPr>
            <w:tcW w:w="255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5.7</w:t>
            </w:r>
          </w:p>
        </w:tc>
      </w:tr>
      <w:tr w:rsidR="00696517" w:rsidRPr="000137AB" w:rsidTr="00F86F66">
        <w:trPr>
          <w:cantSplit/>
          <w:trHeight w:val="382"/>
        </w:trPr>
        <w:tc>
          <w:tcPr>
            <w:tcW w:w="3691"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sz w:val="20"/>
                <w:szCs w:val="20"/>
              </w:rPr>
              <w:t xml:space="preserve">Iron and </w:t>
            </w:r>
            <w:proofErr w:type="spellStart"/>
            <w:r w:rsidRPr="000137AB">
              <w:rPr>
                <w:sz w:val="20"/>
                <w:szCs w:val="20"/>
              </w:rPr>
              <w:t>folate</w:t>
            </w:r>
            <w:proofErr w:type="spellEnd"/>
            <w:r w:rsidRPr="000137AB">
              <w:rPr>
                <w:sz w:val="20"/>
                <w:szCs w:val="20"/>
              </w:rPr>
              <w:t xml:space="preserve"> deficiency</w:t>
            </w:r>
          </w:p>
        </w:tc>
        <w:tc>
          <w:tcPr>
            <w:tcW w:w="31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w:t>
            </w:r>
          </w:p>
        </w:tc>
        <w:tc>
          <w:tcPr>
            <w:tcW w:w="255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.4</w:t>
            </w:r>
          </w:p>
        </w:tc>
      </w:tr>
      <w:tr w:rsidR="00696517" w:rsidRPr="000137AB" w:rsidTr="00F86F66">
        <w:trPr>
          <w:cantSplit/>
          <w:trHeight w:val="382"/>
        </w:trPr>
        <w:tc>
          <w:tcPr>
            <w:tcW w:w="3691"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sz w:val="20"/>
                <w:szCs w:val="20"/>
              </w:rPr>
              <w:t>Pancytopenia</w:t>
            </w:r>
          </w:p>
        </w:tc>
        <w:tc>
          <w:tcPr>
            <w:tcW w:w="31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w:t>
            </w:r>
          </w:p>
        </w:tc>
        <w:tc>
          <w:tcPr>
            <w:tcW w:w="255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.4</w:t>
            </w:r>
          </w:p>
        </w:tc>
      </w:tr>
      <w:tr w:rsidR="00696517" w:rsidRPr="000137AB" w:rsidTr="00F86F66">
        <w:trPr>
          <w:cantSplit/>
          <w:trHeight w:val="382"/>
        </w:trPr>
        <w:tc>
          <w:tcPr>
            <w:tcW w:w="3691"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Not anaemic</w:t>
            </w:r>
          </w:p>
        </w:tc>
        <w:tc>
          <w:tcPr>
            <w:tcW w:w="31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180</w:t>
            </w:r>
          </w:p>
        </w:tc>
        <w:tc>
          <w:tcPr>
            <w:tcW w:w="255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78.3</w:t>
            </w:r>
          </w:p>
        </w:tc>
      </w:tr>
      <w:tr w:rsidR="00696517" w:rsidRPr="000137AB" w:rsidTr="00F86F66">
        <w:trPr>
          <w:cantSplit/>
          <w:trHeight w:val="382"/>
        </w:trPr>
        <w:tc>
          <w:tcPr>
            <w:tcW w:w="3691"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Total</w:t>
            </w:r>
          </w:p>
        </w:tc>
        <w:tc>
          <w:tcPr>
            <w:tcW w:w="31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230</w:t>
            </w:r>
          </w:p>
        </w:tc>
        <w:tc>
          <w:tcPr>
            <w:tcW w:w="255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100.0</w:t>
            </w:r>
          </w:p>
        </w:tc>
      </w:tr>
    </w:tbl>
    <w:p w:rsidR="00696517" w:rsidRPr="000137AB" w:rsidRDefault="00696517" w:rsidP="000137AB">
      <w:pPr>
        <w:autoSpaceDE w:val="0"/>
        <w:autoSpaceDN w:val="0"/>
        <w:adjustRightInd w:val="0"/>
        <w:spacing w:line="360" w:lineRule="auto"/>
        <w:jc w:val="both"/>
        <w:rPr>
          <w:sz w:val="20"/>
          <w:szCs w:val="20"/>
        </w:rPr>
      </w:pPr>
      <w:r w:rsidRPr="000137AB">
        <w:rPr>
          <w:sz w:val="20"/>
          <w:szCs w:val="20"/>
        </w:rPr>
        <w:t>Table 5: cross-tabulation of duration of diabetes and status of anaemia</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4"/>
        <w:gridCol w:w="1654"/>
        <w:gridCol w:w="11"/>
        <w:gridCol w:w="1865"/>
        <w:gridCol w:w="2392"/>
        <w:gridCol w:w="1870"/>
      </w:tblGrid>
      <w:tr w:rsidR="00696517" w:rsidRPr="000137AB" w:rsidTr="00F86F66">
        <w:trPr>
          <w:cantSplit/>
          <w:trHeight w:val="442"/>
        </w:trPr>
        <w:tc>
          <w:tcPr>
            <w:tcW w:w="1564" w:type="dxa"/>
            <w:vMerge w:val="restart"/>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Duration of diabetes</w:t>
            </w:r>
          </w:p>
        </w:tc>
        <w:tc>
          <w:tcPr>
            <w:tcW w:w="1665" w:type="dxa"/>
            <w:gridSpan w:val="2"/>
            <w:vMerge w:val="restart"/>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
        </w:tc>
        <w:tc>
          <w:tcPr>
            <w:tcW w:w="4257" w:type="dxa"/>
            <w:gridSpan w:val="2"/>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Anaemic</w:t>
            </w:r>
          </w:p>
        </w:tc>
        <w:tc>
          <w:tcPr>
            <w:tcW w:w="1870" w:type="dxa"/>
            <w:vMerge w:val="restart"/>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Total</w:t>
            </w:r>
          </w:p>
        </w:tc>
      </w:tr>
      <w:tr w:rsidR="00696517" w:rsidRPr="000137AB" w:rsidTr="00F86F66">
        <w:trPr>
          <w:cantSplit/>
          <w:trHeight w:val="442"/>
        </w:trPr>
        <w:tc>
          <w:tcPr>
            <w:tcW w:w="1564" w:type="dxa"/>
            <w:vMerge/>
            <w:shd w:val="clear" w:color="auto" w:fill="FFFFFF"/>
            <w:vAlign w:val="center"/>
          </w:tcPr>
          <w:p w:rsidR="00696517" w:rsidRPr="000137AB" w:rsidRDefault="00696517" w:rsidP="000137AB">
            <w:pPr>
              <w:autoSpaceDE w:val="0"/>
              <w:autoSpaceDN w:val="0"/>
              <w:adjustRightInd w:val="0"/>
              <w:spacing w:line="360" w:lineRule="auto"/>
              <w:jc w:val="both"/>
              <w:rPr>
                <w:color w:val="000000"/>
                <w:sz w:val="20"/>
                <w:szCs w:val="20"/>
              </w:rPr>
            </w:pPr>
          </w:p>
        </w:tc>
        <w:tc>
          <w:tcPr>
            <w:tcW w:w="1665" w:type="dxa"/>
            <w:gridSpan w:val="2"/>
            <w:vMerge/>
            <w:shd w:val="clear" w:color="auto" w:fill="FFFFFF"/>
            <w:vAlign w:val="center"/>
          </w:tcPr>
          <w:p w:rsidR="00696517" w:rsidRPr="000137AB" w:rsidRDefault="00696517" w:rsidP="000137AB">
            <w:pPr>
              <w:autoSpaceDE w:val="0"/>
              <w:autoSpaceDN w:val="0"/>
              <w:adjustRightInd w:val="0"/>
              <w:spacing w:line="360" w:lineRule="auto"/>
              <w:jc w:val="both"/>
              <w:rPr>
                <w:color w:val="000000"/>
                <w:sz w:val="20"/>
                <w:szCs w:val="20"/>
              </w:rPr>
            </w:pPr>
          </w:p>
        </w:tc>
        <w:tc>
          <w:tcPr>
            <w:tcW w:w="1865" w:type="dxa"/>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No</w:t>
            </w:r>
          </w:p>
        </w:tc>
        <w:tc>
          <w:tcPr>
            <w:tcW w:w="2392" w:type="dxa"/>
            <w:shd w:val="clear" w:color="auto" w:fill="B6DDE8" w:themeFill="accent5" w:themeFillTint="66"/>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Yes</w:t>
            </w:r>
          </w:p>
        </w:tc>
        <w:tc>
          <w:tcPr>
            <w:tcW w:w="1870" w:type="dxa"/>
            <w:vMerge/>
            <w:shd w:val="clear" w:color="auto" w:fill="FFFFFF"/>
            <w:vAlign w:val="center"/>
          </w:tcPr>
          <w:p w:rsidR="00696517" w:rsidRPr="000137AB" w:rsidRDefault="00696517" w:rsidP="000137AB">
            <w:pPr>
              <w:autoSpaceDE w:val="0"/>
              <w:autoSpaceDN w:val="0"/>
              <w:adjustRightInd w:val="0"/>
              <w:spacing w:line="360" w:lineRule="auto"/>
              <w:jc w:val="both"/>
              <w:rPr>
                <w:color w:val="000000"/>
                <w:sz w:val="20"/>
                <w:szCs w:val="20"/>
              </w:rPr>
            </w:pPr>
          </w:p>
        </w:tc>
      </w:tr>
      <w:tr w:rsidR="00696517" w:rsidRPr="000137AB" w:rsidTr="00F86F66">
        <w:trPr>
          <w:cantSplit/>
          <w:trHeight w:val="442"/>
        </w:trPr>
        <w:tc>
          <w:tcPr>
            <w:tcW w:w="1564" w:type="dxa"/>
            <w:vMerge w:val="restart"/>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 xml:space="preserve">1 to 5 </w:t>
            </w:r>
            <w:proofErr w:type="spellStart"/>
            <w:r w:rsidRPr="000137AB">
              <w:rPr>
                <w:color w:val="000000"/>
                <w:sz w:val="20"/>
                <w:szCs w:val="20"/>
              </w:rPr>
              <w:t>yrs</w:t>
            </w:r>
            <w:proofErr w:type="spellEnd"/>
          </w:p>
        </w:tc>
        <w:tc>
          <w:tcPr>
            <w:tcW w:w="1654"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Count</w:t>
            </w:r>
          </w:p>
        </w:tc>
        <w:tc>
          <w:tcPr>
            <w:tcW w:w="1876" w:type="dxa"/>
            <w:gridSpan w:val="2"/>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66</w:t>
            </w:r>
          </w:p>
        </w:tc>
        <w:tc>
          <w:tcPr>
            <w:tcW w:w="239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22</w:t>
            </w:r>
          </w:p>
        </w:tc>
        <w:tc>
          <w:tcPr>
            <w:tcW w:w="1870"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88</w:t>
            </w:r>
          </w:p>
        </w:tc>
      </w:tr>
      <w:tr w:rsidR="00696517" w:rsidRPr="000137AB" w:rsidTr="00F86F66">
        <w:trPr>
          <w:cantSplit/>
          <w:trHeight w:val="442"/>
        </w:trPr>
        <w:tc>
          <w:tcPr>
            <w:tcW w:w="1564" w:type="dxa"/>
            <w:vMerge/>
            <w:shd w:val="clear" w:color="auto" w:fill="FFFFFF"/>
            <w:vAlign w:val="center"/>
          </w:tcPr>
          <w:p w:rsidR="00696517" w:rsidRPr="000137AB" w:rsidRDefault="00696517" w:rsidP="000137AB">
            <w:pPr>
              <w:autoSpaceDE w:val="0"/>
              <w:autoSpaceDN w:val="0"/>
              <w:adjustRightInd w:val="0"/>
              <w:spacing w:line="360" w:lineRule="auto"/>
              <w:jc w:val="both"/>
              <w:rPr>
                <w:color w:val="000000"/>
                <w:sz w:val="20"/>
                <w:szCs w:val="20"/>
              </w:rPr>
            </w:pPr>
          </w:p>
        </w:tc>
        <w:tc>
          <w:tcPr>
            <w:tcW w:w="1654"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color w:val="000000"/>
                <w:sz w:val="20"/>
                <w:szCs w:val="20"/>
              </w:rPr>
              <w:t>Percent</w:t>
            </w:r>
            <w:proofErr w:type="spellEnd"/>
          </w:p>
        </w:tc>
        <w:tc>
          <w:tcPr>
            <w:tcW w:w="1876" w:type="dxa"/>
            <w:gridSpan w:val="2"/>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36.7%</w:t>
            </w:r>
          </w:p>
        </w:tc>
        <w:tc>
          <w:tcPr>
            <w:tcW w:w="239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44.0%</w:t>
            </w:r>
          </w:p>
        </w:tc>
        <w:tc>
          <w:tcPr>
            <w:tcW w:w="1870"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38.3%</w:t>
            </w:r>
          </w:p>
        </w:tc>
      </w:tr>
      <w:tr w:rsidR="00696517" w:rsidRPr="000137AB" w:rsidTr="00F86F66">
        <w:trPr>
          <w:cantSplit/>
          <w:trHeight w:val="442"/>
        </w:trPr>
        <w:tc>
          <w:tcPr>
            <w:tcW w:w="1564" w:type="dxa"/>
            <w:vMerge w:val="restart"/>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 xml:space="preserve">11 to 15 </w:t>
            </w:r>
            <w:proofErr w:type="spellStart"/>
            <w:r w:rsidRPr="000137AB">
              <w:rPr>
                <w:color w:val="000000"/>
                <w:sz w:val="20"/>
                <w:szCs w:val="20"/>
              </w:rPr>
              <w:t>yrs</w:t>
            </w:r>
            <w:proofErr w:type="spellEnd"/>
          </w:p>
        </w:tc>
        <w:tc>
          <w:tcPr>
            <w:tcW w:w="1654"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Count</w:t>
            </w:r>
          </w:p>
        </w:tc>
        <w:tc>
          <w:tcPr>
            <w:tcW w:w="1876" w:type="dxa"/>
            <w:gridSpan w:val="2"/>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20</w:t>
            </w:r>
          </w:p>
        </w:tc>
        <w:tc>
          <w:tcPr>
            <w:tcW w:w="239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5</w:t>
            </w:r>
          </w:p>
        </w:tc>
        <w:tc>
          <w:tcPr>
            <w:tcW w:w="1870"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25</w:t>
            </w:r>
          </w:p>
        </w:tc>
      </w:tr>
      <w:tr w:rsidR="00696517" w:rsidRPr="000137AB" w:rsidTr="00F86F66">
        <w:trPr>
          <w:cantSplit/>
          <w:trHeight w:val="442"/>
        </w:trPr>
        <w:tc>
          <w:tcPr>
            <w:tcW w:w="1564" w:type="dxa"/>
            <w:vMerge/>
            <w:shd w:val="clear" w:color="auto" w:fill="FFFFFF"/>
            <w:vAlign w:val="center"/>
          </w:tcPr>
          <w:p w:rsidR="00696517" w:rsidRPr="000137AB" w:rsidRDefault="00696517" w:rsidP="000137AB">
            <w:pPr>
              <w:autoSpaceDE w:val="0"/>
              <w:autoSpaceDN w:val="0"/>
              <w:adjustRightInd w:val="0"/>
              <w:spacing w:line="360" w:lineRule="auto"/>
              <w:jc w:val="both"/>
              <w:rPr>
                <w:color w:val="000000"/>
                <w:sz w:val="20"/>
                <w:szCs w:val="20"/>
              </w:rPr>
            </w:pPr>
          </w:p>
        </w:tc>
        <w:tc>
          <w:tcPr>
            <w:tcW w:w="1654"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color w:val="000000"/>
                <w:sz w:val="20"/>
                <w:szCs w:val="20"/>
              </w:rPr>
              <w:t>Percent</w:t>
            </w:r>
            <w:proofErr w:type="spellEnd"/>
          </w:p>
        </w:tc>
        <w:tc>
          <w:tcPr>
            <w:tcW w:w="1876" w:type="dxa"/>
            <w:gridSpan w:val="2"/>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11.1%</w:t>
            </w:r>
          </w:p>
        </w:tc>
        <w:tc>
          <w:tcPr>
            <w:tcW w:w="239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10.0%</w:t>
            </w:r>
          </w:p>
        </w:tc>
        <w:tc>
          <w:tcPr>
            <w:tcW w:w="1870"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10.9%</w:t>
            </w:r>
          </w:p>
        </w:tc>
      </w:tr>
      <w:tr w:rsidR="00696517" w:rsidRPr="000137AB" w:rsidTr="00F86F66">
        <w:trPr>
          <w:cantSplit/>
          <w:trHeight w:val="442"/>
        </w:trPr>
        <w:tc>
          <w:tcPr>
            <w:tcW w:w="1564" w:type="dxa"/>
            <w:vMerge w:val="restart"/>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 xml:space="preserve">6 to 10 </w:t>
            </w:r>
            <w:proofErr w:type="spellStart"/>
            <w:r w:rsidRPr="000137AB">
              <w:rPr>
                <w:color w:val="000000"/>
                <w:sz w:val="20"/>
                <w:szCs w:val="20"/>
              </w:rPr>
              <w:t>yrs</w:t>
            </w:r>
            <w:proofErr w:type="spellEnd"/>
          </w:p>
        </w:tc>
        <w:tc>
          <w:tcPr>
            <w:tcW w:w="1654"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Count</w:t>
            </w:r>
          </w:p>
        </w:tc>
        <w:tc>
          <w:tcPr>
            <w:tcW w:w="1876" w:type="dxa"/>
            <w:gridSpan w:val="2"/>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40</w:t>
            </w:r>
          </w:p>
        </w:tc>
        <w:tc>
          <w:tcPr>
            <w:tcW w:w="239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12</w:t>
            </w:r>
          </w:p>
        </w:tc>
        <w:tc>
          <w:tcPr>
            <w:tcW w:w="1870"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52</w:t>
            </w:r>
          </w:p>
        </w:tc>
      </w:tr>
      <w:tr w:rsidR="00696517" w:rsidRPr="000137AB" w:rsidTr="00F86F66">
        <w:trPr>
          <w:cantSplit/>
          <w:trHeight w:val="442"/>
        </w:trPr>
        <w:tc>
          <w:tcPr>
            <w:tcW w:w="1564" w:type="dxa"/>
            <w:vMerge/>
            <w:shd w:val="clear" w:color="auto" w:fill="FFFFFF"/>
            <w:vAlign w:val="center"/>
          </w:tcPr>
          <w:p w:rsidR="00696517" w:rsidRPr="000137AB" w:rsidRDefault="00696517" w:rsidP="000137AB">
            <w:pPr>
              <w:autoSpaceDE w:val="0"/>
              <w:autoSpaceDN w:val="0"/>
              <w:adjustRightInd w:val="0"/>
              <w:spacing w:line="360" w:lineRule="auto"/>
              <w:jc w:val="both"/>
              <w:rPr>
                <w:color w:val="000000"/>
                <w:sz w:val="20"/>
                <w:szCs w:val="20"/>
              </w:rPr>
            </w:pPr>
          </w:p>
        </w:tc>
        <w:tc>
          <w:tcPr>
            <w:tcW w:w="1654"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color w:val="000000"/>
                <w:sz w:val="20"/>
                <w:szCs w:val="20"/>
              </w:rPr>
              <w:t>Percent</w:t>
            </w:r>
            <w:proofErr w:type="spellEnd"/>
          </w:p>
        </w:tc>
        <w:tc>
          <w:tcPr>
            <w:tcW w:w="1876" w:type="dxa"/>
            <w:gridSpan w:val="2"/>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22.2%</w:t>
            </w:r>
          </w:p>
        </w:tc>
        <w:tc>
          <w:tcPr>
            <w:tcW w:w="239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24.0%</w:t>
            </w:r>
          </w:p>
        </w:tc>
        <w:tc>
          <w:tcPr>
            <w:tcW w:w="1870"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22.6%</w:t>
            </w:r>
          </w:p>
        </w:tc>
      </w:tr>
      <w:tr w:rsidR="00696517" w:rsidRPr="000137AB" w:rsidTr="00F86F66">
        <w:trPr>
          <w:cantSplit/>
          <w:trHeight w:val="442"/>
        </w:trPr>
        <w:tc>
          <w:tcPr>
            <w:tcW w:w="1564" w:type="dxa"/>
            <w:vMerge w:val="restart"/>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 xml:space="preserve">Above 15 </w:t>
            </w:r>
            <w:proofErr w:type="spellStart"/>
            <w:r w:rsidRPr="000137AB">
              <w:rPr>
                <w:color w:val="000000"/>
                <w:sz w:val="20"/>
                <w:szCs w:val="20"/>
              </w:rPr>
              <w:t>yrs</w:t>
            </w:r>
            <w:proofErr w:type="spellEnd"/>
          </w:p>
        </w:tc>
        <w:tc>
          <w:tcPr>
            <w:tcW w:w="1654"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Count</w:t>
            </w:r>
          </w:p>
        </w:tc>
        <w:tc>
          <w:tcPr>
            <w:tcW w:w="1876" w:type="dxa"/>
            <w:gridSpan w:val="2"/>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7</w:t>
            </w:r>
          </w:p>
        </w:tc>
        <w:tc>
          <w:tcPr>
            <w:tcW w:w="239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w:t>
            </w:r>
          </w:p>
        </w:tc>
        <w:tc>
          <w:tcPr>
            <w:tcW w:w="1870"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9</w:t>
            </w:r>
          </w:p>
        </w:tc>
      </w:tr>
      <w:tr w:rsidR="00696517" w:rsidRPr="000137AB" w:rsidTr="00F86F66">
        <w:trPr>
          <w:cantSplit/>
          <w:trHeight w:val="442"/>
        </w:trPr>
        <w:tc>
          <w:tcPr>
            <w:tcW w:w="1564" w:type="dxa"/>
            <w:vMerge/>
            <w:shd w:val="clear" w:color="auto" w:fill="FFFFFF"/>
            <w:vAlign w:val="center"/>
          </w:tcPr>
          <w:p w:rsidR="00696517" w:rsidRPr="000137AB" w:rsidRDefault="00696517" w:rsidP="000137AB">
            <w:pPr>
              <w:autoSpaceDE w:val="0"/>
              <w:autoSpaceDN w:val="0"/>
              <w:adjustRightInd w:val="0"/>
              <w:spacing w:line="360" w:lineRule="auto"/>
              <w:jc w:val="both"/>
              <w:rPr>
                <w:color w:val="000000"/>
                <w:sz w:val="20"/>
                <w:szCs w:val="20"/>
              </w:rPr>
            </w:pPr>
          </w:p>
        </w:tc>
        <w:tc>
          <w:tcPr>
            <w:tcW w:w="1654"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color w:val="000000"/>
                <w:sz w:val="20"/>
                <w:szCs w:val="20"/>
              </w:rPr>
              <w:t>Percent</w:t>
            </w:r>
            <w:proofErr w:type="spellEnd"/>
          </w:p>
        </w:tc>
        <w:tc>
          <w:tcPr>
            <w:tcW w:w="1876" w:type="dxa"/>
            <w:gridSpan w:val="2"/>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3.9%</w:t>
            </w:r>
          </w:p>
        </w:tc>
        <w:tc>
          <w:tcPr>
            <w:tcW w:w="239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4.0%</w:t>
            </w:r>
          </w:p>
        </w:tc>
        <w:tc>
          <w:tcPr>
            <w:tcW w:w="1870"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3.9%</w:t>
            </w:r>
          </w:p>
        </w:tc>
      </w:tr>
      <w:tr w:rsidR="00696517" w:rsidRPr="000137AB" w:rsidTr="00F86F66">
        <w:trPr>
          <w:cantSplit/>
          <w:trHeight w:val="442"/>
        </w:trPr>
        <w:tc>
          <w:tcPr>
            <w:tcW w:w="1564" w:type="dxa"/>
            <w:vMerge w:val="restart"/>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 xml:space="preserve">Less than 1 </w:t>
            </w:r>
            <w:proofErr w:type="spellStart"/>
            <w:r w:rsidRPr="000137AB">
              <w:rPr>
                <w:color w:val="000000"/>
                <w:sz w:val="20"/>
                <w:szCs w:val="20"/>
              </w:rPr>
              <w:t>yr</w:t>
            </w:r>
            <w:proofErr w:type="spellEnd"/>
          </w:p>
        </w:tc>
        <w:tc>
          <w:tcPr>
            <w:tcW w:w="1654"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Count</w:t>
            </w:r>
          </w:p>
        </w:tc>
        <w:tc>
          <w:tcPr>
            <w:tcW w:w="1876" w:type="dxa"/>
            <w:gridSpan w:val="2"/>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47</w:t>
            </w:r>
          </w:p>
        </w:tc>
        <w:tc>
          <w:tcPr>
            <w:tcW w:w="239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9</w:t>
            </w:r>
          </w:p>
        </w:tc>
        <w:tc>
          <w:tcPr>
            <w:tcW w:w="1870"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56</w:t>
            </w:r>
          </w:p>
        </w:tc>
      </w:tr>
      <w:tr w:rsidR="00696517" w:rsidRPr="000137AB" w:rsidTr="00F86F66">
        <w:trPr>
          <w:cantSplit/>
          <w:trHeight w:val="442"/>
        </w:trPr>
        <w:tc>
          <w:tcPr>
            <w:tcW w:w="1564" w:type="dxa"/>
            <w:vMerge/>
            <w:shd w:val="clear" w:color="auto" w:fill="FFFFFF"/>
            <w:vAlign w:val="center"/>
          </w:tcPr>
          <w:p w:rsidR="00696517" w:rsidRPr="000137AB" w:rsidRDefault="00696517" w:rsidP="000137AB">
            <w:pPr>
              <w:autoSpaceDE w:val="0"/>
              <w:autoSpaceDN w:val="0"/>
              <w:adjustRightInd w:val="0"/>
              <w:spacing w:line="360" w:lineRule="auto"/>
              <w:jc w:val="both"/>
              <w:rPr>
                <w:color w:val="000000"/>
                <w:sz w:val="20"/>
                <w:szCs w:val="20"/>
              </w:rPr>
            </w:pPr>
          </w:p>
        </w:tc>
        <w:tc>
          <w:tcPr>
            <w:tcW w:w="1654"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color w:val="000000"/>
                <w:sz w:val="20"/>
                <w:szCs w:val="20"/>
              </w:rPr>
              <w:t>Percent</w:t>
            </w:r>
            <w:proofErr w:type="spellEnd"/>
          </w:p>
        </w:tc>
        <w:tc>
          <w:tcPr>
            <w:tcW w:w="1876" w:type="dxa"/>
            <w:gridSpan w:val="2"/>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26.1%</w:t>
            </w:r>
          </w:p>
        </w:tc>
        <w:tc>
          <w:tcPr>
            <w:tcW w:w="239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18.0%</w:t>
            </w:r>
          </w:p>
        </w:tc>
        <w:tc>
          <w:tcPr>
            <w:tcW w:w="1870"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24.3%</w:t>
            </w:r>
          </w:p>
        </w:tc>
      </w:tr>
      <w:tr w:rsidR="00696517" w:rsidRPr="000137AB" w:rsidTr="00F86F66">
        <w:trPr>
          <w:cantSplit/>
          <w:trHeight w:val="442"/>
        </w:trPr>
        <w:tc>
          <w:tcPr>
            <w:tcW w:w="1564" w:type="dxa"/>
            <w:vMerge w:val="restart"/>
            <w:shd w:val="clear" w:color="auto" w:fill="FFFFFF"/>
            <w:vAlign w:val="center"/>
          </w:tcPr>
          <w:p w:rsidR="00696517" w:rsidRPr="000137AB" w:rsidRDefault="00696517" w:rsidP="000137AB">
            <w:pPr>
              <w:autoSpaceDE w:val="0"/>
              <w:autoSpaceDN w:val="0"/>
              <w:adjustRightInd w:val="0"/>
              <w:spacing w:line="360" w:lineRule="auto"/>
              <w:jc w:val="both"/>
              <w:rPr>
                <w:color w:val="000000"/>
                <w:sz w:val="20"/>
                <w:szCs w:val="20"/>
              </w:rPr>
            </w:pPr>
            <w:r w:rsidRPr="000137AB">
              <w:rPr>
                <w:color w:val="000000"/>
                <w:sz w:val="20"/>
                <w:szCs w:val="20"/>
              </w:rPr>
              <w:t>Total</w:t>
            </w:r>
          </w:p>
        </w:tc>
        <w:tc>
          <w:tcPr>
            <w:tcW w:w="1654"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Count</w:t>
            </w:r>
          </w:p>
        </w:tc>
        <w:tc>
          <w:tcPr>
            <w:tcW w:w="1876" w:type="dxa"/>
            <w:gridSpan w:val="2"/>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180</w:t>
            </w:r>
          </w:p>
        </w:tc>
        <w:tc>
          <w:tcPr>
            <w:tcW w:w="239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50</w:t>
            </w:r>
          </w:p>
        </w:tc>
        <w:tc>
          <w:tcPr>
            <w:tcW w:w="1870"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230</w:t>
            </w:r>
          </w:p>
        </w:tc>
      </w:tr>
      <w:tr w:rsidR="00696517" w:rsidRPr="000137AB" w:rsidTr="00F86F66">
        <w:trPr>
          <w:cantSplit/>
          <w:trHeight w:val="442"/>
        </w:trPr>
        <w:tc>
          <w:tcPr>
            <w:tcW w:w="1564" w:type="dxa"/>
            <w:vMerge/>
            <w:shd w:val="clear" w:color="auto" w:fill="FFFFFF"/>
            <w:vAlign w:val="center"/>
          </w:tcPr>
          <w:p w:rsidR="00696517" w:rsidRPr="000137AB" w:rsidRDefault="00696517" w:rsidP="000137AB">
            <w:pPr>
              <w:autoSpaceDE w:val="0"/>
              <w:autoSpaceDN w:val="0"/>
              <w:adjustRightInd w:val="0"/>
              <w:spacing w:line="360" w:lineRule="auto"/>
              <w:jc w:val="both"/>
              <w:rPr>
                <w:color w:val="000000"/>
                <w:sz w:val="20"/>
                <w:szCs w:val="20"/>
              </w:rPr>
            </w:pPr>
          </w:p>
        </w:tc>
        <w:tc>
          <w:tcPr>
            <w:tcW w:w="1654"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color w:val="000000"/>
                <w:sz w:val="20"/>
                <w:szCs w:val="20"/>
              </w:rPr>
              <w:t>Percent</w:t>
            </w:r>
            <w:proofErr w:type="spellEnd"/>
          </w:p>
        </w:tc>
        <w:tc>
          <w:tcPr>
            <w:tcW w:w="1876" w:type="dxa"/>
            <w:gridSpan w:val="2"/>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100.0%</w:t>
            </w:r>
          </w:p>
        </w:tc>
        <w:tc>
          <w:tcPr>
            <w:tcW w:w="2392"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100.0%</w:t>
            </w:r>
          </w:p>
        </w:tc>
        <w:tc>
          <w:tcPr>
            <w:tcW w:w="1870"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100.0%</w:t>
            </w:r>
          </w:p>
        </w:tc>
      </w:tr>
      <w:tr w:rsidR="00696517" w:rsidRPr="000137AB" w:rsidTr="00F86F66">
        <w:trPr>
          <w:cantSplit/>
          <w:trHeight w:val="442"/>
        </w:trPr>
        <w:tc>
          <w:tcPr>
            <w:tcW w:w="9356" w:type="dxa"/>
            <w:gridSpan w:val="6"/>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lastRenderedPageBreak/>
              <w:t>Chi-square value- 1.70</w:t>
            </w:r>
          </w:p>
        </w:tc>
      </w:tr>
      <w:tr w:rsidR="00696517" w:rsidRPr="000137AB" w:rsidTr="00F86F66">
        <w:trPr>
          <w:cantSplit/>
          <w:trHeight w:val="442"/>
        </w:trPr>
        <w:tc>
          <w:tcPr>
            <w:tcW w:w="9356" w:type="dxa"/>
            <w:gridSpan w:val="6"/>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P value- 0.78</w:t>
            </w:r>
          </w:p>
        </w:tc>
      </w:tr>
    </w:tbl>
    <w:p w:rsidR="00696517" w:rsidRPr="000137AB" w:rsidRDefault="00696517" w:rsidP="000137AB">
      <w:pPr>
        <w:autoSpaceDE w:val="0"/>
        <w:autoSpaceDN w:val="0"/>
        <w:adjustRightInd w:val="0"/>
        <w:spacing w:line="360" w:lineRule="auto"/>
        <w:jc w:val="both"/>
        <w:rPr>
          <w:sz w:val="20"/>
          <w:szCs w:val="20"/>
        </w:rPr>
      </w:pPr>
    </w:p>
    <w:p w:rsidR="00696517" w:rsidRPr="000137AB" w:rsidRDefault="00696517" w:rsidP="000137AB">
      <w:pPr>
        <w:autoSpaceDE w:val="0"/>
        <w:autoSpaceDN w:val="0"/>
        <w:adjustRightInd w:val="0"/>
        <w:spacing w:line="360" w:lineRule="auto"/>
        <w:jc w:val="both"/>
        <w:rPr>
          <w:sz w:val="20"/>
          <w:szCs w:val="20"/>
        </w:rPr>
      </w:pPr>
      <w:r w:rsidRPr="000137AB">
        <w:rPr>
          <w:sz w:val="20"/>
          <w:szCs w:val="20"/>
        </w:rPr>
        <w:t>T</w:t>
      </w:r>
      <w:r w:rsidR="003217D8" w:rsidRPr="000137AB">
        <w:rPr>
          <w:sz w:val="20"/>
          <w:szCs w:val="20"/>
        </w:rPr>
        <w:t>able</w:t>
      </w:r>
      <w:r w:rsidRPr="000137AB">
        <w:rPr>
          <w:sz w:val="20"/>
          <w:szCs w:val="20"/>
        </w:rPr>
        <w:t xml:space="preserve"> 6: </w:t>
      </w:r>
      <w:proofErr w:type="spellStart"/>
      <w:proofErr w:type="gramStart"/>
      <w:r w:rsidR="003217D8" w:rsidRPr="000137AB">
        <w:rPr>
          <w:sz w:val="20"/>
          <w:szCs w:val="20"/>
        </w:rPr>
        <w:t>pearson’s</w:t>
      </w:r>
      <w:proofErr w:type="spellEnd"/>
      <w:proofErr w:type="gramEnd"/>
      <w:r w:rsidR="003217D8" w:rsidRPr="000137AB">
        <w:rPr>
          <w:sz w:val="20"/>
          <w:szCs w:val="20"/>
        </w:rPr>
        <w:t xml:space="preserve"> correlation between duration of diabetes, </w:t>
      </w:r>
      <w:proofErr w:type="spellStart"/>
      <w:r w:rsidR="003217D8" w:rsidRPr="000137AB">
        <w:rPr>
          <w:sz w:val="20"/>
          <w:szCs w:val="20"/>
        </w:rPr>
        <w:t>hb</w:t>
      </w:r>
      <w:proofErr w:type="spellEnd"/>
      <w:r w:rsidR="003217D8" w:rsidRPr="000137AB">
        <w:rPr>
          <w:sz w:val="20"/>
          <w:szCs w:val="20"/>
        </w:rPr>
        <w:t xml:space="preserve">, hba1c classified by </w:t>
      </w:r>
      <w:proofErr w:type="spellStart"/>
      <w:r w:rsidR="003217D8" w:rsidRPr="000137AB">
        <w:rPr>
          <w:sz w:val="20"/>
          <w:szCs w:val="20"/>
        </w:rPr>
        <w:t>anemic</w:t>
      </w:r>
      <w:proofErr w:type="spellEnd"/>
      <w:r w:rsidR="003217D8" w:rsidRPr="000137AB">
        <w:rPr>
          <w:sz w:val="20"/>
          <w:szCs w:val="20"/>
        </w:rPr>
        <w:t xml:space="preserve"> status</w:t>
      </w:r>
    </w:p>
    <w:tbl>
      <w:tblPr>
        <w:tblStyle w:val="TableGrid"/>
        <w:tblW w:w="5000" w:type="pct"/>
        <w:tblLook w:val="04A0" w:firstRow="1" w:lastRow="0" w:firstColumn="1" w:lastColumn="0" w:noHBand="0" w:noVBand="1"/>
      </w:tblPr>
      <w:tblGrid>
        <w:gridCol w:w="4470"/>
        <w:gridCol w:w="1176"/>
        <w:gridCol w:w="1211"/>
        <w:gridCol w:w="1176"/>
        <w:gridCol w:w="1209"/>
      </w:tblGrid>
      <w:tr w:rsidR="00696517" w:rsidRPr="000137AB" w:rsidTr="00F86F66">
        <w:trPr>
          <w:trHeight w:val="593"/>
        </w:trPr>
        <w:tc>
          <w:tcPr>
            <w:tcW w:w="2419" w:type="pct"/>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p>
        </w:tc>
        <w:tc>
          <w:tcPr>
            <w:tcW w:w="1291" w:type="pct"/>
            <w:gridSpan w:val="2"/>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No</w:t>
            </w:r>
          </w:p>
        </w:tc>
        <w:tc>
          <w:tcPr>
            <w:tcW w:w="1291" w:type="pct"/>
            <w:gridSpan w:val="2"/>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Yes</w:t>
            </w:r>
          </w:p>
        </w:tc>
      </w:tr>
      <w:tr w:rsidR="00696517" w:rsidRPr="000137AB" w:rsidTr="00F86F66">
        <w:trPr>
          <w:trHeight w:val="593"/>
        </w:trPr>
        <w:tc>
          <w:tcPr>
            <w:tcW w:w="2419" w:type="pct"/>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p>
        </w:tc>
        <w:tc>
          <w:tcPr>
            <w:tcW w:w="636" w:type="pct"/>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R value</w:t>
            </w:r>
          </w:p>
        </w:tc>
        <w:tc>
          <w:tcPr>
            <w:tcW w:w="654" w:type="pct"/>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P value</w:t>
            </w:r>
          </w:p>
        </w:tc>
        <w:tc>
          <w:tcPr>
            <w:tcW w:w="636" w:type="pct"/>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R value</w:t>
            </w:r>
          </w:p>
        </w:tc>
        <w:tc>
          <w:tcPr>
            <w:tcW w:w="654" w:type="pct"/>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P value</w:t>
            </w:r>
          </w:p>
        </w:tc>
      </w:tr>
      <w:tr w:rsidR="00696517" w:rsidRPr="000137AB" w:rsidTr="00F86F66">
        <w:trPr>
          <w:trHeight w:val="593"/>
        </w:trPr>
        <w:tc>
          <w:tcPr>
            <w:tcW w:w="2419"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 xml:space="preserve">Duration of Diabetes v/s </w:t>
            </w:r>
            <w:proofErr w:type="spellStart"/>
            <w:r w:rsidRPr="000137AB">
              <w:rPr>
                <w:rFonts w:ascii="Times New Roman" w:hAnsi="Times New Roman" w:cs="Times New Roman"/>
                <w:sz w:val="20"/>
                <w:szCs w:val="20"/>
              </w:rPr>
              <w:t>Hb</w:t>
            </w:r>
            <w:proofErr w:type="spellEnd"/>
          </w:p>
        </w:tc>
        <w:tc>
          <w:tcPr>
            <w:tcW w:w="636"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0.044</w:t>
            </w:r>
          </w:p>
        </w:tc>
        <w:tc>
          <w:tcPr>
            <w:tcW w:w="654"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0.559</w:t>
            </w:r>
          </w:p>
        </w:tc>
        <w:tc>
          <w:tcPr>
            <w:tcW w:w="636"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-0.088</w:t>
            </w:r>
          </w:p>
        </w:tc>
        <w:tc>
          <w:tcPr>
            <w:tcW w:w="654"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0.54</w:t>
            </w:r>
          </w:p>
        </w:tc>
      </w:tr>
      <w:tr w:rsidR="00696517" w:rsidRPr="000137AB" w:rsidTr="00F86F66">
        <w:trPr>
          <w:trHeight w:val="643"/>
        </w:trPr>
        <w:tc>
          <w:tcPr>
            <w:tcW w:w="2419"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Duration of Diabetes v/s hba1c</w:t>
            </w:r>
          </w:p>
        </w:tc>
        <w:tc>
          <w:tcPr>
            <w:tcW w:w="636"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-0.049</w:t>
            </w:r>
          </w:p>
        </w:tc>
        <w:tc>
          <w:tcPr>
            <w:tcW w:w="654"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0.51</w:t>
            </w:r>
          </w:p>
        </w:tc>
        <w:tc>
          <w:tcPr>
            <w:tcW w:w="636"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-0.041</w:t>
            </w:r>
          </w:p>
        </w:tc>
        <w:tc>
          <w:tcPr>
            <w:tcW w:w="654"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0.776</w:t>
            </w:r>
          </w:p>
        </w:tc>
      </w:tr>
      <w:tr w:rsidR="00696517" w:rsidRPr="000137AB" w:rsidTr="00F86F66">
        <w:trPr>
          <w:trHeight w:val="643"/>
        </w:trPr>
        <w:tc>
          <w:tcPr>
            <w:tcW w:w="2419"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proofErr w:type="spellStart"/>
            <w:r w:rsidRPr="000137AB">
              <w:rPr>
                <w:rFonts w:ascii="Times New Roman" w:hAnsi="Times New Roman" w:cs="Times New Roman"/>
                <w:sz w:val="20"/>
                <w:szCs w:val="20"/>
              </w:rPr>
              <w:t>Hb</w:t>
            </w:r>
            <w:proofErr w:type="spellEnd"/>
            <w:r w:rsidRPr="000137AB">
              <w:rPr>
                <w:rFonts w:ascii="Times New Roman" w:hAnsi="Times New Roman" w:cs="Times New Roman"/>
                <w:sz w:val="20"/>
                <w:szCs w:val="20"/>
              </w:rPr>
              <w:t xml:space="preserve"> v/s hba1c</w:t>
            </w:r>
          </w:p>
        </w:tc>
        <w:tc>
          <w:tcPr>
            <w:tcW w:w="636"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0.001</w:t>
            </w:r>
          </w:p>
        </w:tc>
        <w:tc>
          <w:tcPr>
            <w:tcW w:w="654"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0.99</w:t>
            </w:r>
          </w:p>
        </w:tc>
        <w:tc>
          <w:tcPr>
            <w:tcW w:w="636"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-0.088</w:t>
            </w:r>
          </w:p>
        </w:tc>
        <w:tc>
          <w:tcPr>
            <w:tcW w:w="654"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0.54</w:t>
            </w:r>
          </w:p>
        </w:tc>
      </w:tr>
    </w:tbl>
    <w:p w:rsidR="00696517" w:rsidRPr="000137AB" w:rsidRDefault="00696517" w:rsidP="0044166B">
      <w:pPr>
        <w:autoSpaceDE w:val="0"/>
        <w:autoSpaceDN w:val="0"/>
        <w:adjustRightInd w:val="0"/>
        <w:spacing w:line="360" w:lineRule="auto"/>
        <w:jc w:val="both"/>
        <w:rPr>
          <w:sz w:val="20"/>
          <w:szCs w:val="20"/>
        </w:rPr>
      </w:pPr>
    </w:p>
    <w:p w:rsidR="00696517" w:rsidRPr="000137AB" w:rsidRDefault="00696517" w:rsidP="000137AB">
      <w:pPr>
        <w:autoSpaceDE w:val="0"/>
        <w:autoSpaceDN w:val="0"/>
        <w:adjustRightInd w:val="0"/>
        <w:spacing w:line="360" w:lineRule="auto"/>
        <w:jc w:val="both"/>
        <w:rPr>
          <w:sz w:val="20"/>
          <w:szCs w:val="20"/>
        </w:rPr>
      </w:pPr>
      <w:r w:rsidRPr="000137AB">
        <w:rPr>
          <w:sz w:val="20"/>
          <w:szCs w:val="20"/>
        </w:rPr>
        <w:t xml:space="preserve">Table7: </w:t>
      </w:r>
      <w:proofErr w:type="spellStart"/>
      <w:proofErr w:type="gramStart"/>
      <w:r w:rsidR="003217D8" w:rsidRPr="000137AB">
        <w:rPr>
          <w:sz w:val="20"/>
          <w:szCs w:val="20"/>
        </w:rPr>
        <w:t>pearson’s</w:t>
      </w:r>
      <w:proofErr w:type="spellEnd"/>
      <w:proofErr w:type="gramEnd"/>
      <w:r w:rsidR="003217D8" w:rsidRPr="000137AB">
        <w:rPr>
          <w:sz w:val="20"/>
          <w:szCs w:val="20"/>
        </w:rPr>
        <w:t xml:space="preserve"> correlation between duration of diabetes, </w:t>
      </w:r>
      <w:proofErr w:type="spellStart"/>
      <w:r w:rsidR="003217D8" w:rsidRPr="000137AB">
        <w:rPr>
          <w:sz w:val="20"/>
          <w:szCs w:val="20"/>
        </w:rPr>
        <w:t>hb</w:t>
      </w:r>
      <w:proofErr w:type="spellEnd"/>
      <w:r w:rsidR="003217D8" w:rsidRPr="000137AB">
        <w:rPr>
          <w:sz w:val="20"/>
          <w:szCs w:val="20"/>
        </w:rPr>
        <w:t>, hba1c classified by type of anaemia</w:t>
      </w:r>
    </w:p>
    <w:tbl>
      <w:tblPr>
        <w:tblStyle w:val="TableGrid"/>
        <w:tblW w:w="5000" w:type="pct"/>
        <w:tblLook w:val="04A0" w:firstRow="1" w:lastRow="0" w:firstColumn="1" w:lastColumn="0" w:noHBand="0" w:noVBand="1"/>
      </w:tblPr>
      <w:tblGrid>
        <w:gridCol w:w="2697"/>
        <w:gridCol w:w="963"/>
        <w:gridCol w:w="1213"/>
        <w:gridCol w:w="1042"/>
        <w:gridCol w:w="1042"/>
        <w:gridCol w:w="1096"/>
        <w:gridCol w:w="1189"/>
      </w:tblGrid>
      <w:tr w:rsidR="00696517" w:rsidRPr="000137AB" w:rsidTr="00F86F66">
        <w:trPr>
          <w:trHeight w:val="576"/>
        </w:trPr>
        <w:tc>
          <w:tcPr>
            <w:tcW w:w="1459" w:type="pct"/>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p>
        </w:tc>
        <w:tc>
          <w:tcPr>
            <w:tcW w:w="1177" w:type="pct"/>
            <w:gridSpan w:val="2"/>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Iron deficiency anaemia</w:t>
            </w:r>
          </w:p>
        </w:tc>
        <w:tc>
          <w:tcPr>
            <w:tcW w:w="1127" w:type="pct"/>
            <w:gridSpan w:val="2"/>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Vitamin B12 deficiency</w:t>
            </w:r>
          </w:p>
        </w:tc>
        <w:tc>
          <w:tcPr>
            <w:tcW w:w="1236" w:type="pct"/>
            <w:gridSpan w:val="2"/>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proofErr w:type="spellStart"/>
            <w:r w:rsidRPr="000137AB">
              <w:rPr>
                <w:rFonts w:ascii="Times New Roman" w:hAnsi="Times New Roman" w:cs="Times New Roman"/>
                <w:sz w:val="20"/>
                <w:szCs w:val="20"/>
              </w:rPr>
              <w:t>Anemia</w:t>
            </w:r>
            <w:proofErr w:type="spellEnd"/>
            <w:r w:rsidRPr="000137AB">
              <w:rPr>
                <w:rFonts w:ascii="Times New Roman" w:hAnsi="Times New Roman" w:cs="Times New Roman"/>
                <w:sz w:val="20"/>
                <w:szCs w:val="20"/>
              </w:rPr>
              <w:t xml:space="preserve"> of chronic disease</w:t>
            </w:r>
          </w:p>
        </w:tc>
      </w:tr>
      <w:tr w:rsidR="00696517" w:rsidRPr="000137AB" w:rsidTr="00F86F66">
        <w:trPr>
          <w:trHeight w:val="576"/>
        </w:trPr>
        <w:tc>
          <w:tcPr>
            <w:tcW w:w="1459" w:type="pct"/>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p>
        </w:tc>
        <w:tc>
          <w:tcPr>
            <w:tcW w:w="521" w:type="pct"/>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R</w:t>
            </w:r>
          </w:p>
        </w:tc>
        <w:tc>
          <w:tcPr>
            <w:tcW w:w="656" w:type="pct"/>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P</w:t>
            </w:r>
          </w:p>
        </w:tc>
        <w:tc>
          <w:tcPr>
            <w:tcW w:w="564" w:type="pct"/>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R</w:t>
            </w:r>
          </w:p>
        </w:tc>
        <w:tc>
          <w:tcPr>
            <w:tcW w:w="564" w:type="pct"/>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P</w:t>
            </w:r>
          </w:p>
        </w:tc>
        <w:tc>
          <w:tcPr>
            <w:tcW w:w="593" w:type="pct"/>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R</w:t>
            </w:r>
          </w:p>
        </w:tc>
        <w:tc>
          <w:tcPr>
            <w:tcW w:w="643" w:type="pct"/>
            <w:shd w:val="clear" w:color="auto" w:fill="B6DDE8" w:themeFill="accent5" w:themeFillTint="66"/>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P</w:t>
            </w:r>
          </w:p>
        </w:tc>
      </w:tr>
      <w:tr w:rsidR="00696517" w:rsidRPr="000137AB" w:rsidTr="00F86F66">
        <w:trPr>
          <w:trHeight w:val="576"/>
        </w:trPr>
        <w:tc>
          <w:tcPr>
            <w:tcW w:w="1459"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 xml:space="preserve">Duration of Diabetes v/s </w:t>
            </w:r>
            <w:proofErr w:type="spellStart"/>
            <w:r w:rsidRPr="000137AB">
              <w:rPr>
                <w:rFonts w:ascii="Times New Roman" w:hAnsi="Times New Roman" w:cs="Times New Roman"/>
                <w:sz w:val="20"/>
                <w:szCs w:val="20"/>
              </w:rPr>
              <w:t>Hb</w:t>
            </w:r>
            <w:proofErr w:type="spellEnd"/>
          </w:p>
        </w:tc>
        <w:tc>
          <w:tcPr>
            <w:tcW w:w="521"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-0.09</w:t>
            </w:r>
          </w:p>
        </w:tc>
        <w:tc>
          <w:tcPr>
            <w:tcW w:w="656"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0.63</w:t>
            </w:r>
          </w:p>
        </w:tc>
        <w:tc>
          <w:tcPr>
            <w:tcW w:w="564"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0.39</w:t>
            </w:r>
          </w:p>
        </w:tc>
        <w:tc>
          <w:tcPr>
            <w:tcW w:w="564"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0.43</w:t>
            </w:r>
          </w:p>
        </w:tc>
        <w:tc>
          <w:tcPr>
            <w:tcW w:w="593"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-0.31</w:t>
            </w:r>
          </w:p>
        </w:tc>
        <w:tc>
          <w:tcPr>
            <w:tcW w:w="643"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0.29</w:t>
            </w:r>
          </w:p>
        </w:tc>
      </w:tr>
      <w:tr w:rsidR="00696517" w:rsidRPr="000137AB" w:rsidTr="00F86F66">
        <w:trPr>
          <w:trHeight w:val="625"/>
        </w:trPr>
        <w:tc>
          <w:tcPr>
            <w:tcW w:w="1459"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Duration of Diabetes v/s hba1c</w:t>
            </w:r>
          </w:p>
        </w:tc>
        <w:tc>
          <w:tcPr>
            <w:tcW w:w="521"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-0.32</w:t>
            </w:r>
          </w:p>
        </w:tc>
        <w:tc>
          <w:tcPr>
            <w:tcW w:w="656"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0.09</w:t>
            </w:r>
          </w:p>
        </w:tc>
        <w:tc>
          <w:tcPr>
            <w:tcW w:w="564"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0.33</w:t>
            </w:r>
          </w:p>
        </w:tc>
        <w:tc>
          <w:tcPr>
            <w:tcW w:w="564"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0.51</w:t>
            </w:r>
          </w:p>
        </w:tc>
        <w:tc>
          <w:tcPr>
            <w:tcW w:w="593"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0.43</w:t>
            </w:r>
          </w:p>
        </w:tc>
        <w:tc>
          <w:tcPr>
            <w:tcW w:w="643"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0.13</w:t>
            </w:r>
          </w:p>
        </w:tc>
      </w:tr>
      <w:tr w:rsidR="00696517" w:rsidRPr="000137AB" w:rsidTr="00F86F66">
        <w:trPr>
          <w:trHeight w:val="625"/>
        </w:trPr>
        <w:tc>
          <w:tcPr>
            <w:tcW w:w="1459"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proofErr w:type="spellStart"/>
            <w:r w:rsidRPr="000137AB">
              <w:rPr>
                <w:rFonts w:ascii="Times New Roman" w:hAnsi="Times New Roman" w:cs="Times New Roman"/>
                <w:sz w:val="20"/>
                <w:szCs w:val="20"/>
              </w:rPr>
              <w:t>Hb</w:t>
            </w:r>
            <w:proofErr w:type="spellEnd"/>
            <w:r w:rsidRPr="000137AB">
              <w:rPr>
                <w:rFonts w:ascii="Times New Roman" w:hAnsi="Times New Roman" w:cs="Times New Roman"/>
                <w:sz w:val="20"/>
                <w:szCs w:val="20"/>
              </w:rPr>
              <w:t xml:space="preserve"> v/s hba1c</w:t>
            </w:r>
          </w:p>
        </w:tc>
        <w:tc>
          <w:tcPr>
            <w:tcW w:w="521"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0.38</w:t>
            </w:r>
          </w:p>
        </w:tc>
        <w:tc>
          <w:tcPr>
            <w:tcW w:w="656"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0.042*</w:t>
            </w:r>
          </w:p>
        </w:tc>
        <w:tc>
          <w:tcPr>
            <w:tcW w:w="564"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0.56</w:t>
            </w:r>
          </w:p>
        </w:tc>
        <w:tc>
          <w:tcPr>
            <w:tcW w:w="564"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0.24</w:t>
            </w:r>
          </w:p>
        </w:tc>
        <w:tc>
          <w:tcPr>
            <w:tcW w:w="593"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-0.59</w:t>
            </w:r>
          </w:p>
        </w:tc>
        <w:tc>
          <w:tcPr>
            <w:tcW w:w="643" w:type="pct"/>
            <w:vAlign w:val="center"/>
          </w:tcPr>
          <w:p w:rsidR="00696517" w:rsidRPr="000137AB" w:rsidRDefault="00696517" w:rsidP="000137AB">
            <w:pPr>
              <w:autoSpaceDE w:val="0"/>
              <w:autoSpaceDN w:val="0"/>
              <w:adjustRightInd w:val="0"/>
              <w:spacing w:line="360" w:lineRule="auto"/>
              <w:jc w:val="both"/>
              <w:rPr>
                <w:rFonts w:ascii="Times New Roman" w:hAnsi="Times New Roman" w:cs="Times New Roman"/>
                <w:sz w:val="20"/>
                <w:szCs w:val="20"/>
              </w:rPr>
            </w:pPr>
            <w:r w:rsidRPr="000137AB">
              <w:rPr>
                <w:rFonts w:ascii="Times New Roman" w:hAnsi="Times New Roman" w:cs="Times New Roman"/>
                <w:sz w:val="20"/>
                <w:szCs w:val="20"/>
              </w:rPr>
              <w:t>0.03*</w:t>
            </w:r>
          </w:p>
        </w:tc>
      </w:tr>
    </w:tbl>
    <w:p w:rsidR="00696517" w:rsidRPr="000137AB" w:rsidRDefault="00696517" w:rsidP="000137AB">
      <w:pPr>
        <w:autoSpaceDE w:val="0"/>
        <w:autoSpaceDN w:val="0"/>
        <w:adjustRightInd w:val="0"/>
        <w:spacing w:line="360" w:lineRule="auto"/>
        <w:jc w:val="both"/>
        <w:rPr>
          <w:sz w:val="20"/>
          <w:szCs w:val="20"/>
        </w:rPr>
      </w:pPr>
      <w:r w:rsidRPr="000137AB">
        <w:rPr>
          <w:sz w:val="20"/>
          <w:szCs w:val="20"/>
        </w:rPr>
        <w:t xml:space="preserve">*significant </w:t>
      </w:r>
    </w:p>
    <w:p w:rsidR="00696517" w:rsidRPr="000137AB" w:rsidRDefault="00696517" w:rsidP="000137AB">
      <w:pPr>
        <w:autoSpaceDE w:val="0"/>
        <w:autoSpaceDN w:val="0"/>
        <w:adjustRightInd w:val="0"/>
        <w:spacing w:line="360" w:lineRule="auto"/>
        <w:jc w:val="both"/>
        <w:rPr>
          <w:sz w:val="20"/>
          <w:szCs w:val="20"/>
        </w:rPr>
      </w:pPr>
    </w:p>
    <w:p w:rsidR="00696517" w:rsidRPr="000137AB" w:rsidRDefault="003217D8" w:rsidP="000137AB">
      <w:pPr>
        <w:autoSpaceDE w:val="0"/>
        <w:autoSpaceDN w:val="0"/>
        <w:adjustRightInd w:val="0"/>
        <w:spacing w:line="360" w:lineRule="auto"/>
        <w:jc w:val="both"/>
        <w:rPr>
          <w:sz w:val="20"/>
          <w:szCs w:val="20"/>
        </w:rPr>
      </w:pPr>
      <w:r w:rsidRPr="000137AB">
        <w:rPr>
          <w:sz w:val="20"/>
          <w:szCs w:val="20"/>
        </w:rPr>
        <w:t>Table</w:t>
      </w:r>
      <w:r w:rsidR="00696517" w:rsidRPr="000137AB">
        <w:rPr>
          <w:sz w:val="20"/>
          <w:szCs w:val="20"/>
        </w:rPr>
        <w:t xml:space="preserve"> 8</w:t>
      </w:r>
      <w:r w:rsidRPr="000137AB">
        <w:rPr>
          <w:sz w:val="20"/>
          <w:szCs w:val="20"/>
        </w:rPr>
        <w:t>: distribution of the subjects based on the cause for anaemia</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2977"/>
        <w:gridCol w:w="2693"/>
      </w:tblGrid>
      <w:tr w:rsidR="00696517" w:rsidRPr="000137AB" w:rsidTr="00F86F66">
        <w:trPr>
          <w:cantSplit/>
          <w:trHeight w:val="432"/>
        </w:trPr>
        <w:tc>
          <w:tcPr>
            <w:tcW w:w="3407" w:type="dxa"/>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
        </w:tc>
        <w:tc>
          <w:tcPr>
            <w:tcW w:w="2977" w:type="dxa"/>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Frequency</w:t>
            </w:r>
          </w:p>
        </w:tc>
        <w:tc>
          <w:tcPr>
            <w:tcW w:w="2693" w:type="dxa"/>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color w:val="000000"/>
                <w:sz w:val="20"/>
                <w:szCs w:val="20"/>
              </w:rPr>
              <w:t>Percent</w:t>
            </w:r>
            <w:proofErr w:type="spellEnd"/>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sz w:val="20"/>
                <w:szCs w:val="20"/>
              </w:rPr>
              <w:t>Iron deficiency anaemia</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29</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58.0</w:t>
            </w:r>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sz w:val="20"/>
                <w:szCs w:val="20"/>
              </w:rPr>
              <w:t>Vitamin B12 deficiency</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6</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12.0</w:t>
            </w:r>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sz w:val="20"/>
                <w:szCs w:val="20"/>
              </w:rPr>
              <w:t>Anaemia of chronic disease</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13</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26.0</w:t>
            </w:r>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sz w:val="20"/>
                <w:szCs w:val="20"/>
              </w:rPr>
              <w:t xml:space="preserve">Iron and </w:t>
            </w:r>
            <w:proofErr w:type="spellStart"/>
            <w:r w:rsidRPr="000137AB">
              <w:rPr>
                <w:sz w:val="20"/>
                <w:szCs w:val="20"/>
              </w:rPr>
              <w:t>folate</w:t>
            </w:r>
            <w:proofErr w:type="spellEnd"/>
            <w:r w:rsidRPr="000137AB">
              <w:rPr>
                <w:sz w:val="20"/>
                <w:szCs w:val="20"/>
              </w:rPr>
              <w:t xml:space="preserve"> deficiency</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2.0</w:t>
            </w:r>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sz w:val="20"/>
                <w:szCs w:val="20"/>
              </w:rPr>
              <w:t>Pancytopenia</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2.0</w:t>
            </w:r>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Total</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50</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100.0</w:t>
            </w:r>
          </w:p>
        </w:tc>
      </w:tr>
    </w:tbl>
    <w:p w:rsidR="00696517" w:rsidRPr="000137AB" w:rsidRDefault="00696517" w:rsidP="000137AB">
      <w:pPr>
        <w:autoSpaceDE w:val="0"/>
        <w:autoSpaceDN w:val="0"/>
        <w:adjustRightInd w:val="0"/>
        <w:spacing w:line="360" w:lineRule="auto"/>
        <w:jc w:val="both"/>
        <w:rPr>
          <w:sz w:val="20"/>
          <w:szCs w:val="20"/>
        </w:rPr>
      </w:pPr>
    </w:p>
    <w:p w:rsidR="00696517" w:rsidRPr="000137AB" w:rsidRDefault="00696517" w:rsidP="000137AB">
      <w:pPr>
        <w:autoSpaceDE w:val="0"/>
        <w:autoSpaceDN w:val="0"/>
        <w:adjustRightInd w:val="0"/>
        <w:spacing w:line="360" w:lineRule="auto"/>
        <w:jc w:val="both"/>
        <w:rPr>
          <w:sz w:val="20"/>
          <w:szCs w:val="20"/>
        </w:rPr>
      </w:pPr>
    </w:p>
    <w:p w:rsidR="0044166B" w:rsidRDefault="0044166B" w:rsidP="000137AB">
      <w:pPr>
        <w:autoSpaceDE w:val="0"/>
        <w:autoSpaceDN w:val="0"/>
        <w:adjustRightInd w:val="0"/>
        <w:spacing w:line="360" w:lineRule="auto"/>
        <w:jc w:val="both"/>
        <w:rPr>
          <w:sz w:val="20"/>
          <w:szCs w:val="20"/>
        </w:rPr>
      </w:pPr>
    </w:p>
    <w:p w:rsidR="0044166B" w:rsidRDefault="0044166B" w:rsidP="000137AB">
      <w:pPr>
        <w:autoSpaceDE w:val="0"/>
        <w:autoSpaceDN w:val="0"/>
        <w:adjustRightInd w:val="0"/>
        <w:spacing w:line="360" w:lineRule="auto"/>
        <w:jc w:val="both"/>
        <w:rPr>
          <w:sz w:val="20"/>
          <w:szCs w:val="20"/>
        </w:rPr>
      </w:pPr>
    </w:p>
    <w:p w:rsidR="0044166B" w:rsidRDefault="0044166B" w:rsidP="000137AB">
      <w:pPr>
        <w:autoSpaceDE w:val="0"/>
        <w:autoSpaceDN w:val="0"/>
        <w:adjustRightInd w:val="0"/>
        <w:spacing w:line="360" w:lineRule="auto"/>
        <w:jc w:val="both"/>
        <w:rPr>
          <w:sz w:val="20"/>
          <w:szCs w:val="20"/>
        </w:rPr>
      </w:pPr>
    </w:p>
    <w:p w:rsidR="0044166B" w:rsidRDefault="0044166B" w:rsidP="000137AB">
      <w:pPr>
        <w:autoSpaceDE w:val="0"/>
        <w:autoSpaceDN w:val="0"/>
        <w:adjustRightInd w:val="0"/>
        <w:spacing w:line="360" w:lineRule="auto"/>
        <w:jc w:val="both"/>
        <w:rPr>
          <w:sz w:val="20"/>
          <w:szCs w:val="20"/>
        </w:rPr>
      </w:pPr>
    </w:p>
    <w:p w:rsidR="0044166B" w:rsidRDefault="0044166B" w:rsidP="000137AB">
      <w:pPr>
        <w:autoSpaceDE w:val="0"/>
        <w:autoSpaceDN w:val="0"/>
        <w:adjustRightInd w:val="0"/>
        <w:spacing w:line="360" w:lineRule="auto"/>
        <w:jc w:val="both"/>
        <w:rPr>
          <w:sz w:val="20"/>
          <w:szCs w:val="20"/>
        </w:rPr>
      </w:pPr>
    </w:p>
    <w:p w:rsidR="00696517" w:rsidRPr="000137AB" w:rsidRDefault="003217D8" w:rsidP="000137AB">
      <w:pPr>
        <w:autoSpaceDE w:val="0"/>
        <w:autoSpaceDN w:val="0"/>
        <w:adjustRightInd w:val="0"/>
        <w:spacing w:line="360" w:lineRule="auto"/>
        <w:jc w:val="both"/>
        <w:rPr>
          <w:sz w:val="20"/>
          <w:szCs w:val="20"/>
        </w:rPr>
      </w:pPr>
      <w:r w:rsidRPr="000137AB">
        <w:rPr>
          <w:sz w:val="20"/>
          <w:szCs w:val="20"/>
        </w:rPr>
        <w:t>Table</w:t>
      </w:r>
      <w:r w:rsidR="00696517" w:rsidRPr="000137AB">
        <w:rPr>
          <w:sz w:val="20"/>
          <w:szCs w:val="20"/>
        </w:rPr>
        <w:t>9</w:t>
      </w:r>
      <w:r w:rsidRPr="000137AB">
        <w:rPr>
          <w:sz w:val="20"/>
          <w:szCs w:val="20"/>
        </w:rPr>
        <w:t>: distribution of the subjects based on peripheral smear</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2977"/>
        <w:gridCol w:w="2693"/>
      </w:tblGrid>
      <w:tr w:rsidR="00696517" w:rsidRPr="000137AB" w:rsidTr="00F86F66">
        <w:trPr>
          <w:cantSplit/>
          <w:trHeight w:val="432"/>
        </w:trPr>
        <w:tc>
          <w:tcPr>
            <w:tcW w:w="3407" w:type="dxa"/>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
        </w:tc>
        <w:tc>
          <w:tcPr>
            <w:tcW w:w="2977" w:type="dxa"/>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Frequency</w:t>
            </w:r>
          </w:p>
        </w:tc>
        <w:tc>
          <w:tcPr>
            <w:tcW w:w="2693" w:type="dxa"/>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color w:val="000000"/>
                <w:sz w:val="20"/>
                <w:szCs w:val="20"/>
              </w:rPr>
              <w:t>Percent</w:t>
            </w:r>
            <w:proofErr w:type="spellEnd"/>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sz w:val="20"/>
                <w:szCs w:val="20"/>
              </w:rPr>
              <w:t>Microcytic</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30</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60.0</w:t>
            </w:r>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sz w:val="20"/>
                <w:szCs w:val="20"/>
              </w:rPr>
              <w:t>Macrocytic</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6</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12.0</w:t>
            </w:r>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sz w:val="20"/>
                <w:szCs w:val="20"/>
              </w:rPr>
              <w:t>Normocytic</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13</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26.0</w:t>
            </w:r>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sz w:val="20"/>
                <w:szCs w:val="20"/>
              </w:rPr>
              <w:t>Dimorphic</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2.0</w:t>
            </w:r>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Total</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50</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100.0</w:t>
            </w:r>
          </w:p>
        </w:tc>
      </w:tr>
    </w:tbl>
    <w:p w:rsidR="00696517" w:rsidRPr="000137AB" w:rsidRDefault="00696517" w:rsidP="000137AB">
      <w:pPr>
        <w:autoSpaceDE w:val="0"/>
        <w:autoSpaceDN w:val="0"/>
        <w:adjustRightInd w:val="0"/>
        <w:spacing w:line="360" w:lineRule="auto"/>
        <w:jc w:val="both"/>
        <w:rPr>
          <w:sz w:val="20"/>
          <w:szCs w:val="20"/>
        </w:rPr>
      </w:pPr>
    </w:p>
    <w:p w:rsidR="00696517" w:rsidRPr="000137AB" w:rsidRDefault="00696517" w:rsidP="000137AB">
      <w:pPr>
        <w:autoSpaceDE w:val="0"/>
        <w:autoSpaceDN w:val="0"/>
        <w:adjustRightInd w:val="0"/>
        <w:spacing w:line="360" w:lineRule="auto"/>
        <w:jc w:val="both"/>
        <w:rPr>
          <w:sz w:val="20"/>
          <w:szCs w:val="20"/>
        </w:rPr>
      </w:pPr>
      <w:r w:rsidRPr="000137AB">
        <w:rPr>
          <w:sz w:val="20"/>
          <w:szCs w:val="20"/>
        </w:rPr>
        <w:t xml:space="preserve">60% of the peripheral smears showed microcytic type, followed by normocytic in 26%, macrocytic in 12% and dimorphic in 2%. </w:t>
      </w:r>
    </w:p>
    <w:p w:rsidR="00696517" w:rsidRPr="000137AB" w:rsidRDefault="003217D8" w:rsidP="000137AB">
      <w:pPr>
        <w:autoSpaceDE w:val="0"/>
        <w:autoSpaceDN w:val="0"/>
        <w:adjustRightInd w:val="0"/>
        <w:spacing w:line="360" w:lineRule="auto"/>
        <w:jc w:val="both"/>
        <w:rPr>
          <w:sz w:val="20"/>
          <w:szCs w:val="20"/>
        </w:rPr>
      </w:pPr>
      <w:r w:rsidRPr="000137AB">
        <w:rPr>
          <w:sz w:val="20"/>
          <w:szCs w:val="20"/>
        </w:rPr>
        <w:t>Table10</w:t>
      </w:r>
      <w:proofErr w:type="gramStart"/>
      <w:r w:rsidRPr="000137AB">
        <w:rPr>
          <w:sz w:val="20"/>
          <w:szCs w:val="20"/>
        </w:rPr>
        <w:t>:cross</w:t>
      </w:r>
      <w:proofErr w:type="gramEnd"/>
      <w:r w:rsidRPr="000137AB">
        <w:rPr>
          <w:sz w:val="20"/>
          <w:szCs w:val="20"/>
        </w:rPr>
        <w:t>-tabulation of usage of metformin and anaemia</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3"/>
        <w:gridCol w:w="2418"/>
        <w:gridCol w:w="1538"/>
        <w:gridCol w:w="1539"/>
        <w:gridCol w:w="1538"/>
      </w:tblGrid>
      <w:tr w:rsidR="00696517" w:rsidRPr="000137AB" w:rsidTr="00F86F66">
        <w:trPr>
          <w:cantSplit/>
          <w:trHeight w:val="497"/>
        </w:trPr>
        <w:tc>
          <w:tcPr>
            <w:tcW w:w="2183" w:type="dxa"/>
            <w:vMerge w:val="restart"/>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
        </w:tc>
        <w:tc>
          <w:tcPr>
            <w:tcW w:w="2418" w:type="dxa"/>
            <w:vMerge w:val="restart"/>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
        </w:tc>
        <w:tc>
          <w:tcPr>
            <w:tcW w:w="3077" w:type="dxa"/>
            <w:gridSpan w:val="2"/>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Groups</w:t>
            </w:r>
          </w:p>
        </w:tc>
        <w:tc>
          <w:tcPr>
            <w:tcW w:w="1538" w:type="dxa"/>
            <w:vMerge w:val="restart"/>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Total</w:t>
            </w:r>
          </w:p>
        </w:tc>
      </w:tr>
      <w:tr w:rsidR="00696517" w:rsidRPr="000137AB" w:rsidTr="00F86F66">
        <w:trPr>
          <w:cantSplit/>
          <w:trHeight w:val="418"/>
        </w:trPr>
        <w:tc>
          <w:tcPr>
            <w:tcW w:w="2183" w:type="dxa"/>
            <w:vMerge/>
            <w:shd w:val="clear" w:color="auto" w:fill="FFFFFF"/>
            <w:vAlign w:val="center"/>
          </w:tcPr>
          <w:p w:rsidR="00696517" w:rsidRPr="000137AB" w:rsidRDefault="00696517" w:rsidP="000137AB">
            <w:pPr>
              <w:autoSpaceDE w:val="0"/>
              <w:autoSpaceDN w:val="0"/>
              <w:adjustRightInd w:val="0"/>
              <w:spacing w:line="360" w:lineRule="auto"/>
              <w:jc w:val="both"/>
              <w:rPr>
                <w:color w:val="000000"/>
                <w:sz w:val="20"/>
                <w:szCs w:val="20"/>
              </w:rPr>
            </w:pPr>
          </w:p>
        </w:tc>
        <w:tc>
          <w:tcPr>
            <w:tcW w:w="2418" w:type="dxa"/>
            <w:vMerge/>
            <w:shd w:val="clear" w:color="auto" w:fill="FFFFFF"/>
            <w:vAlign w:val="center"/>
          </w:tcPr>
          <w:p w:rsidR="00696517" w:rsidRPr="000137AB" w:rsidRDefault="00696517" w:rsidP="000137AB">
            <w:pPr>
              <w:autoSpaceDE w:val="0"/>
              <w:autoSpaceDN w:val="0"/>
              <w:adjustRightInd w:val="0"/>
              <w:spacing w:line="360" w:lineRule="auto"/>
              <w:jc w:val="both"/>
              <w:rPr>
                <w:color w:val="000000"/>
                <w:sz w:val="20"/>
                <w:szCs w:val="20"/>
              </w:rPr>
            </w:pPr>
          </w:p>
        </w:tc>
        <w:tc>
          <w:tcPr>
            <w:tcW w:w="153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Non-Anaemic</w:t>
            </w:r>
          </w:p>
        </w:tc>
        <w:tc>
          <w:tcPr>
            <w:tcW w:w="1539"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Anaemic</w:t>
            </w:r>
          </w:p>
        </w:tc>
        <w:tc>
          <w:tcPr>
            <w:tcW w:w="1538" w:type="dxa"/>
            <w:vMerge/>
            <w:shd w:val="clear" w:color="auto" w:fill="FFFFFF"/>
            <w:vAlign w:val="center"/>
          </w:tcPr>
          <w:p w:rsidR="00696517" w:rsidRPr="000137AB" w:rsidRDefault="00696517" w:rsidP="000137AB">
            <w:pPr>
              <w:autoSpaceDE w:val="0"/>
              <w:autoSpaceDN w:val="0"/>
              <w:adjustRightInd w:val="0"/>
              <w:spacing w:line="360" w:lineRule="auto"/>
              <w:jc w:val="both"/>
              <w:rPr>
                <w:color w:val="000000"/>
                <w:sz w:val="20"/>
                <w:szCs w:val="20"/>
              </w:rPr>
            </w:pPr>
          </w:p>
        </w:tc>
      </w:tr>
      <w:tr w:rsidR="00696517" w:rsidRPr="000137AB" w:rsidTr="00F86F66">
        <w:trPr>
          <w:cantSplit/>
          <w:trHeight w:val="319"/>
        </w:trPr>
        <w:tc>
          <w:tcPr>
            <w:tcW w:w="2183" w:type="dxa"/>
            <w:vMerge w:val="restart"/>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NO</w:t>
            </w:r>
          </w:p>
        </w:tc>
        <w:tc>
          <w:tcPr>
            <w:tcW w:w="24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Count</w:t>
            </w:r>
          </w:p>
        </w:tc>
        <w:tc>
          <w:tcPr>
            <w:tcW w:w="153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7</w:t>
            </w:r>
          </w:p>
        </w:tc>
        <w:tc>
          <w:tcPr>
            <w:tcW w:w="1539"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6</w:t>
            </w:r>
          </w:p>
        </w:tc>
        <w:tc>
          <w:tcPr>
            <w:tcW w:w="153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13</w:t>
            </w:r>
          </w:p>
        </w:tc>
      </w:tr>
      <w:tr w:rsidR="00696517" w:rsidRPr="000137AB" w:rsidTr="00F86F66">
        <w:trPr>
          <w:cantSplit/>
          <w:trHeight w:val="160"/>
        </w:trPr>
        <w:tc>
          <w:tcPr>
            <w:tcW w:w="2183" w:type="dxa"/>
            <w:vMerge/>
            <w:shd w:val="clear" w:color="auto" w:fill="FFFFFF"/>
            <w:vAlign w:val="center"/>
          </w:tcPr>
          <w:p w:rsidR="00696517" w:rsidRPr="000137AB" w:rsidRDefault="00696517" w:rsidP="000137AB">
            <w:pPr>
              <w:autoSpaceDE w:val="0"/>
              <w:autoSpaceDN w:val="0"/>
              <w:adjustRightInd w:val="0"/>
              <w:spacing w:line="360" w:lineRule="auto"/>
              <w:jc w:val="both"/>
              <w:rPr>
                <w:color w:val="000000"/>
                <w:sz w:val="20"/>
                <w:szCs w:val="20"/>
              </w:rPr>
            </w:pPr>
          </w:p>
        </w:tc>
        <w:tc>
          <w:tcPr>
            <w:tcW w:w="24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color w:val="000000"/>
                <w:sz w:val="20"/>
                <w:szCs w:val="20"/>
              </w:rPr>
              <w:t>Percent</w:t>
            </w:r>
            <w:proofErr w:type="spellEnd"/>
          </w:p>
        </w:tc>
        <w:tc>
          <w:tcPr>
            <w:tcW w:w="153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3.9%</w:t>
            </w:r>
          </w:p>
        </w:tc>
        <w:tc>
          <w:tcPr>
            <w:tcW w:w="1539"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12.0%</w:t>
            </w:r>
          </w:p>
        </w:tc>
        <w:tc>
          <w:tcPr>
            <w:tcW w:w="153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5.7%</w:t>
            </w:r>
          </w:p>
        </w:tc>
      </w:tr>
      <w:tr w:rsidR="00696517" w:rsidRPr="000137AB" w:rsidTr="00F86F66">
        <w:trPr>
          <w:cantSplit/>
          <w:trHeight w:val="346"/>
        </w:trPr>
        <w:tc>
          <w:tcPr>
            <w:tcW w:w="2183" w:type="dxa"/>
            <w:vMerge w:val="restart"/>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YES</w:t>
            </w:r>
          </w:p>
        </w:tc>
        <w:tc>
          <w:tcPr>
            <w:tcW w:w="24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Count</w:t>
            </w:r>
          </w:p>
        </w:tc>
        <w:tc>
          <w:tcPr>
            <w:tcW w:w="153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173</w:t>
            </w:r>
          </w:p>
        </w:tc>
        <w:tc>
          <w:tcPr>
            <w:tcW w:w="1539"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44</w:t>
            </w:r>
          </w:p>
        </w:tc>
        <w:tc>
          <w:tcPr>
            <w:tcW w:w="153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217</w:t>
            </w:r>
          </w:p>
        </w:tc>
      </w:tr>
      <w:tr w:rsidR="00696517" w:rsidRPr="000137AB" w:rsidTr="00F86F66">
        <w:trPr>
          <w:cantSplit/>
          <w:trHeight w:val="160"/>
        </w:trPr>
        <w:tc>
          <w:tcPr>
            <w:tcW w:w="2183" w:type="dxa"/>
            <w:vMerge/>
            <w:shd w:val="clear" w:color="auto" w:fill="FFFFFF"/>
            <w:vAlign w:val="center"/>
          </w:tcPr>
          <w:p w:rsidR="00696517" w:rsidRPr="000137AB" w:rsidRDefault="00696517" w:rsidP="000137AB">
            <w:pPr>
              <w:autoSpaceDE w:val="0"/>
              <w:autoSpaceDN w:val="0"/>
              <w:adjustRightInd w:val="0"/>
              <w:spacing w:line="360" w:lineRule="auto"/>
              <w:jc w:val="both"/>
              <w:rPr>
                <w:color w:val="000000"/>
                <w:sz w:val="20"/>
                <w:szCs w:val="20"/>
              </w:rPr>
            </w:pPr>
          </w:p>
        </w:tc>
        <w:tc>
          <w:tcPr>
            <w:tcW w:w="24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color w:val="000000"/>
                <w:sz w:val="20"/>
                <w:szCs w:val="20"/>
              </w:rPr>
              <w:t>Percent</w:t>
            </w:r>
            <w:proofErr w:type="spellEnd"/>
          </w:p>
        </w:tc>
        <w:tc>
          <w:tcPr>
            <w:tcW w:w="153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96.1%</w:t>
            </w:r>
          </w:p>
        </w:tc>
        <w:tc>
          <w:tcPr>
            <w:tcW w:w="1539"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88.0%</w:t>
            </w:r>
          </w:p>
        </w:tc>
        <w:tc>
          <w:tcPr>
            <w:tcW w:w="153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94.3%</w:t>
            </w:r>
          </w:p>
        </w:tc>
      </w:tr>
      <w:tr w:rsidR="00696517" w:rsidRPr="000137AB" w:rsidTr="00F86F66">
        <w:trPr>
          <w:cantSplit/>
          <w:trHeight w:val="346"/>
        </w:trPr>
        <w:tc>
          <w:tcPr>
            <w:tcW w:w="2183" w:type="dxa"/>
            <w:vMerge w:val="restart"/>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Total</w:t>
            </w:r>
          </w:p>
        </w:tc>
        <w:tc>
          <w:tcPr>
            <w:tcW w:w="24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Count</w:t>
            </w:r>
          </w:p>
        </w:tc>
        <w:tc>
          <w:tcPr>
            <w:tcW w:w="153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180</w:t>
            </w:r>
          </w:p>
        </w:tc>
        <w:tc>
          <w:tcPr>
            <w:tcW w:w="1539"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50</w:t>
            </w:r>
          </w:p>
        </w:tc>
        <w:tc>
          <w:tcPr>
            <w:tcW w:w="153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230</w:t>
            </w:r>
          </w:p>
        </w:tc>
      </w:tr>
      <w:tr w:rsidR="00696517" w:rsidRPr="000137AB" w:rsidTr="00F86F66">
        <w:trPr>
          <w:cantSplit/>
          <w:trHeight w:val="160"/>
        </w:trPr>
        <w:tc>
          <w:tcPr>
            <w:tcW w:w="2183" w:type="dxa"/>
            <w:vMerge/>
            <w:shd w:val="clear" w:color="auto" w:fill="FFFFFF"/>
            <w:vAlign w:val="center"/>
          </w:tcPr>
          <w:p w:rsidR="00696517" w:rsidRPr="000137AB" w:rsidRDefault="00696517" w:rsidP="000137AB">
            <w:pPr>
              <w:autoSpaceDE w:val="0"/>
              <w:autoSpaceDN w:val="0"/>
              <w:adjustRightInd w:val="0"/>
              <w:spacing w:line="360" w:lineRule="auto"/>
              <w:jc w:val="both"/>
              <w:rPr>
                <w:color w:val="000000"/>
                <w:sz w:val="20"/>
                <w:szCs w:val="20"/>
              </w:rPr>
            </w:pPr>
          </w:p>
        </w:tc>
        <w:tc>
          <w:tcPr>
            <w:tcW w:w="241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color w:val="000000"/>
                <w:sz w:val="20"/>
                <w:szCs w:val="20"/>
              </w:rPr>
              <w:t>Percent</w:t>
            </w:r>
            <w:proofErr w:type="spellEnd"/>
          </w:p>
        </w:tc>
        <w:tc>
          <w:tcPr>
            <w:tcW w:w="153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100.0%</w:t>
            </w:r>
          </w:p>
        </w:tc>
        <w:tc>
          <w:tcPr>
            <w:tcW w:w="1539"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100.0%</w:t>
            </w:r>
          </w:p>
        </w:tc>
        <w:tc>
          <w:tcPr>
            <w:tcW w:w="1538"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100.0%</w:t>
            </w:r>
          </w:p>
        </w:tc>
      </w:tr>
      <w:tr w:rsidR="00696517" w:rsidRPr="000137AB" w:rsidTr="00F86F66">
        <w:trPr>
          <w:cantSplit/>
          <w:trHeight w:val="160"/>
        </w:trPr>
        <w:tc>
          <w:tcPr>
            <w:tcW w:w="9216" w:type="dxa"/>
            <w:gridSpan w:val="5"/>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Chi-square value- 4.82</w:t>
            </w:r>
          </w:p>
        </w:tc>
      </w:tr>
      <w:tr w:rsidR="00696517" w:rsidRPr="000137AB" w:rsidTr="00F86F66">
        <w:trPr>
          <w:cantSplit/>
          <w:trHeight w:val="160"/>
        </w:trPr>
        <w:tc>
          <w:tcPr>
            <w:tcW w:w="9216" w:type="dxa"/>
            <w:gridSpan w:val="5"/>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P value- 0.028*</w:t>
            </w:r>
          </w:p>
        </w:tc>
      </w:tr>
    </w:tbl>
    <w:p w:rsidR="00696517" w:rsidRPr="000137AB" w:rsidRDefault="00696517" w:rsidP="000137AB">
      <w:pPr>
        <w:autoSpaceDE w:val="0"/>
        <w:autoSpaceDN w:val="0"/>
        <w:adjustRightInd w:val="0"/>
        <w:spacing w:line="360" w:lineRule="auto"/>
        <w:jc w:val="both"/>
        <w:rPr>
          <w:sz w:val="20"/>
          <w:szCs w:val="20"/>
        </w:rPr>
      </w:pPr>
      <w:r w:rsidRPr="000137AB">
        <w:rPr>
          <w:sz w:val="20"/>
          <w:szCs w:val="20"/>
        </w:rPr>
        <w:t>*significant</w:t>
      </w:r>
    </w:p>
    <w:p w:rsidR="00696517" w:rsidRPr="000137AB" w:rsidRDefault="00696517" w:rsidP="000137AB">
      <w:pPr>
        <w:autoSpaceDE w:val="0"/>
        <w:autoSpaceDN w:val="0"/>
        <w:adjustRightInd w:val="0"/>
        <w:spacing w:line="360" w:lineRule="auto"/>
        <w:jc w:val="both"/>
        <w:rPr>
          <w:sz w:val="20"/>
          <w:szCs w:val="20"/>
        </w:rPr>
      </w:pPr>
    </w:p>
    <w:p w:rsidR="00696517" w:rsidRPr="000137AB" w:rsidRDefault="00696517" w:rsidP="000137AB">
      <w:pPr>
        <w:autoSpaceDE w:val="0"/>
        <w:autoSpaceDN w:val="0"/>
        <w:adjustRightInd w:val="0"/>
        <w:spacing w:line="360" w:lineRule="auto"/>
        <w:jc w:val="both"/>
        <w:rPr>
          <w:sz w:val="20"/>
          <w:szCs w:val="20"/>
        </w:rPr>
      </w:pPr>
      <w:r w:rsidRPr="000137AB">
        <w:rPr>
          <w:sz w:val="20"/>
          <w:szCs w:val="20"/>
        </w:rPr>
        <w:t xml:space="preserve">Table11: distribution of the subjects based on evidence of </w:t>
      </w:r>
      <w:proofErr w:type="spellStart"/>
      <w:r w:rsidRPr="000137AB">
        <w:rPr>
          <w:sz w:val="20"/>
          <w:szCs w:val="20"/>
        </w:rPr>
        <w:t>malabsorption</w:t>
      </w:r>
      <w:proofErr w:type="spellEnd"/>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2977"/>
        <w:gridCol w:w="2693"/>
      </w:tblGrid>
      <w:tr w:rsidR="00696517" w:rsidRPr="000137AB" w:rsidTr="00F86F66">
        <w:trPr>
          <w:cantSplit/>
          <w:trHeight w:val="432"/>
        </w:trPr>
        <w:tc>
          <w:tcPr>
            <w:tcW w:w="3407" w:type="dxa"/>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
        </w:tc>
        <w:tc>
          <w:tcPr>
            <w:tcW w:w="2977" w:type="dxa"/>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Frequency</w:t>
            </w:r>
          </w:p>
        </w:tc>
        <w:tc>
          <w:tcPr>
            <w:tcW w:w="2693" w:type="dxa"/>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color w:val="000000"/>
                <w:sz w:val="20"/>
                <w:szCs w:val="20"/>
              </w:rPr>
              <w:t>Percent</w:t>
            </w:r>
            <w:proofErr w:type="spellEnd"/>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None</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48</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96.0</w:t>
            </w:r>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 xml:space="preserve">Chronic </w:t>
            </w:r>
            <w:proofErr w:type="spellStart"/>
            <w:r w:rsidRPr="000137AB">
              <w:rPr>
                <w:color w:val="000000"/>
                <w:sz w:val="20"/>
                <w:szCs w:val="20"/>
              </w:rPr>
              <w:t>diarrhea</w:t>
            </w:r>
            <w:proofErr w:type="spellEnd"/>
            <w:r w:rsidRPr="000137AB">
              <w:rPr>
                <w:color w:val="000000"/>
                <w:sz w:val="20"/>
                <w:szCs w:val="20"/>
              </w:rPr>
              <w:t xml:space="preserve"> </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2.0</w:t>
            </w:r>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H pylori infection</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2.0</w:t>
            </w:r>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Total</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50</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100.0</w:t>
            </w:r>
          </w:p>
        </w:tc>
      </w:tr>
    </w:tbl>
    <w:p w:rsidR="00696517" w:rsidRPr="000137AB" w:rsidRDefault="00696517" w:rsidP="000137AB">
      <w:pPr>
        <w:autoSpaceDE w:val="0"/>
        <w:autoSpaceDN w:val="0"/>
        <w:adjustRightInd w:val="0"/>
        <w:spacing w:line="360" w:lineRule="auto"/>
        <w:jc w:val="both"/>
        <w:rPr>
          <w:sz w:val="20"/>
          <w:szCs w:val="20"/>
        </w:rPr>
      </w:pPr>
    </w:p>
    <w:p w:rsidR="00696517" w:rsidRPr="000137AB" w:rsidRDefault="00696517" w:rsidP="000137AB">
      <w:pPr>
        <w:autoSpaceDE w:val="0"/>
        <w:autoSpaceDN w:val="0"/>
        <w:adjustRightInd w:val="0"/>
        <w:spacing w:line="360" w:lineRule="auto"/>
        <w:jc w:val="both"/>
        <w:rPr>
          <w:sz w:val="20"/>
          <w:szCs w:val="20"/>
        </w:rPr>
      </w:pPr>
    </w:p>
    <w:p w:rsidR="00696517" w:rsidRPr="000137AB" w:rsidRDefault="00696517" w:rsidP="000137AB">
      <w:pPr>
        <w:autoSpaceDE w:val="0"/>
        <w:autoSpaceDN w:val="0"/>
        <w:adjustRightInd w:val="0"/>
        <w:spacing w:line="360" w:lineRule="auto"/>
        <w:jc w:val="both"/>
        <w:rPr>
          <w:sz w:val="20"/>
          <w:szCs w:val="20"/>
        </w:rPr>
      </w:pPr>
      <w:r w:rsidRPr="000137AB">
        <w:rPr>
          <w:sz w:val="20"/>
          <w:szCs w:val="20"/>
        </w:rPr>
        <w:t>Table12:  distribution of the subjects based on alcoholism</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2977"/>
        <w:gridCol w:w="2693"/>
      </w:tblGrid>
      <w:tr w:rsidR="00696517" w:rsidRPr="000137AB" w:rsidTr="00F86F66">
        <w:trPr>
          <w:cantSplit/>
          <w:trHeight w:val="432"/>
        </w:trPr>
        <w:tc>
          <w:tcPr>
            <w:tcW w:w="3407" w:type="dxa"/>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
        </w:tc>
        <w:tc>
          <w:tcPr>
            <w:tcW w:w="2977" w:type="dxa"/>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Frequency</w:t>
            </w:r>
          </w:p>
        </w:tc>
        <w:tc>
          <w:tcPr>
            <w:tcW w:w="2693" w:type="dxa"/>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color w:val="000000"/>
                <w:sz w:val="20"/>
                <w:szCs w:val="20"/>
              </w:rPr>
              <w:t>Percent</w:t>
            </w:r>
            <w:proofErr w:type="spellEnd"/>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lastRenderedPageBreak/>
              <w:t>No</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46</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92.0</w:t>
            </w:r>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Yes</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4</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8.0</w:t>
            </w:r>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Total</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50</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100.0</w:t>
            </w:r>
          </w:p>
        </w:tc>
      </w:tr>
    </w:tbl>
    <w:p w:rsidR="00696517" w:rsidRPr="000137AB" w:rsidRDefault="00696517" w:rsidP="000137AB">
      <w:pPr>
        <w:autoSpaceDE w:val="0"/>
        <w:autoSpaceDN w:val="0"/>
        <w:adjustRightInd w:val="0"/>
        <w:spacing w:line="360" w:lineRule="auto"/>
        <w:jc w:val="both"/>
        <w:rPr>
          <w:sz w:val="20"/>
          <w:szCs w:val="20"/>
        </w:rPr>
      </w:pPr>
    </w:p>
    <w:p w:rsidR="00696517" w:rsidRPr="000137AB" w:rsidRDefault="00696517" w:rsidP="000137AB">
      <w:pPr>
        <w:autoSpaceDE w:val="0"/>
        <w:autoSpaceDN w:val="0"/>
        <w:adjustRightInd w:val="0"/>
        <w:spacing w:line="360" w:lineRule="auto"/>
        <w:ind w:firstLine="720"/>
        <w:jc w:val="both"/>
        <w:rPr>
          <w:sz w:val="20"/>
          <w:szCs w:val="20"/>
        </w:rPr>
      </w:pPr>
    </w:p>
    <w:p w:rsidR="00696517" w:rsidRPr="000137AB" w:rsidRDefault="003217D8" w:rsidP="000137AB">
      <w:pPr>
        <w:autoSpaceDE w:val="0"/>
        <w:autoSpaceDN w:val="0"/>
        <w:adjustRightInd w:val="0"/>
        <w:spacing w:line="360" w:lineRule="auto"/>
        <w:jc w:val="both"/>
        <w:rPr>
          <w:sz w:val="20"/>
          <w:szCs w:val="20"/>
        </w:rPr>
      </w:pPr>
      <w:r w:rsidRPr="000137AB">
        <w:rPr>
          <w:sz w:val="20"/>
          <w:szCs w:val="20"/>
        </w:rPr>
        <w:t>Table 13: distribution of the subjects based on thyroid function</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2977"/>
        <w:gridCol w:w="2693"/>
      </w:tblGrid>
      <w:tr w:rsidR="00696517" w:rsidRPr="000137AB" w:rsidTr="00F86F66">
        <w:trPr>
          <w:cantSplit/>
          <w:trHeight w:val="432"/>
        </w:trPr>
        <w:tc>
          <w:tcPr>
            <w:tcW w:w="3407" w:type="dxa"/>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
        </w:tc>
        <w:tc>
          <w:tcPr>
            <w:tcW w:w="2977" w:type="dxa"/>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Frequency</w:t>
            </w:r>
          </w:p>
        </w:tc>
        <w:tc>
          <w:tcPr>
            <w:tcW w:w="2693" w:type="dxa"/>
            <w:shd w:val="clear" w:color="auto" w:fill="FFC000"/>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color w:val="000000"/>
                <w:sz w:val="20"/>
                <w:szCs w:val="20"/>
              </w:rPr>
              <w:t>Percent</w:t>
            </w:r>
            <w:proofErr w:type="spellEnd"/>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Normal</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44</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88.0</w:t>
            </w:r>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proofErr w:type="spellStart"/>
            <w:r w:rsidRPr="000137AB">
              <w:rPr>
                <w:color w:val="000000"/>
                <w:sz w:val="20"/>
                <w:szCs w:val="20"/>
              </w:rPr>
              <w:t>Hypothyroidsim</w:t>
            </w:r>
            <w:proofErr w:type="spellEnd"/>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6</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12.0</w:t>
            </w:r>
          </w:p>
        </w:tc>
      </w:tr>
      <w:tr w:rsidR="00696517" w:rsidRPr="000137AB" w:rsidTr="00F86F66">
        <w:trPr>
          <w:cantSplit/>
          <w:trHeight w:val="399"/>
        </w:trPr>
        <w:tc>
          <w:tcPr>
            <w:tcW w:w="340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Total</w:t>
            </w:r>
          </w:p>
        </w:tc>
        <w:tc>
          <w:tcPr>
            <w:tcW w:w="2977"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50</w:t>
            </w:r>
          </w:p>
        </w:tc>
        <w:tc>
          <w:tcPr>
            <w:tcW w:w="2693" w:type="dxa"/>
            <w:shd w:val="clear" w:color="auto" w:fill="FFFFFF"/>
            <w:vAlign w:val="center"/>
          </w:tcPr>
          <w:p w:rsidR="00696517" w:rsidRPr="000137AB" w:rsidRDefault="00696517" w:rsidP="000137AB">
            <w:pPr>
              <w:autoSpaceDE w:val="0"/>
              <w:autoSpaceDN w:val="0"/>
              <w:adjustRightInd w:val="0"/>
              <w:spacing w:line="360" w:lineRule="auto"/>
              <w:ind w:left="60" w:right="60"/>
              <w:jc w:val="both"/>
              <w:rPr>
                <w:color w:val="000000"/>
                <w:sz w:val="20"/>
                <w:szCs w:val="20"/>
              </w:rPr>
            </w:pPr>
            <w:r w:rsidRPr="000137AB">
              <w:rPr>
                <w:color w:val="000000"/>
                <w:sz w:val="20"/>
                <w:szCs w:val="20"/>
              </w:rPr>
              <w:t>100.0</w:t>
            </w:r>
          </w:p>
        </w:tc>
      </w:tr>
    </w:tbl>
    <w:p w:rsidR="004C66B3" w:rsidRPr="000137AB" w:rsidRDefault="004C66B3" w:rsidP="000137AB">
      <w:pPr>
        <w:spacing w:line="360" w:lineRule="auto"/>
        <w:jc w:val="both"/>
        <w:outlineLvl w:val="0"/>
        <w:rPr>
          <w:color w:val="000000"/>
          <w:sz w:val="20"/>
          <w:szCs w:val="20"/>
        </w:rPr>
      </w:pPr>
    </w:p>
    <w:p w:rsidR="0085003E" w:rsidRPr="000137AB" w:rsidRDefault="009417B1" w:rsidP="000137AB">
      <w:pPr>
        <w:spacing w:line="360" w:lineRule="auto"/>
        <w:jc w:val="both"/>
        <w:rPr>
          <w:b/>
          <w:color w:val="000000"/>
          <w:sz w:val="20"/>
          <w:szCs w:val="20"/>
        </w:rPr>
      </w:pPr>
      <w:r w:rsidRPr="000137AB">
        <w:rPr>
          <w:b/>
          <w:color w:val="000000"/>
          <w:sz w:val="20"/>
          <w:szCs w:val="20"/>
        </w:rPr>
        <w:t>Di</w:t>
      </w:r>
      <w:r w:rsidR="0085003E" w:rsidRPr="000137AB">
        <w:rPr>
          <w:b/>
          <w:color w:val="000000"/>
          <w:sz w:val="20"/>
          <w:szCs w:val="20"/>
        </w:rPr>
        <w:t>scussion:</w:t>
      </w:r>
    </w:p>
    <w:p w:rsidR="003217D8" w:rsidRPr="000137AB" w:rsidRDefault="003217D8" w:rsidP="000137AB">
      <w:pPr>
        <w:autoSpaceDE w:val="0"/>
        <w:autoSpaceDN w:val="0"/>
        <w:adjustRightInd w:val="0"/>
        <w:spacing w:line="360" w:lineRule="auto"/>
        <w:jc w:val="both"/>
        <w:rPr>
          <w:color w:val="000000"/>
          <w:sz w:val="20"/>
          <w:szCs w:val="20"/>
          <w:lang w:val="en-US"/>
        </w:rPr>
      </w:pPr>
      <w:proofErr w:type="gramStart"/>
      <w:r w:rsidRPr="000137AB">
        <w:rPr>
          <w:bCs/>
          <w:color w:val="000000"/>
          <w:sz w:val="20"/>
          <w:szCs w:val="20"/>
          <w:lang w:val="en-US"/>
        </w:rPr>
        <w:t>1)Sample</w:t>
      </w:r>
      <w:proofErr w:type="gramEnd"/>
      <w:r w:rsidRPr="000137AB">
        <w:rPr>
          <w:bCs/>
          <w:color w:val="000000"/>
          <w:sz w:val="20"/>
          <w:szCs w:val="20"/>
          <w:lang w:val="en-US"/>
        </w:rPr>
        <w:t xml:space="preserve"> size with Age and sex Distribution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This is a cross-sectional study of 230 cases. The mean age is 54.11±12.14 years in the study group. In a study by </w:t>
      </w:r>
      <w:proofErr w:type="spellStart"/>
      <w:r w:rsidRPr="000137AB">
        <w:rPr>
          <w:color w:val="000000"/>
          <w:sz w:val="20"/>
          <w:szCs w:val="20"/>
          <w:lang w:val="en-US"/>
        </w:rPr>
        <w:t>Rathod</w:t>
      </w:r>
      <w:proofErr w:type="spellEnd"/>
      <w:r w:rsidRPr="000137AB">
        <w:rPr>
          <w:color w:val="000000"/>
          <w:sz w:val="20"/>
          <w:szCs w:val="20"/>
          <w:lang w:val="en-US"/>
        </w:rPr>
        <w:t xml:space="preserve"> G B et al, mean age in study patients was 59±13 years</w:t>
      </w:r>
      <w:r w:rsidRPr="000137AB">
        <w:rPr>
          <w:color w:val="000000"/>
          <w:sz w:val="20"/>
          <w:szCs w:val="20"/>
          <w:vertAlign w:val="superscript"/>
          <w:lang w:val="en-US"/>
        </w:rPr>
        <w:t>6</w:t>
      </w:r>
      <w:r w:rsidRPr="000137AB">
        <w:rPr>
          <w:color w:val="000000"/>
          <w:sz w:val="20"/>
          <w:szCs w:val="20"/>
          <w:lang w:val="en-US"/>
        </w:rPr>
        <w:t xml:space="preserve">, </w:t>
      </w:r>
    </w:p>
    <w:p w:rsidR="003217D8" w:rsidRPr="000137AB" w:rsidRDefault="003217D8" w:rsidP="000137AB">
      <w:pPr>
        <w:spacing w:line="360" w:lineRule="auto"/>
        <w:jc w:val="both"/>
        <w:rPr>
          <w:color w:val="000000"/>
          <w:sz w:val="20"/>
          <w:szCs w:val="20"/>
          <w:lang w:val="en-US"/>
        </w:rPr>
      </w:pPr>
      <w:r w:rsidRPr="000137AB">
        <w:rPr>
          <w:color w:val="000000"/>
          <w:sz w:val="20"/>
          <w:szCs w:val="20"/>
          <w:lang w:val="en-US"/>
        </w:rPr>
        <w:t xml:space="preserve">Out of the 230 subjects, 54 were males and 176 were females. </w:t>
      </w:r>
      <w:proofErr w:type="spellStart"/>
      <w:r w:rsidRPr="000137AB">
        <w:rPr>
          <w:color w:val="000000"/>
          <w:sz w:val="20"/>
          <w:szCs w:val="20"/>
          <w:lang w:val="en-US"/>
        </w:rPr>
        <w:t>However</w:t>
      </w:r>
      <w:proofErr w:type="gramStart"/>
      <w:r w:rsidRPr="000137AB">
        <w:rPr>
          <w:color w:val="000000"/>
          <w:sz w:val="20"/>
          <w:szCs w:val="20"/>
          <w:lang w:val="en-US"/>
        </w:rPr>
        <w:t>,in</w:t>
      </w:r>
      <w:proofErr w:type="spellEnd"/>
      <w:proofErr w:type="gramEnd"/>
      <w:r w:rsidRPr="000137AB">
        <w:rPr>
          <w:color w:val="000000"/>
          <w:sz w:val="20"/>
          <w:szCs w:val="20"/>
          <w:lang w:val="en-US"/>
        </w:rPr>
        <w:t xml:space="preserve"> a study done by </w:t>
      </w:r>
      <w:proofErr w:type="spellStart"/>
      <w:r w:rsidRPr="000137AB">
        <w:rPr>
          <w:color w:val="000000"/>
          <w:sz w:val="20"/>
          <w:szCs w:val="20"/>
          <w:lang w:val="en-US"/>
        </w:rPr>
        <w:t>Rathod</w:t>
      </w:r>
      <w:proofErr w:type="spellEnd"/>
      <w:r w:rsidRPr="000137AB">
        <w:rPr>
          <w:color w:val="000000"/>
          <w:sz w:val="20"/>
          <w:szCs w:val="20"/>
          <w:lang w:val="en-US"/>
        </w:rPr>
        <w:t xml:space="preserve"> G B et al, in diabetic patients out of the 200 cases, 86 cases were females and 114 were males</w:t>
      </w:r>
      <w:r w:rsidRPr="000137AB">
        <w:rPr>
          <w:color w:val="000000"/>
          <w:sz w:val="20"/>
          <w:szCs w:val="20"/>
          <w:vertAlign w:val="superscript"/>
          <w:lang w:val="en-US"/>
        </w:rPr>
        <w:t>6</w:t>
      </w:r>
      <w:r w:rsidRPr="000137AB">
        <w:rPr>
          <w:color w:val="000000"/>
          <w:sz w:val="20"/>
          <w:szCs w:val="20"/>
          <w:lang w:val="en-US"/>
        </w:rPr>
        <w:t xml:space="preserve"> which differed from the gender ratio of the current study which has predominant female population</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bCs/>
          <w:color w:val="000000"/>
          <w:sz w:val="20"/>
          <w:szCs w:val="20"/>
          <w:lang w:val="en-US"/>
        </w:rPr>
        <w:t xml:space="preserve">2. Renal Function and normal cutoff </w:t>
      </w:r>
    </w:p>
    <w:p w:rsidR="003217D8" w:rsidRPr="000137AB" w:rsidRDefault="003217D8" w:rsidP="000137AB">
      <w:pPr>
        <w:pStyle w:val="Default"/>
        <w:spacing w:line="360" w:lineRule="auto"/>
        <w:jc w:val="both"/>
        <w:rPr>
          <w:rFonts w:eastAsia="Times New Roman"/>
          <w:sz w:val="20"/>
          <w:szCs w:val="20"/>
        </w:rPr>
      </w:pPr>
      <w:r w:rsidRPr="000137AB">
        <w:rPr>
          <w:sz w:val="20"/>
          <w:szCs w:val="20"/>
        </w:rPr>
        <w:t xml:space="preserve">The subjects chosen in our study had normal renal function as per the </w:t>
      </w:r>
      <w:proofErr w:type="spellStart"/>
      <w:r w:rsidRPr="000137AB">
        <w:rPr>
          <w:sz w:val="20"/>
          <w:szCs w:val="20"/>
        </w:rPr>
        <w:t>eGFR</w:t>
      </w:r>
      <w:proofErr w:type="spellEnd"/>
      <w:r w:rsidRPr="000137AB">
        <w:rPr>
          <w:sz w:val="20"/>
          <w:szCs w:val="20"/>
        </w:rPr>
        <w:t xml:space="preserve"> cutoffs by KDIGO</w:t>
      </w:r>
      <w:r w:rsidRPr="000137AB">
        <w:rPr>
          <w:sz w:val="20"/>
          <w:szCs w:val="20"/>
          <w:vertAlign w:val="superscript"/>
        </w:rPr>
        <w:t>7</w:t>
      </w:r>
      <w:r w:rsidRPr="000137AB">
        <w:rPr>
          <w:sz w:val="20"/>
          <w:szCs w:val="20"/>
        </w:rPr>
        <w:t xml:space="preserve">.Also in our study subjects with age adjusted </w:t>
      </w:r>
      <w:proofErr w:type="spellStart"/>
      <w:r w:rsidRPr="000137AB">
        <w:rPr>
          <w:sz w:val="20"/>
          <w:szCs w:val="20"/>
        </w:rPr>
        <w:t>eGFR</w:t>
      </w:r>
      <w:proofErr w:type="spellEnd"/>
      <w:r w:rsidRPr="000137AB">
        <w:rPr>
          <w:sz w:val="20"/>
          <w:szCs w:val="20"/>
        </w:rPr>
        <w:t xml:space="preserve"> falling below the cutoffs were included as per Third National health and nutrition examination survey data </w:t>
      </w:r>
      <w:r w:rsidRPr="000137AB">
        <w:rPr>
          <w:sz w:val="20"/>
          <w:szCs w:val="20"/>
          <w:vertAlign w:val="superscript"/>
        </w:rPr>
        <w:t>8</w:t>
      </w:r>
      <w:r w:rsidRPr="000137AB">
        <w:rPr>
          <w:sz w:val="20"/>
          <w:szCs w:val="20"/>
        </w:rPr>
        <w:t>especially for the subjects aged more than 60years</w:t>
      </w:r>
      <w:proofErr w:type="gramStart"/>
      <w:r w:rsidRPr="000137AB">
        <w:rPr>
          <w:sz w:val="20"/>
          <w:szCs w:val="20"/>
        </w:rPr>
        <w:t>.(</w:t>
      </w:r>
      <w:proofErr w:type="gramEnd"/>
      <w:r w:rsidRPr="000137AB">
        <w:rPr>
          <w:sz w:val="20"/>
          <w:szCs w:val="20"/>
        </w:rPr>
        <w:t xml:space="preserve">there were 82 subjects who were above 60years of age and out of them for 44 subjects this age adjusted </w:t>
      </w:r>
      <w:proofErr w:type="spellStart"/>
      <w:r w:rsidRPr="000137AB">
        <w:rPr>
          <w:sz w:val="20"/>
          <w:szCs w:val="20"/>
        </w:rPr>
        <w:t>cutfoff</w:t>
      </w:r>
      <w:proofErr w:type="spellEnd"/>
      <w:r w:rsidRPr="000137AB">
        <w:rPr>
          <w:sz w:val="20"/>
          <w:szCs w:val="20"/>
        </w:rPr>
        <w:t xml:space="preserve"> was </w:t>
      </w:r>
      <w:r w:rsidRPr="000137AB">
        <w:rPr>
          <w:rFonts w:eastAsia="Times New Roman"/>
          <w:sz w:val="20"/>
          <w:szCs w:val="20"/>
        </w:rPr>
        <w:t xml:space="preserve">applied. Rest had their </w:t>
      </w:r>
      <w:proofErr w:type="spellStart"/>
      <w:r w:rsidRPr="000137AB">
        <w:rPr>
          <w:rFonts w:eastAsia="Times New Roman"/>
          <w:sz w:val="20"/>
          <w:szCs w:val="20"/>
        </w:rPr>
        <w:t>eGFR</w:t>
      </w:r>
      <w:proofErr w:type="spellEnd"/>
      <w:r w:rsidRPr="000137AB">
        <w:rPr>
          <w:rFonts w:eastAsia="Times New Roman"/>
          <w:sz w:val="20"/>
          <w:szCs w:val="20"/>
        </w:rPr>
        <w:t xml:space="preserve"> &gt;90) </w:t>
      </w:r>
      <w:proofErr w:type="gramStart"/>
      <w:r w:rsidRPr="000137AB">
        <w:rPr>
          <w:rFonts w:eastAsia="Times New Roman"/>
          <w:sz w:val="20"/>
          <w:szCs w:val="20"/>
        </w:rPr>
        <w:t>As</w:t>
      </w:r>
      <w:proofErr w:type="gramEnd"/>
      <w:r w:rsidRPr="000137AB">
        <w:rPr>
          <w:rFonts w:eastAsia="Times New Roman"/>
          <w:sz w:val="20"/>
          <w:szCs w:val="20"/>
        </w:rPr>
        <w:t xml:space="preserve"> per study by C Grossman et al, the </w:t>
      </w:r>
      <w:proofErr w:type="spellStart"/>
      <w:r w:rsidRPr="000137AB">
        <w:rPr>
          <w:rFonts w:eastAsia="Times New Roman"/>
          <w:sz w:val="20"/>
          <w:szCs w:val="20"/>
        </w:rPr>
        <w:t>eGFR</w:t>
      </w:r>
      <w:proofErr w:type="spellEnd"/>
      <w:r w:rsidRPr="000137AB">
        <w:rPr>
          <w:rFonts w:eastAsia="Times New Roman"/>
          <w:sz w:val="20"/>
          <w:szCs w:val="20"/>
        </w:rPr>
        <w:t xml:space="preserve"> cutoff chosen was 60ml/min</w:t>
      </w:r>
      <w:r w:rsidRPr="000137AB">
        <w:rPr>
          <w:rFonts w:eastAsia="Times New Roman"/>
          <w:sz w:val="20"/>
          <w:szCs w:val="20"/>
          <w:vertAlign w:val="superscript"/>
        </w:rPr>
        <w:t>10</w:t>
      </w:r>
      <w:r w:rsidRPr="000137AB">
        <w:rPr>
          <w:rFonts w:eastAsia="Times New Roman"/>
          <w:sz w:val="20"/>
          <w:szCs w:val="20"/>
        </w:rPr>
        <w:t xml:space="preserve">. But in our study the cutoff in accordance with KDIGO was chosen as 90ml/min. </w:t>
      </w:r>
    </w:p>
    <w:p w:rsidR="003217D8" w:rsidRPr="000137AB" w:rsidRDefault="003217D8" w:rsidP="000137AB">
      <w:pPr>
        <w:spacing w:line="360" w:lineRule="auto"/>
        <w:jc w:val="both"/>
        <w:rPr>
          <w:color w:val="000000"/>
          <w:sz w:val="20"/>
          <w:szCs w:val="20"/>
          <w:lang w:val="en-US"/>
        </w:rPr>
      </w:pPr>
      <w:r w:rsidRPr="000137AB">
        <w:rPr>
          <w:color w:val="000000"/>
          <w:sz w:val="20"/>
          <w:szCs w:val="20"/>
          <w:lang w:val="en-US"/>
        </w:rPr>
        <w:t xml:space="preserve">In a study by </w:t>
      </w:r>
      <w:proofErr w:type="spellStart"/>
      <w:r w:rsidRPr="000137AB">
        <w:rPr>
          <w:color w:val="000000"/>
          <w:sz w:val="20"/>
          <w:szCs w:val="20"/>
          <w:lang w:val="en-US"/>
        </w:rPr>
        <w:t>Puneeth</w:t>
      </w:r>
      <w:proofErr w:type="spellEnd"/>
      <w:r w:rsidRPr="000137AB">
        <w:rPr>
          <w:color w:val="000000"/>
          <w:sz w:val="20"/>
          <w:szCs w:val="20"/>
          <w:lang w:val="en-US"/>
        </w:rPr>
        <w:t xml:space="preserve"> B </w:t>
      </w:r>
      <w:proofErr w:type="spellStart"/>
      <w:r w:rsidRPr="000137AB">
        <w:rPr>
          <w:color w:val="000000"/>
          <w:sz w:val="20"/>
          <w:szCs w:val="20"/>
          <w:lang w:val="en-US"/>
        </w:rPr>
        <w:t xml:space="preserve">S </w:t>
      </w:r>
      <w:proofErr w:type="gramStart"/>
      <w:r w:rsidRPr="000137AB">
        <w:rPr>
          <w:color w:val="000000"/>
          <w:sz w:val="20"/>
          <w:szCs w:val="20"/>
          <w:lang w:val="en-US"/>
        </w:rPr>
        <w:t>et</w:t>
      </w:r>
      <w:proofErr w:type="spellEnd"/>
      <w:proofErr w:type="gramEnd"/>
      <w:r w:rsidRPr="000137AB">
        <w:rPr>
          <w:color w:val="000000"/>
          <w:sz w:val="20"/>
          <w:szCs w:val="20"/>
          <w:lang w:val="en-US"/>
        </w:rPr>
        <w:t xml:space="preserve"> al</w:t>
      </w:r>
      <w:r w:rsidRPr="000137AB">
        <w:rPr>
          <w:color w:val="000000"/>
          <w:sz w:val="20"/>
          <w:szCs w:val="20"/>
          <w:vertAlign w:val="superscript"/>
          <w:lang w:val="en-US"/>
        </w:rPr>
        <w:t>9</w:t>
      </w:r>
      <w:r w:rsidRPr="000137AB">
        <w:rPr>
          <w:color w:val="000000"/>
          <w:sz w:val="20"/>
          <w:szCs w:val="20"/>
          <w:lang w:val="en-US"/>
        </w:rPr>
        <w:t>, Out of 100 patients 16% of them had Diabetic nephropathy.</w:t>
      </w:r>
    </w:p>
    <w:p w:rsidR="003217D8" w:rsidRPr="000137AB" w:rsidRDefault="003217D8" w:rsidP="000137AB">
      <w:pPr>
        <w:autoSpaceDE w:val="0"/>
        <w:autoSpaceDN w:val="0"/>
        <w:adjustRightInd w:val="0"/>
        <w:spacing w:line="360" w:lineRule="auto"/>
        <w:jc w:val="both"/>
        <w:rPr>
          <w:color w:val="000000"/>
          <w:sz w:val="20"/>
          <w:szCs w:val="20"/>
          <w:lang w:val="en-US"/>
        </w:rPr>
      </w:pPr>
      <w:proofErr w:type="gramStart"/>
      <w:r w:rsidRPr="000137AB">
        <w:rPr>
          <w:bCs/>
          <w:color w:val="000000"/>
          <w:sz w:val="20"/>
          <w:szCs w:val="20"/>
          <w:lang w:val="en-US"/>
        </w:rPr>
        <w:t>3.Occurence</w:t>
      </w:r>
      <w:proofErr w:type="gramEnd"/>
      <w:r w:rsidRPr="000137AB">
        <w:rPr>
          <w:bCs/>
          <w:color w:val="000000"/>
          <w:sz w:val="20"/>
          <w:szCs w:val="20"/>
          <w:lang w:val="en-US"/>
        </w:rPr>
        <w:t xml:space="preserve"> of anemia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The occurrence of anemia in a study by </w:t>
      </w:r>
      <w:proofErr w:type="spellStart"/>
      <w:r w:rsidRPr="000137AB">
        <w:rPr>
          <w:color w:val="000000"/>
          <w:sz w:val="20"/>
          <w:szCs w:val="20"/>
          <w:lang w:val="en-US"/>
        </w:rPr>
        <w:t>Rathod</w:t>
      </w:r>
      <w:proofErr w:type="spellEnd"/>
      <w:r w:rsidRPr="000137AB">
        <w:rPr>
          <w:color w:val="000000"/>
          <w:sz w:val="20"/>
          <w:szCs w:val="20"/>
          <w:lang w:val="en-US"/>
        </w:rPr>
        <w:t xml:space="preserve"> G B </w:t>
      </w:r>
      <w:proofErr w:type="gramStart"/>
      <w:r w:rsidRPr="000137AB">
        <w:rPr>
          <w:color w:val="000000"/>
          <w:sz w:val="20"/>
          <w:szCs w:val="20"/>
          <w:lang w:val="en-US"/>
        </w:rPr>
        <w:t>et</w:t>
      </w:r>
      <w:proofErr w:type="gramEnd"/>
      <w:r w:rsidRPr="000137AB">
        <w:rPr>
          <w:color w:val="000000"/>
          <w:sz w:val="20"/>
          <w:szCs w:val="20"/>
          <w:lang w:val="en-US"/>
        </w:rPr>
        <w:t xml:space="preserve"> al</w:t>
      </w:r>
      <w:r w:rsidRPr="000137AB">
        <w:rPr>
          <w:color w:val="000000"/>
          <w:sz w:val="20"/>
          <w:szCs w:val="20"/>
          <w:vertAlign w:val="superscript"/>
          <w:lang w:val="en-US"/>
        </w:rPr>
        <w:t>6</w:t>
      </w:r>
      <w:r w:rsidRPr="000137AB">
        <w:rPr>
          <w:color w:val="000000"/>
          <w:sz w:val="20"/>
          <w:szCs w:val="20"/>
          <w:lang w:val="en-US"/>
        </w:rPr>
        <w:t xml:space="preserve"> on diabetic subjects was found to be 18%. In our study it was found to be 21.73%.The above said study had similar population distribution in terms of renal function. 87% of subjects in the above quoted study had normal serum </w:t>
      </w:r>
      <w:proofErr w:type="spellStart"/>
      <w:r w:rsidRPr="000137AB">
        <w:rPr>
          <w:color w:val="000000"/>
          <w:sz w:val="20"/>
          <w:szCs w:val="20"/>
          <w:lang w:val="en-US"/>
        </w:rPr>
        <w:t>creatinine</w:t>
      </w:r>
      <w:proofErr w:type="spellEnd"/>
      <w:r w:rsidRPr="000137AB">
        <w:rPr>
          <w:color w:val="000000"/>
          <w:sz w:val="20"/>
          <w:szCs w:val="20"/>
          <w:lang w:val="en-US"/>
        </w:rPr>
        <w:t xml:space="preserve">. In our study all the subjects had normal renal function.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Another study by C Grossman </w:t>
      </w:r>
      <w:proofErr w:type="gramStart"/>
      <w:r w:rsidRPr="000137AB">
        <w:rPr>
          <w:color w:val="000000"/>
          <w:sz w:val="20"/>
          <w:szCs w:val="20"/>
          <w:lang w:val="en-US"/>
        </w:rPr>
        <w:t>et</w:t>
      </w:r>
      <w:proofErr w:type="gramEnd"/>
      <w:r w:rsidRPr="000137AB">
        <w:rPr>
          <w:color w:val="000000"/>
          <w:sz w:val="20"/>
          <w:szCs w:val="20"/>
          <w:lang w:val="en-US"/>
        </w:rPr>
        <w:t xml:space="preserve"> al120 which was conducted in diabetic individuals with normal renal function, had anemia in 10.8% of subjects in a total of 445 diabetics.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In a study by </w:t>
      </w:r>
      <w:proofErr w:type="spellStart"/>
      <w:r w:rsidRPr="000137AB">
        <w:rPr>
          <w:color w:val="000000"/>
          <w:sz w:val="20"/>
          <w:szCs w:val="20"/>
          <w:lang w:val="en-US"/>
        </w:rPr>
        <w:t>Archana</w:t>
      </w:r>
      <w:proofErr w:type="spellEnd"/>
      <w:r w:rsidRPr="000137AB">
        <w:rPr>
          <w:color w:val="000000"/>
          <w:sz w:val="20"/>
          <w:szCs w:val="20"/>
          <w:lang w:val="en-US"/>
        </w:rPr>
        <w:t xml:space="preserve"> Gupta </w:t>
      </w:r>
      <w:proofErr w:type="gramStart"/>
      <w:r w:rsidRPr="000137AB">
        <w:rPr>
          <w:color w:val="000000"/>
          <w:sz w:val="20"/>
          <w:szCs w:val="20"/>
          <w:lang w:val="en-US"/>
        </w:rPr>
        <w:t>et</w:t>
      </w:r>
      <w:proofErr w:type="gramEnd"/>
      <w:r w:rsidRPr="000137AB">
        <w:rPr>
          <w:color w:val="000000"/>
          <w:sz w:val="20"/>
          <w:szCs w:val="20"/>
          <w:lang w:val="en-US"/>
        </w:rPr>
        <w:t xml:space="preserve"> al</w:t>
      </w:r>
      <w:r w:rsidRPr="000137AB">
        <w:rPr>
          <w:color w:val="000000"/>
          <w:sz w:val="20"/>
          <w:szCs w:val="20"/>
          <w:vertAlign w:val="superscript"/>
          <w:lang w:val="en-US"/>
        </w:rPr>
        <w:t>11</w:t>
      </w:r>
      <w:r w:rsidRPr="000137AB">
        <w:rPr>
          <w:color w:val="000000"/>
          <w:sz w:val="20"/>
          <w:szCs w:val="20"/>
          <w:lang w:val="en-US"/>
        </w:rPr>
        <w:t xml:space="preserve"> 79 patients (79%) had </w:t>
      </w:r>
      <w:proofErr w:type="spellStart"/>
      <w:r w:rsidRPr="000137AB">
        <w:rPr>
          <w:color w:val="000000"/>
          <w:sz w:val="20"/>
          <w:szCs w:val="20"/>
          <w:lang w:val="en-US"/>
        </w:rPr>
        <w:t>haemoglobin</w:t>
      </w:r>
      <w:proofErr w:type="spellEnd"/>
      <w:r w:rsidRPr="000137AB">
        <w:rPr>
          <w:color w:val="000000"/>
          <w:sz w:val="20"/>
          <w:szCs w:val="20"/>
          <w:lang w:val="en-US"/>
        </w:rPr>
        <w:t xml:space="preserve"> levels below cut off of 12 g/</w:t>
      </w:r>
      <w:proofErr w:type="spellStart"/>
      <w:r w:rsidRPr="000137AB">
        <w:rPr>
          <w:color w:val="000000"/>
          <w:sz w:val="20"/>
          <w:szCs w:val="20"/>
          <w:lang w:val="en-US"/>
        </w:rPr>
        <w:t>dL</w:t>
      </w:r>
      <w:proofErr w:type="spellEnd"/>
      <w:r w:rsidRPr="000137AB">
        <w:rPr>
          <w:color w:val="000000"/>
          <w:sz w:val="20"/>
          <w:szCs w:val="20"/>
          <w:lang w:val="en-US"/>
        </w:rPr>
        <w:t xml:space="preserve"> for females and 13 g/</w:t>
      </w:r>
      <w:proofErr w:type="spellStart"/>
      <w:r w:rsidRPr="000137AB">
        <w:rPr>
          <w:color w:val="000000"/>
          <w:sz w:val="20"/>
          <w:szCs w:val="20"/>
          <w:lang w:val="en-US"/>
        </w:rPr>
        <w:t>dL</w:t>
      </w:r>
      <w:proofErr w:type="spellEnd"/>
      <w:r w:rsidRPr="000137AB">
        <w:rPr>
          <w:color w:val="000000"/>
          <w:sz w:val="20"/>
          <w:szCs w:val="20"/>
          <w:lang w:val="en-US"/>
        </w:rPr>
        <w:t xml:space="preserve"> for </w:t>
      </w:r>
      <w:proofErr w:type="spellStart"/>
      <w:r w:rsidRPr="000137AB">
        <w:rPr>
          <w:color w:val="000000"/>
          <w:sz w:val="20"/>
          <w:szCs w:val="20"/>
          <w:lang w:val="en-US"/>
        </w:rPr>
        <w:t>males.This</w:t>
      </w:r>
      <w:proofErr w:type="spellEnd"/>
      <w:r w:rsidRPr="000137AB">
        <w:rPr>
          <w:color w:val="000000"/>
          <w:sz w:val="20"/>
          <w:szCs w:val="20"/>
          <w:lang w:val="en-US"/>
        </w:rPr>
        <w:t xml:space="preserve"> was conducted in </w:t>
      </w:r>
      <w:proofErr w:type="spellStart"/>
      <w:r w:rsidRPr="000137AB">
        <w:rPr>
          <w:color w:val="000000"/>
          <w:sz w:val="20"/>
          <w:szCs w:val="20"/>
          <w:lang w:val="en-US"/>
        </w:rPr>
        <w:t>jammu</w:t>
      </w:r>
      <w:proofErr w:type="spellEnd"/>
      <w:r w:rsidRPr="000137AB">
        <w:rPr>
          <w:color w:val="000000"/>
          <w:sz w:val="20"/>
          <w:szCs w:val="20"/>
          <w:lang w:val="en-US"/>
        </w:rPr>
        <w:t xml:space="preserve"> for a period of 6 months.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Anemia was present in 45% of patients in the study by </w:t>
      </w:r>
      <w:proofErr w:type="spellStart"/>
      <w:r w:rsidRPr="000137AB">
        <w:rPr>
          <w:color w:val="000000"/>
          <w:sz w:val="20"/>
          <w:szCs w:val="20"/>
          <w:lang w:val="en-US"/>
        </w:rPr>
        <w:t>Puneeth</w:t>
      </w:r>
      <w:proofErr w:type="spellEnd"/>
      <w:r w:rsidRPr="000137AB">
        <w:rPr>
          <w:color w:val="000000"/>
          <w:sz w:val="20"/>
          <w:szCs w:val="20"/>
          <w:lang w:val="en-US"/>
        </w:rPr>
        <w:t xml:space="preserve"> B </w:t>
      </w:r>
      <w:proofErr w:type="spellStart"/>
      <w:r w:rsidRPr="000137AB">
        <w:rPr>
          <w:color w:val="000000"/>
          <w:sz w:val="20"/>
          <w:szCs w:val="20"/>
          <w:lang w:val="en-US"/>
        </w:rPr>
        <w:t xml:space="preserve">S </w:t>
      </w:r>
      <w:proofErr w:type="gramStart"/>
      <w:r w:rsidRPr="000137AB">
        <w:rPr>
          <w:color w:val="000000"/>
          <w:sz w:val="20"/>
          <w:szCs w:val="20"/>
          <w:lang w:val="en-US"/>
        </w:rPr>
        <w:t>et</w:t>
      </w:r>
      <w:proofErr w:type="spellEnd"/>
      <w:proofErr w:type="gramEnd"/>
      <w:r w:rsidRPr="000137AB">
        <w:rPr>
          <w:color w:val="000000"/>
          <w:sz w:val="20"/>
          <w:szCs w:val="20"/>
          <w:lang w:val="en-US"/>
        </w:rPr>
        <w:t xml:space="preserve"> al</w:t>
      </w:r>
      <w:r w:rsidRPr="000137AB">
        <w:rPr>
          <w:color w:val="000000"/>
          <w:sz w:val="20"/>
          <w:szCs w:val="20"/>
          <w:vertAlign w:val="superscript"/>
          <w:lang w:val="en-US"/>
        </w:rPr>
        <w:t>9</w:t>
      </w:r>
      <w:r w:rsidRPr="000137AB">
        <w:rPr>
          <w:color w:val="000000"/>
          <w:sz w:val="20"/>
          <w:szCs w:val="20"/>
          <w:lang w:val="en-US"/>
        </w:rPr>
        <w:t xml:space="preserve">. </w:t>
      </w:r>
    </w:p>
    <w:p w:rsidR="003217D8" w:rsidRPr="000137AB" w:rsidRDefault="003217D8" w:rsidP="000137AB">
      <w:pPr>
        <w:spacing w:line="360" w:lineRule="auto"/>
        <w:jc w:val="both"/>
        <w:rPr>
          <w:color w:val="000000"/>
          <w:sz w:val="20"/>
          <w:szCs w:val="20"/>
          <w:lang w:val="en-US"/>
        </w:rPr>
      </w:pPr>
      <w:proofErr w:type="gramStart"/>
      <w:r w:rsidRPr="000137AB">
        <w:rPr>
          <w:bCs/>
          <w:color w:val="000000"/>
          <w:sz w:val="20"/>
          <w:szCs w:val="20"/>
          <w:lang w:val="en-US"/>
        </w:rPr>
        <w:t>4.Anemia</w:t>
      </w:r>
      <w:proofErr w:type="gramEnd"/>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Anemia profile wasn’t done in most of the studies. In our study out of the 50 anemic subjects,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lastRenderedPageBreak/>
        <w:t>12.6% had Iron deficiency anemia which was the most common form of anemia. Next being anemia of chronic disease which accounted for 5.7</w:t>
      </w:r>
      <w:proofErr w:type="gramStart"/>
      <w:r w:rsidRPr="000137AB">
        <w:rPr>
          <w:color w:val="000000"/>
          <w:sz w:val="20"/>
          <w:szCs w:val="20"/>
          <w:lang w:val="en-US"/>
        </w:rPr>
        <w:t>% .</w:t>
      </w:r>
      <w:proofErr w:type="gramEnd"/>
      <w:r w:rsidRPr="000137AB">
        <w:rPr>
          <w:color w:val="000000"/>
          <w:sz w:val="20"/>
          <w:szCs w:val="20"/>
          <w:lang w:val="en-US"/>
        </w:rPr>
        <w:t xml:space="preserve">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60% had microcytic anemia, the most common form and 26% had normocytic anemia the next most common form. </w:t>
      </w:r>
    </w:p>
    <w:p w:rsidR="003217D8" w:rsidRPr="000137AB" w:rsidRDefault="003217D8" w:rsidP="000137AB">
      <w:pPr>
        <w:spacing w:line="360" w:lineRule="auto"/>
        <w:jc w:val="both"/>
        <w:rPr>
          <w:color w:val="000000"/>
          <w:sz w:val="20"/>
          <w:szCs w:val="20"/>
          <w:vertAlign w:val="superscript"/>
          <w:lang w:val="en-US"/>
        </w:rPr>
      </w:pPr>
      <w:r w:rsidRPr="000137AB">
        <w:rPr>
          <w:color w:val="000000"/>
          <w:sz w:val="20"/>
          <w:szCs w:val="20"/>
          <w:lang w:val="en-US"/>
        </w:rPr>
        <w:t xml:space="preserve">Previous studies on diabetic patients have shown that longstanding poorly controlled diabetes is associated with normocytic normochromic </w:t>
      </w:r>
      <w:proofErr w:type="spellStart"/>
      <w:r w:rsidRPr="000137AB">
        <w:rPr>
          <w:color w:val="000000"/>
          <w:sz w:val="20"/>
          <w:szCs w:val="20"/>
          <w:lang w:val="en-US"/>
        </w:rPr>
        <w:t>anaemia</w:t>
      </w:r>
      <w:proofErr w:type="spellEnd"/>
      <w:r w:rsidRPr="000137AB">
        <w:rPr>
          <w:color w:val="000000"/>
          <w:sz w:val="20"/>
          <w:szCs w:val="20"/>
          <w:lang w:val="en-US"/>
        </w:rPr>
        <w:t xml:space="preserve"> and precedes clinical evidence of renal impairment</w:t>
      </w:r>
      <w:r w:rsidRPr="000137AB">
        <w:rPr>
          <w:color w:val="000000"/>
          <w:sz w:val="20"/>
          <w:szCs w:val="20"/>
          <w:vertAlign w:val="superscript"/>
          <w:lang w:val="en-US"/>
        </w:rPr>
        <w:t>12</w:t>
      </w:r>
      <w:r w:rsidRPr="000137AB">
        <w:rPr>
          <w:color w:val="000000"/>
          <w:sz w:val="20"/>
          <w:szCs w:val="20"/>
          <w:lang w:val="en-US"/>
        </w:rPr>
        <w:t xml:space="preserve">.Normocytic mild </w:t>
      </w:r>
      <w:proofErr w:type="spellStart"/>
      <w:r w:rsidRPr="000137AB">
        <w:rPr>
          <w:color w:val="000000"/>
          <w:sz w:val="20"/>
          <w:szCs w:val="20"/>
          <w:lang w:val="en-US"/>
        </w:rPr>
        <w:t>anaemia</w:t>
      </w:r>
      <w:proofErr w:type="spellEnd"/>
      <w:r w:rsidRPr="000137AB">
        <w:rPr>
          <w:color w:val="000000"/>
          <w:sz w:val="20"/>
          <w:szCs w:val="20"/>
          <w:lang w:val="en-US"/>
        </w:rPr>
        <w:t xml:space="preserve"> is a characteristic presentation of </w:t>
      </w:r>
      <w:proofErr w:type="spellStart"/>
      <w:r w:rsidRPr="000137AB">
        <w:rPr>
          <w:color w:val="000000"/>
          <w:sz w:val="20"/>
          <w:szCs w:val="20"/>
          <w:lang w:val="en-US"/>
        </w:rPr>
        <w:t>anaemia</w:t>
      </w:r>
      <w:proofErr w:type="spellEnd"/>
      <w:r w:rsidRPr="000137AB">
        <w:rPr>
          <w:color w:val="000000"/>
          <w:sz w:val="20"/>
          <w:szCs w:val="20"/>
          <w:lang w:val="en-US"/>
        </w:rPr>
        <w:t xml:space="preserve"> in chronic diseases and it evolves into microcytic as the severity of the </w:t>
      </w:r>
      <w:proofErr w:type="spellStart"/>
      <w:r w:rsidRPr="000137AB">
        <w:rPr>
          <w:color w:val="000000"/>
          <w:sz w:val="20"/>
          <w:szCs w:val="20"/>
          <w:lang w:val="en-US"/>
        </w:rPr>
        <w:t>anaemia</w:t>
      </w:r>
      <w:proofErr w:type="spellEnd"/>
      <w:r w:rsidRPr="000137AB">
        <w:rPr>
          <w:color w:val="000000"/>
          <w:sz w:val="20"/>
          <w:szCs w:val="20"/>
          <w:lang w:val="en-US"/>
        </w:rPr>
        <w:t xml:space="preserve"> increases</w:t>
      </w:r>
      <w:r w:rsidRPr="000137AB">
        <w:rPr>
          <w:color w:val="000000"/>
          <w:sz w:val="20"/>
          <w:szCs w:val="20"/>
          <w:vertAlign w:val="superscript"/>
          <w:lang w:val="en-US"/>
        </w:rPr>
        <w:t>13</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Out of the 50 anemic subjects, most of them (76%) were asymptomatic. Out of the symptomatic subjects, fatigue was the most common symptom.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Considering the gender wise occurrence, 27.7% of males had anemia while 19.88% of females had anemia though males accounted for only 23.47% of the study population.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Of the anemic subjects, 16% had evidence of blood loss.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12% of the anemic subjects had associated hypothyroidism.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8% of the anemic subjects had history of significant alcohol consumption. In </w:t>
      </w:r>
      <w:proofErr w:type="spellStart"/>
      <w:r w:rsidRPr="000137AB">
        <w:rPr>
          <w:color w:val="000000"/>
          <w:sz w:val="20"/>
          <w:szCs w:val="20"/>
          <w:lang w:val="en-US"/>
        </w:rPr>
        <w:t>comparision</w:t>
      </w:r>
      <w:proofErr w:type="spellEnd"/>
      <w:r w:rsidRPr="000137AB">
        <w:rPr>
          <w:color w:val="000000"/>
          <w:sz w:val="20"/>
          <w:szCs w:val="20"/>
          <w:lang w:val="en-US"/>
        </w:rPr>
        <w:t xml:space="preserve"> as per study by </w:t>
      </w:r>
      <w:proofErr w:type="spellStart"/>
      <w:r w:rsidRPr="000137AB">
        <w:rPr>
          <w:color w:val="000000"/>
          <w:sz w:val="20"/>
          <w:szCs w:val="20"/>
          <w:lang w:val="en-US"/>
        </w:rPr>
        <w:t>Puneeth</w:t>
      </w:r>
      <w:proofErr w:type="spellEnd"/>
      <w:r w:rsidRPr="000137AB">
        <w:rPr>
          <w:color w:val="000000"/>
          <w:sz w:val="20"/>
          <w:szCs w:val="20"/>
          <w:lang w:val="en-US"/>
        </w:rPr>
        <w:t xml:space="preserve"> B </w:t>
      </w:r>
      <w:proofErr w:type="spellStart"/>
      <w:r w:rsidRPr="000137AB">
        <w:rPr>
          <w:color w:val="000000"/>
          <w:sz w:val="20"/>
          <w:szCs w:val="20"/>
          <w:lang w:val="en-US"/>
        </w:rPr>
        <w:t xml:space="preserve">S </w:t>
      </w:r>
      <w:proofErr w:type="gramStart"/>
      <w:r w:rsidRPr="000137AB">
        <w:rPr>
          <w:color w:val="000000"/>
          <w:sz w:val="20"/>
          <w:szCs w:val="20"/>
          <w:lang w:val="en-US"/>
        </w:rPr>
        <w:t>et</w:t>
      </w:r>
      <w:proofErr w:type="spellEnd"/>
      <w:proofErr w:type="gramEnd"/>
      <w:r w:rsidRPr="000137AB">
        <w:rPr>
          <w:color w:val="000000"/>
          <w:sz w:val="20"/>
          <w:szCs w:val="20"/>
          <w:lang w:val="en-US"/>
        </w:rPr>
        <w:t xml:space="preserve"> al</w:t>
      </w:r>
      <w:r w:rsidRPr="000137AB">
        <w:rPr>
          <w:color w:val="000000"/>
          <w:sz w:val="20"/>
          <w:szCs w:val="20"/>
          <w:vertAlign w:val="superscript"/>
          <w:lang w:val="en-US"/>
        </w:rPr>
        <w:t>9</w:t>
      </w:r>
      <w:r w:rsidRPr="000137AB">
        <w:rPr>
          <w:color w:val="000000"/>
          <w:sz w:val="20"/>
          <w:szCs w:val="20"/>
          <w:lang w:val="en-US"/>
        </w:rPr>
        <w:t xml:space="preserve"> 42.9% of patients with anemia were alcoholics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2 subjects out of 50 had evidence of </w:t>
      </w:r>
      <w:proofErr w:type="spellStart"/>
      <w:r w:rsidRPr="000137AB">
        <w:rPr>
          <w:color w:val="000000"/>
          <w:sz w:val="20"/>
          <w:szCs w:val="20"/>
          <w:lang w:val="en-US"/>
        </w:rPr>
        <w:t>malabsorption</w:t>
      </w:r>
      <w:proofErr w:type="spellEnd"/>
      <w:r w:rsidRPr="000137AB">
        <w:rPr>
          <w:color w:val="000000"/>
          <w:sz w:val="20"/>
          <w:szCs w:val="20"/>
          <w:lang w:val="en-US"/>
        </w:rPr>
        <w:t xml:space="preserve">. One had history of chronic diarrhea and the other was detected to have H pylori infection with atrophic gastritis. </w:t>
      </w:r>
    </w:p>
    <w:p w:rsidR="003217D8" w:rsidRPr="000137AB" w:rsidRDefault="003217D8" w:rsidP="000137AB">
      <w:pPr>
        <w:spacing w:line="360" w:lineRule="auto"/>
        <w:jc w:val="both"/>
        <w:rPr>
          <w:color w:val="000000"/>
          <w:sz w:val="20"/>
          <w:szCs w:val="20"/>
          <w:lang w:val="en-US"/>
        </w:rPr>
      </w:pPr>
      <w:r w:rsidRPr="000137AB">
        <w:rPr>
          <w:color w:val="000000"/>
          <w:sz w:val="20"/>
          <w:szCs w:val="20"/>
          <w:lang w:val="en-US"/>
        </w:rPr>
        <w:t xml:space="preserve">Bone marrow examination was done in one of the subject with pancytopenia which was found to be </w:t>
      </w:r>
      <w:proofErr w:type="spellStart"/>
      <w:r w:rsidRPr="000137AB">
        <w:rPr>
          <w:color w:val="000000"/>
          <w:sz w:val="20"/>
          <w:szCs w:val="20"/>
          <w:lang w:val="en-US"/>
        </w:rPr>
        <w:t>normocellular</w:t>
      </w:r>
      <w:proofErr w:type="spellEnd"/>
      <w:r w:rsidRPr="000137AB">
        <w:rPr>
          <w:color w:val="000000"/>
          <w:sz w:val="20"/>
          <w:szCs w:val="20"/>
          <w:lang w:val="en-US"/>
        </w:rPr>
        <w:t xml:space="preserve"> marrow. </w:t>
      </w:r>
    </w:p>
    <w:p w:rsidR="003217D8" w:rsidRPr="000137AB" w:rsidRDefault="003217D8" w:rsidP="000137AB">
      <w:pPr>
        <w:autoSpaceDE w:val="0"/>
        <w:autoSpaceDN w:val="0"/>
        <w:adjustRightInd w:val="0"/>
        <w:spacing w:line="360" w:lineRule="auto"/>
        <w:jc w:val="both"/>
        <w:rPr>
          <w:color w:val="000000"/>
          <w:sz w:val="20"/>
          <w:szCs w:val="20"/>
          <w:lang w:val="en-US"/>
        </w:rPr>
      </w:pPr>
      <w:proofErr w:type="gramStart"/>
      <w:r w:rsidRPr="000137AB">
        <w:rPr>
          <w:bCs/>
          <w:color w:val="000000"/>
          <w:sz w:val="20"/>
          <w:szCs w:val="20"/>
          <w:lang w:val="en-US"/>
        </w:rPr>
        <w:t>5.Effect</w:t>
      </w:r>
      <w:proofErr w:type="gramEnd"/>
      <w:r w:rsidRPr="000137AB">
        <w:rPr>
          <w:bCs/>
          <w:color w:val="000000"/>
          <w:sz w:val="20"/>
          <w:szCs w:val="20"/>
          <w:lang w:val="en-US"/>
        </w:rPr>
        <w:t xml:space="preserve"> of Glycemic control on anemia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Mean HbA1C levels in anemic subjects was 8.96 while it was 8.45 in the </w:t>
      </w:r>
      <w:proofErr w:type="spellStart"/>
      <w:r w:rsidRPr="000137AB">
        <w:rPr>
          <w:color w:val="000000"/>
          <w:sz w:val="20"/>
          <w:szCs w:val="20"/>
          <w:lang w:val="en-US"/>
        </w:rPr>
        <w:t>non anemic</w:t>
      </w:r>
      <w:proofErr w:type="spellEnd"/>
      <w:r w:rsidRPr="000137AB">
        <w:rPr>
          <w:color w:val="000000"/>
          <w:sz w:val="20"/>
          <w:szCs w:val="20"/>
          <w:lang w:val="en-US"/>
        </w:rPr>
        <w:t xml:space="preserve"> </w:t>
      </w:r>
      <w:proofErr w:type="spellStart"/>
      <w:r w:rsidRPr="000137AB">
        <w:rPr>
          <w:color w:val="000000"/>
          <w:sz w:val="20"/>
          <w:szCs w:val="20"/>
          <w:lang w:val="en-US"/>
        </w:rPr>
        <w:t>group.However</w:t>
      </w:r>
      <w:proofErr w:type="spellEnd"/>
      <w:r w:rsidRPr="000137AB">
        <w:rPr>
          <w:color w:val="000000"/>
          <w:sz w:val="20"/>
          <w:szCs w:val="20"/>
          <w:lang w:val="en-US"/>
        </w:rPr>
        <w:t xml:space="preserve"> there was no statistically significant co-relation between the 2 </w:t>
      </w:r>
      <w:proofErr w:type="gramStart"/>
      <w:r w:rsidRPr="000137AB">
        <w:rPr>
          <w:color w:val="000000"/>
          <w:sz w:val="20"/>
          <w:szCs w:val="20"/>
          <w:lang w:val="en-US"/>
        </w:rPr>
        <w:t>variables(</w:t>
      </w:r>
      <w:proofErr w:type="spellStart"/>
      <w:proofErr w:type="gramEnd"/>
      <w:r w:rsidRPr="000137AB">
        <w:rPr>
          <w:color w:val="000000"/>
          <w:sz w:val="20"/>
          <w:szCs w:val="20"/>
          <w:lang w:val="en-US"/>
        </w:rPr>
        <w:t>Hb</w:t>
      </w:r>
      <w:proofErr w:type="spellEnd"/>
      <w:r w:rsidRPr="000137AB">
        <w:rPr>
          <w:color w:val="000000"/>
          <w:sz w:val="20"/>
          <w:szCs w:val="20"/>
          <w:lang w:val="en-US"/>
        </w:rPr>
        <w:t xml:space="preserve"> and HbA1C)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This was Similar to the study by </w:t>
      </w:r>
      <w:proofErr w:type="spellStart"/>
      <w:r w:rsidRPr="000137AB">
        <w:rPr>
          <w:color w:val="000000"/>
          <w:sz w:val="20"/>
          <w:szCs w:val="20"/>
          <w:lang w:val="en-US"/>
        </w:rPr>
        <w:t>Rathod</w:t>
      </w:r>
      <w:proofErr w:type="spellEnd"/>
      <w:r w:rsidRPr="000137AB">
        <w:rPr>
          <w:color w:val="000000"/>
          <w:sz w:val="20"/>
          <w:szCs w:val="20"/>
          <w:lang w:val="en-US"/>
        </w:rPr>
        <w:t xml:space="preserve"> G B </w:t>
      </w:r>
      <w:proofErr w:type="gramStart"/>
      <w:r w:rsidRPr="000137AB">
        <w:rPr>
          <w:color w:val="000000"/>
          <w:sz w:val="20"/>
          <w:szCs w:val="20"/>
          <w:lang w:val="en-US"/>
        </w:rPr>
        <w:t>et</w:t>
      </w:r>
      <w:proofErr w:type="gramEnd"/>
      <w:r w:rsidRPr="000137AB">
        <w:rPr>
          <w:color w:val="000000"/>
          <w:sz w:val="20"/>
          <w:szCs w:val="20"/>
          <w:lang w:val="en-US"/>
        </w:rPr>
        <w:t xml:space="preserve"> al</w:t>
      </w:r>
      <w:r w:rsidRPr="000137AB">
        <w:rPr>
          <w:color w:val="000000"/>
          <w:sz w:val="20"/>
          <w:szCs w:val="20"/>
          <w:vertAlign w:val="superscript"/>
          <w:lang w:val="en-US"/>
        </w:rPr>
        <w:t>6</w:t>
      </w:r>
      <w:r w:rsidRPr="000137AB">
        <w:rPr>
          <w:color w:val="000000"/>
          <w:sz w:val="20"/>
          <w:szCs w:val="20"/>
          <w:lang w:val="en-US"/>
        </w:rPr>
        <w:t xml:space="preserve"> which concluded that </w:t>
      </w:r>
      <w:proofErr w:type="spellStart"/>
      <w:r w:rsidRPr="000137AB">
        <w:rPr>
          <w:color w:val="000000"/>
          <w:sz w:val="20"/>
          <w:szCs w:val="20"/>
          <w:lang w:val="en-US"/>
        </w:rPr>
        <w:t>Hb</w:t>
      </w:r>
      <w:proofErr w:type="spellEnd"/>
      <w:r w:rsidRPr="000137AB">
        <w:rPr>
          <w:color w:val="000000"/>
          <w:sz w:val="20"/>
          <w:szCs w:val="20"/>
          <w:lang w:val="en-US"/>
        </w:rPr>
        <w:t xml:space="preserve"> levels were not associated with </w:t>
      </w:r>
      <w:proofErr w:type="spellStart"/>
      <w:r w:rsidRPr="000137AB">
        <w:rPr>
          <w:color w:val="000000"/>
          <w:sz w:val="20"/>
          <w:szCs w:val="20"/>
          <w:lang w:val="en-US"/>
        </w:rPr>
        <w:t>glycaemic</w:t>
      </w:r>
      <w:proofErr w:type="spellEnd"/>
      <w:r w:rsidRPr="000137AB">
        <w:rPr>
          <w:color w:val="000000"/>
          <w:sz w:val="20"/>
          <w:szCs w:val="20"/>
          <w:lang w:val="en-US"/>
        </w:rPr>
        <w:t xml:space="preserve"> control as measured by HbA1C. However In the study by </w:t>
      </w:r>
      <w:proofErr w:type="spellStart"/>
      <w:r w:rsidRPr="000137AB">
        <w:rPr>
          <w:color w:val="000000"/>
          <w:sz w:val="20"/>
          <w:szCs w:val="20"/>
          <w:lang w:val="en-US"/>
        </w:rPr>
        <w:t>Archana</w:t>
      </w:r>
      <w:proofErr w:type="spellEnd"/>
      <w:r w:rsidRPr="000137AB">
        <w:rPr>
          <w:color w:val="000000"/>
          <w:sz w:val="20"/>
          <w:szCs w:val="20"/>
          <w:lang w:val="en-US"/>
        </w:rPr>
        <w:t xml:space="preserve"> Gupta et al</w:t>
      </w:r>
      <w:r w:rsidRPr="000137AB">
        <w:rPr>
          <w:color w:val="000000"/>
          <w:sz w:val="20"/>
          <w:szCs w:val="20"/>
          <w:vertAlign w:val="superscript"/>
          <w:lang w:val="en-US"/>
        </w:rPr>
        <w:t>11</w:t>
      </w:r>
      <w:r w:rsidRPr="000137AB">
        <w:rPr>
          <w:color w:val="000000"/>
          <w:sz w:val="20"/>
          <w:szCs w:val="20"/>
          <w:lang w:val="en-US"/>
        </w:rPr>
        <w:t xml:space="preserve">, a higher incidence of anemia was seen in patients with high blood glucose levels and poorly controlled HbA1c </w:t>
      </w:r>
      <w:proofErr w:type="spellStart"/>
      <w:r w:rsidRPr="000137AB">
        <w:rPr>
          <w:color w:val="000000"/>
          <w:sz w:val="20"/>
          <w:szCs w:val="20"/>
          <w:lang w:val="en-US"/>
        </w:rPr>
        <w:t>levels.Out</w:t>
      </w:r>
      <w:proofErr w:type="spellEnd"/>
      <w:r w:rsidRPr="000137AB">
        <w:rPr>
          <w:color w:val="000000"/>
          <w:sz w:val="20"/>
          <w:szCs w:val="20"/>
          <w:lang w:val="en-US"/>
        </w:rPr>
        <w:t xml:space="preserve"> of 47 male patients, 35 (74.5%) had blood glucose levels more than 130 mg/</w:t>
      </w:r>
      <w:proofErr w:type="spellStart"/>
      <w:r w:rsidRPr="000137AB">
        <w:rPr>
          <w:color w:val="000000"/>
          <w:sz w:val="20"/>
          <w:szCs w:val="20"/>
          <w:lang w:val="en-US"/>
        </w:rPr>
        <w:t>dL</w:t>
      </w:r>
      <w:proofErr w:type="spellEnd"/>
      <w:r w:rsidRPr="000137AB">
        <w:rPr>
          <w:color w:val="000000"/>
          <w:sz w:val="20"/>
          <w:szCs w:val="20"/>
          <w:lang w:val="en-US"/>
        </w:rPr>
        <w:t>. This correlates with number of anemic males i.e. 31 patients (39.3%). 35 males (44.8%) had poorly controlled HbA1c levels. Out of 53 females, 43 (81%) had blood glucose levels &gt;130 mg/</w:t>
      </w:r>
      <w:proofErr w:type="spellStart"/>
      <w:r w:rsidRPr="000137AB">
        <w:rPr>
          <w:color w:val="000000"/>
          <w:sz w:val="20"/>
          <w:szCs w:val="20"/>
          <w:lang w:val="en-US"/>
        </w:rPr>
        <w:t>dL</w:t>
      </w:r>
      <w:proofErr w:type="spellEnd"/>
      <w:r w:rsidRPr="000137AB">
        <w:rPr>
          <w:color w:val="000000"/>
          <w:sz w:val="20"/>
          <w:szCs w:val="20"/>
          <w:lang w:val="en-US"/>
        </w:rPr>
        <w:t xml:space="preserve"> and anemia was seen in 48 females (60.7%). 43 females (55.2%) had poorly controlled HbA1c levels. </w:t>
      </w:r>
    </w:p>
    <w:p w:rsidR="003217D8" w:rsidRPr="000137AB" w:rsidRDefault="003217D8" w:rsidP="000137AB">
      <w:pPr>
        <w:spacing w:line="360" w:lineRule="auto"/>
        <w:jc w:val="both"/>
        <w:rPr>
          <w:color w:val="000000"/>
          <w:sz w:val="20"/>
          <w:szCs w:val="20"/>
          <w:lang w:val="en-US"/>
        </w:rPr>
      </w:pPr>
      <w:r w:rsidRPr="000137AB">
        <w:rPr>
          <w:color w:val="000000"/>
          <w:sz w:val="20"/>
          <w:szCs w:val="20"/>
          <w:lang w:val="en-US"/>
        </w:rPr>
        <w:t>The study conducted by Kojima. K</w:t>
      </w:r>
      <w:r w:rsidRPr="000137AB">
        <w:rPr>
          <w:color w:val="000000"/>
          <w:sz w:val="20"/>
          <w:szCs w:val="20"/>
          <w:vertAlign w:val="superscript"/>
          <w:lang w:val="en-US"/>
        </w:rPr>
        <w:t>14</w:t>
      </w:r>
      <w:r w:rsidRPr="000137AB">
        <w:rPr>
          <w:color w:val="000000"/>
          <w:sz w:val="20"/>
          <w:szCs w:val="20"/>
          <w:lang w:val="en-US"/>
        </w:rPr>
        <w:t xml:space="preserve"> also showed that long standing poorly controlled diabetes was associated with anemia.</w:t>
      </w:r>
    </w:p>
    <w:p w:rsidR="003217D8" w:rsidRPr="000137AB" w:rsidRDefault="003217D8" w:rsidP="000137AB">
      <w:pPr>
        <w:autoSpaceDE w:val="0"/>
        <w:autoSpaceDN w:val="0"/>
        <w:adjustRightInd w:val="0"/>
        <w:spacing w:line="360" w:lineRule="auto"/>
        <w:jc w:val="both"/>
        <w:rPr>
          <w:color w:val="000000"/>
          <w:sz w:val="20"/>
          <w:szCs w:val="20"/>
          <w:lang w:val="en-US"/>
        </w:rPr>
      </w:pPr>
      <w:proofErr w:type="gramStart"/>
      <w:r w:rsidRPr="000137AB">
        <w:rPr>
          <w:bCs/>
          <w:color w:val="000000"/>
          <w:sz w:val="20"/>
          <w:szCs w:val="20"/>
          <w:lang w:val="en-US"/>
        </w:rPr>
        <w:t>6.Effect</w:t>
      </w:r>
      <w:proofErr w:type="gramEnd"/>
      <w:r w:rsidRPr="000137AB">
        <w:rPr>
          <w:bCs/>
          <w:color w:val="000000"/>
          <w:sz w:val="20"/>
          <w:szCs w:val="20"/>
          <w:lang w:val="en-US"/>
        </w:rPr>
        <w:t xml:space="preserve"> of duration of diabetes on anemia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Mean duration of diabetes in anemic subjects was 5.18±4.78years. While in </w:t>
      </w:r>
      <w:proofErr w:type="spellStart"/>
      <w:r w:rsidRPr="000137AB">
        <w:rPr>
          <w:color w:val="000000"/>
          <w:sz w:val="20"/>
          <w:szCs w:val="20"/>
          <w:lang w:val="en-US"/>
        </w:rPr>
        <w:t>non anemic</w:t>
      </w:r>
      <w:proofErr w:type="spellEnd"/>
      <w:r w:rsidRPr="000137AB">
        <w:rPr>
          <w:color w:val="000000"/>
          <w:sz w:val="20"/>
          <w:szCs w:val="20"/>
          <w:lang w:val="en-US"/>
        </w:rPr>
        <w:t xml:space="preserve"> group it was 5.39±5.85years. Majority of the study subjects had 1-5 years duration of diabetes </w:t>
      </w:r>
      <w:proofErr w:type="gramStart"/>
      <w:r w:rsidRPr="000137AB">
        <w:rPr>
          <w:color w:val="000000"/>
          <w:sz w:val="20"/>
          <w:szCs w:val="20"/>
          <w:lang w:val="en-US"/>
        </w:rPr>
        <w:t>( 38.3</w:t>
      </w:r>
      <w:proofErr w:type="gramEnd"/>
      <w:r w:rsidRPr="000137AB">
        <w:rPr>
          <w:color w:val="000000"/>
          <w:sz w:val="20"/>
          <w:szCs w:val="20"/>
          <w:lang w:val="en-US"/>
        </w:rPr>
        <w:t xml:space="preserve">%), followed by &lt; 1 year ( 24.3%), 6-10 years ( 22.6%), 11-15 years ( 10.9%) and &gt; 15 years ( 3.9%).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18% of anemic subjects had diabetes for less than 1 </w:t>
      </w:r>
      <w:proofErr w:type="gramStart"/>
      <w:r w:rsidRPr="000137AB">
        <w:rPr>
          <w:color w:val="000000"/>
          <w:sz w:val="20"/>
          <w:szCs w:val="20"/>
          <w:lang w:val="en-US"/>
        </w:rPr>
        <w:t>year ,</w:t>
      </w:r>
      <w:proofErr w:type="gramEnd"/>
      <w:r w:rsidRPr="000137AB">
        <w:rPr>
          <w:color w:val="000000"/>
          <w:sz w:val="20"/>
          <w:szCs w:val="20"/>
          <w:lang w:val="en-US"/>
        </w:rPr>
        <w:t xml:space="preserve"> 44%of anemic subjects had diabetes for 1 to 5 years, 24% of anemic subjects had diabetes for 6 to 10 years, 10% of anemic subjects had diabetes for 11 to 15 years, 4% of anemic subjects had diabetes for more than 15 years. And the duration of diabetes was not found to have statistically significant co-relation with </w:t>
      </w:r>
      <w:proofErr w:type="spellStart"/>
      <w:r w:rsidRPr="000137AB">
        <w:rPr>
          <w:color w:val="000000"/>
          <w:sz w:val="20"/>
          <w:szCs w:val="20"/>
          <w:lang w:val="en-US"/>
        </w:rPr>
        <w:t>Hb</w:t>
      </w:r>
      <w:proofErr w:type="spellEnd"/>
      <w:r w:rsidRPr="000137AB">
        <w:rPr>
          <w:color w:val="000000"/>
          <w:sz w:val="20"/>
          <w:szCs w:val="20"/>
          <w:lang w:val="en-US"/>
        </w:rPr>
        <w:t xml:space="preserve"> levels. In contrast In the study by </w:t>
      </w:r>
      <w:proofErr w:type="spellStart"/>
      <w:r w:rsidRPr="000137AB">
        <w:rPr>
          <w:color w:val="000000"/>
          <w:sz w:val="20"/>
          <w:szCs w:val="20"/>
          <w:lang w:val="en-US"/>
        </w:rPr>
        <w:t>Puneeth</w:t>
      </w:r>
      <w:proofErr w:type="spellEnd"/>
      <w:r w:rsidRPr="000137AB">
        <w:rPr>
          <w:color w:val="000000"/>
          <w:sz w:val="20"/>
          <w:szCs w:val="20"/>
          <w:lang w:val="en-US"/>
        </w:rPr>
        <w:t xml:space="preserve"> B </w:t>
      </w:r>
      <w:proofErr w:type="spellStart"/>
      <w:r w:rsidRPr="000137AB">
        <w:rPr>
          <w:color w:val="000000"/>
          <w:sz w:val="20"/>
          <w:szCs w:val="20"/>
          <w:lang w:val="en-US"/>
        </w:rPr>
        <w:t>S et</w:t>
      </w:r>
      <w:proofErr w:type="spellEnd"/>
      <w:r w:rsidRPr="000137AB">
        <w:rPr>
          <w:color w:val="000000"/>
          <w:sz w:val="20"/>
          <w:szCs w:val="20"/>
          <w:lang w:val="en-US"/>
        </w:rPr>
        <w:t xml:space="preserve"> al</w:t>
      </w:r>
      <w:r w:rsidRPr="000137AB">
        <w:rPr>
          <w:color w:val="000000"/>
          <w:sz w:val="20"/>
          <w:szCs w:val="20"/>
          <w:vertAlign w:val="superscript"/>
          <w:lang w:val="en-US"/>
        </w:rPr>
        <w:t>9</w:t>
      </w:r>
      <w:r w:rsidRPr="000137AB">
        <w:rPr>
          <w:color w:val="000000"/>
          <w:sz w:val="20"/>
          <w:szCs w:val="20"/>
          <w:lang w:val="en-US"/>
        </w:rPr>
        <w:t xml:space="preserve"> 25% of patients </w:t>
      </w:r>
      <w:r w:rsidRPr="000137AB">
        <w:rPr>
          <w:color w:val="000000"/>
          <w:sz w:val="20"/>
          <w:szCs w:val="20"/>
          <w:lang w:val="en-US"/>
        </w:rPr>
        <w:lastRenderedPageBreak/>
        <w:t>with diabetes for &lt;1 year had anemia, 51.6% had anemia who were diabetic for 1-5 years, 64% had anemia who were diabetic for 6-10 years and 33.34% had anemia who were diabetic for &gt;10years.</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In contrast, the study by </w:t>
      </w:r>
      <w:proofErr w:type="spellStart"/>
      <w:r w:rsidRPr="000137AB">
        <w:rPr>
          <w:color w:val="000000"/>
          <w:sz w:val="20"/>
          <w:szCs w:val="20"/>
          <w:lang w:val="en-US"/>
        </w:rPr>
        <w:t>Rathod</w:t>
      </w:r>
      <w:proofErr w:type="spellEnd"/>
      <w:r w:rsidRPr="000137AB">
        <w:rPr>
          <w:color w:val="000000"/>
          <w:sz w:val="20"/>
          <w:szCs w:val="20"/>
          <w:lang w:val="en-US"/>
        </w:rPr>
        <w:t xml:space="preserve"> G B et al</w:t>
      </w:r>
      <w:r w:rsidRPr="000137AB">
        <w:rPr>
          <w:color w:val="000000"/>
          <w:sz w:val="20"/>
          <w:szCs w:val="20"/>
          <w:vertAlign w:val="superscript"/>
          <w:lang w:val="en-US"/>
        </w:rPr>
        <w:t>6</w:t>
      </w:r>
      <w:r w:rsidRPr="000137AB">
        <w:rPr>
          <w:color w:val="000000"/>
          <w:sz w:val="20"/>
          <w:szCs w:val="20"/>
          <w:lang w:val="en-US"/>
        </w:rPr>
        <w:t xml:space="preserve"> revealed out of the 36 patients of anemia with diabetes mellitus, 21 (58.33%) patients had diabetes mellitus for more than 5 years duration and individuals with duration of diabetes of more than 5 years have 1.56 times higher risk of developing anemia than those with diabetes for less than 5 years </w:t>
      </w:r>
    </w:p>
    <w:p w:rsidR="003217D8" w:rsidRPr="000137AB" w:rsidRDefault="003217D8" w:rsidP="000137AB">
      <w:pPr>
        <w:autoSpaceDE w:val="0"/>
        <w:autoSpaceDN w:val="0"/>
        <w:adjustRightInd w:val="0"/>
        <w:spacing w:line="360" w:lineRule="auto"/>
        <w:jc w:val="both"/>
        <w:rPr>
          <w:color w:val="000000"/>
          <w:sz w:val="20"/>
          <w:szCs w:val="20"/>
          <w:lang w:val="en-US"/>
        </w:rPr>
      </w:pPr>
      <w:proofErr w:type="gramStart"/>
      <w:r w:rsidRPr="000137AB">
        <w:rPr>
          <w:bCs/>
          <w:color w:val="000000"/>
          <w:sz w:val="20"/>
          <w:szCs w:val="20"/>
          <w:lang w:val="en-US"/>
        </w:rPr>
        <w:t>6.Role</w:t>
      </w:r>
      <w:proofErr w:type="gramEnd"/>
      <w:r w:rsidRPr="000137AB">
        <w:rPr>
          <w:bCs/>
          <w:color w:val="000000"/>
          <w:sz w:val="20"/>
          <w:szCs w:val="20"/>
          <w:lang w:val="en-US"/>
        </w:rPr>
        <w:t xml:space="preserve"> of metformin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Analysis was done to find association between usage of metformin and </w:t>
      </w:r>
      <w:proofErr w:type="spellStart"/>
      <w:r w:rsidRPr="000137AB">
        <w:rPr>
          <w:color w:val="000000"/>
          <w:sz w:val="20"/>
          <w:szCs w:val="20"/>
          <w:lang w:val="en-US"/>
        </w:rPr>
        <w:t>Hb</w:t>
      </w:r>
      <w:proofErr w:type="spellEnd"/>
      <w:r w:rsidRPr="000137AB">
        <w:rPr>
          <w:color w:val="000000"/>
          <w:sz w:val="20"/>
          <w:szCs w:val="20"/>
          <w:lang w:val="en-US"/>
        </w:rPr>
        <w:t xml:space="preserve"> </w:t>
      </w:r>
      <w:proofErr w:type="spellStart"/>
      <w:r w:rsidRPr="000137AB">
        <w:rPr>
          <w:color w:val="000000"/>
          <w:sz w:val="20"/>
          <w:szCs w:val="20"/>
          <w:lang w:val="en-US"/>
        </w:rPr>
        <w:t>levels.But</w:t>
      </w:r>
      <w:proofErr w:type="spellEnd"/>
      <w:r w:rsidRPr="000137AB">
        <w:rPr>
          <w:color w:val="000000"/>
          <w:sz w:val="20"/>
          <w:szCs w:val="20"/>
          <w:lang w:val="en-US"/>
        </w:rPr>
        <w:t xml:space="preserve"> there was no association which was statistically significant. In view of small number of subjects with B12 deficiency anemia (6 patients) association between B12 deficiency anemia and metformin use couldn’t be </w:t>
      </w:r>
      <w:proofErr w:type="spellStart"/>
      <w:r w:rsidRPr="000137AB">
        <w:rPr>
          <w:color w:val="000000"/>
          <w:sz w:val="20"/>
          <w:szCs w:val="20"/>
          <w:lang w:val="en-US"/>
        </w:rPr>
        <w:t>analysed</w:t>
      </w:r>
      <w:proofErr w:type="spellEnd"/>
      <w:r w:rsidRPr="000137AB">
        <w:rPr>
          <w:color w:val="000000"/>
          <w:sz w:val="20"/>
          <w:szCs w:val="20"/>
          <w:lang w:val="en-US"/>
        </w:rPr>
        <w:t xml:space="preserve">.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bCs/>
          <w:color w:val="000000"/>
          <w:sz w:val="20"/>
          <w:szCs w:val="20"/>
          <w:lang w:val="en-US"/>
        </w:rPr>
        <w:t xml:space="preserve">Strength of our study </w:t>
      </w:r>
    </w:p>
    <w:p w:rsidR="003217D8" w:rsidRPr="000137AB" w:rsidRDefault="003217D8" w:rsidP="000137AB">
      <w:pPr>
        <w:pStyle w:val="ListParagraph"/>
        <w:numPr>
          <w:ilvl w:val="0"/>
          <w:numId w:val="13"/>
        </w:numPr>
        <w:autoSpaceDE w:val="0"/>
        <w:adjustRightInd w:val="0"/>
        <w:spacing w:after="0" w:line="360" w:lineRule="auto"/>
        <w:jc w:val="both"/>
        <w:rPr>
          <w:rFonts w:ascii="Times New Roman" w:hAnsi="Times New Roman"/>
          <w:color w:val="000000"/>
          <w:sz w:val="20"/>
          <w:szCs w:val="20"/>
        </w:rPr>
      </w:pPr>
      <w:r w:rsidRPr="000137AB">
        <w:rPr>
          <w:rFonts w:ascii="Times New Roman" w:hAnsi="Times New Roman"/>
          <w:color w:val="000000"/>
          <w:sz w:val="20"/>
          <w:szCs w:val="20"/>
        </w:rPr>
        <w:t xml:space="preserve">Ours is one of the first few studies investigating the occurrence of anemia in diabetics with normal renal function. </w:t>
      </w:r>
    </w:p>
    <w:p w:rsidR="003217D8" w:rsidRPr="000137AB" w:rsidRDefault="003217D8" w:rsidP="000137AB">
      <w:pPr>
        <w:pStyle w:val="ListParagraph"/>
        <w:numPr>
          <w:ilvl w:val="0"/>
          <w:numId w:val="13"/>
        </w:numPr>
        <w:autoSpaceDE w:val="0"/>
        <w:adjustRightInd w:val="0"/>
        <w:spacing w:after="0" w:line="360" w:lineRule="auto"/>
        <w:jc w:val="both"/>
        <w:rPr>
          <w:rFonts w:ascii="Times New Roman" w:hAnsi="Times New Roman"/>
          <w:color w:val="000000"/>
          <w:sz w:val="20"/>
          <w:szCs w:val="20"/>
        </w:rPr>
      </w:pPr>
      <w:r w:rsidRPr="000137AB">
        <w:rPr>
          <w:rFonts w:ascii="Times New Roman" w:hAnsi="Times New Roman"/>
          <w:color w:val="000000"/>
          <w:sz w:val="20"/>
          <w:szCs w:val="20"/>
        </w:rPr>
        <w:t xml:space="preserve">It is also one of the first study investigating the different patterns and distribution of anemia in diabetics with normal renal function </w:t>
      </w:r>
    </w:p>
    <w:p w:rsidR="003217D8" w:rsidRPr="000137AB" w:rsidRDefault="003217D8" w:rsidP="000137AB">
      <w:pPr>
        <w:pStyle w:val="ListParagraph"/>
        <w:numPr>
          <w:ilvl w:val="0"/>
          <w:numId w:val="13"/>
        </w:numPr>
        <w:autoSpaceDE w:val="0"/>
        <w:adjustRightInd w:val="0"/>
        <w:spacing w:after="0" w:line="360" w:lineRule="auto"/>
        <w:jc w:val="both"/>
        <w:rPr>
          <w:rFonts w:ascii="Times New Roman" w:hAnsi="Times New Roman"/>
          <w:color w:val="000000"/>
          <w:sz w:val="20"/>
          <w:szCs w:val="20"/>
        </w:rPr>
      </w:pPr>
      <w:r w:rsidRPr="000137AB">
        <w:rPr>
          <w:rFonts w:ascii="Times New Roman" w:hAnsi="Times New Roman"/>
          <w:color w:val="000000"/>
          <w:sz w:val="20"/>
          <w:szCs w:val="20"/>
        </w:rPr>
        <w:t xml:space="preserve">Our study is done to correlate </w:t>
      </w:r>
      <w:proofErr w:type="gramStart"/>
      <w:r w:rsidRPr="000137AB">
        <w:rPr>
          <w:rFonts w:ascii="Times New Roman" w:hAnsi="Times New Roman"/>
          <w:color w:val="000000"/>
          <w:sz w:val="20"/>
          <w:szCs w:val="20"/>
        </w:rPr>
        <w:t>Anemia(</w:t>
      </w:r>
      <w:proofErr w:type="spellStart"/>
      <w:proofErr w:type="gramEnd"/>
      <w:r w:rsidRPr="000137AB">
        <w:rPr>
          <w:rFonts w:ascii="Times New Roman" w:hAnsi="Times New Roman"/>
          <w:color w:val="000000"/>
          <w:sz w:val="20"/>
          <w:szCs w:val="20"/>
        </w:rPr>
        <w:t>Hb</w:t>
      </w:r>
      <w:proofErr w:type="spellEnd"/>
      <w:r w:rsidRPr="000137AB">
        <w:rPr>
          <w:rFonts w:ascii="Times New Roman" w:hAnsi="Times New Roman"/>
          <w:color w:val="000000"/>
          <w:sz w:val="20"/>
          <w:szCs w:val="20"/>
        </w:rPr>
        <w:t xml:space="preserve"> levels) with Glycemic control(HbA1c) in diabetics with normal renal function. </w:t>
      </w:r>
    </w:p>
    <w:p w:rsidR="003217D8" w:rsidRPr="000137AB" w:rsidRDefault="003217D8" w:rsidP="000137AB">
      <w:pPr>
        <w:pStyle w:val="ListParagraph"/>
        <w:numPr>
          <w:ilvl w:val="0"/>
          <w:numId w:val="13"/>
        </w:numPr>
        <w:autoSpaceDE w:val="0"/>
        <w:adjustRightInd w:val="0"/>
        <w:spacing w:after="0" w:line="360" w:lineRule="auto"/>
        <w:jc w:val="both"/>
        <w:rPr>
          <w:rFonts w:ascii="Times New Roman" w:hAnsi="Times New Roman"/>
          <w:color w:val="000000"/>
          <w:sz w:val="20"/>
          <w:szCs w:val="20"/>
        </w:rPr>
      </w:pPr>
      <w:r w:rsidRPr="000137AB">
        <w:rPr>
          <w:rFonts w:ascii="Times New Roman" w:hAnsi="Times New Roman"/>
          <w:bCs/>
          <w:color w:val="000000"/>
          <w:sz w:val="20"/>
          <w:szCs w:val="20"/>
        </w:rPr>
        <w:t xml:space="preserve">The limitation of our study </w:t>
      </w:r>
    </w:p>
    <w:p w:rsidR="003217D8" w:rsidRPr="000137AB" w:rsidRDefault="003217D8" w:rsidP="000137AB">
      <w:pPr>
        <w:pStyle w:val="ListParagraph"/>
        <w:numPr>
          <w:ilvl w:val="0"/>
          <w:numId w:val="13"/>
        </w:numPr>
        <w:autoSpaceDE w:val="0"/>
        <w:adjustRightInd w:val="0"/>
        <w:spacing w:after="0" w:line="360" w:lineRule="auto"/>
        <w:jc w:val="both"/>
        <w:rPr>
          <w:rFonts w:ascii="Times New Roman" w:hAnsi="Times New Roman"/>
          <w:color w:val="000000"/>
          <w:sz w:val="20"/>
          <w:szCs w:val="20"/>
        </w:rPr>
      </w:pPr>
      <w:r w:rsidRPr="000137AB">
        <w:rPr>
          <w:rFonts w:ascii="Times New Roman" w:hAnsi="Times New Roman"/>
          <w:color w:val="000000"/>
          <w:sz w:val="20"/>
          <w:szCs w:val="20"/>
        </w:rPr>
        <w:t xml:space="preserve">Predominant female population in our study </w:t>
      </w:r>
    </w:p>
    <w:p w:rsidR="003217D8" w:rsidRPr="000137AB" w:rsidRDefault="003217D8" w:rsidP="000137AB">
      <w:pPr>
        <w:autoSpaceDE w:val="0"/>
        <w:autoSpaceDN w:val="0"/>
        <w:adjustRightInd w:val="0"/>
        <w:spacing w:line="360" w:lineRule="auto"/>
        <w:jc w:val="both"/>
        <w:rPr>
          <w:color w:val="000000"/>
          <w:sz w:val="20"/>
          <w:szCs w:val="20"/>
          <w:lang w:val="en-US"/>
        </w:rPr>
      </w:pPr>
      <w:r w:rsidRPr="000137AB">
        <w:rPr>
          <w:color w:val="000000"/>
          <w:sz w:val="20"/>
          <w:szCs w:val="20"/>
          <w:lang w:val="en-US"/>
        </w:rPr>
        <w:t xml:space="preserve"> </w:t>
      </w:r>
      <w:r w:rsidR="0044166B" w:rsidRPr="000137AB">
        <w:rPr>
          <w:b/>
          <w:bCs/>
          <w:color w:val="000000"/>
          <w:sz w:val="20"/>
          <w:szCs w:val="20"/>
          <w:lang w:val="en-US"/>
        </w:rPr>
        <w:t>Conclusion:</w:t>
      </w:r>
      <w:r w:rsidR="0044166B">
        <w:rPr>
          <w:b/>
          <w:bCs/>
          <w:color w:val="000000"/>
          <w:sz w:val="20"/>
          <w:szCs w:val="20"/>
          <w:lang w:val="en-US"/>
        </w:rPr>
        <w:t xml:space="preserve"> </w:t>
      </w:r>
    </w:p>
    <w:p w:rsidR="003217D8" w:rsidRPr="000137AB" w:rsidRDefault="003217D8" w:rsidP="000137AB">
      <w:pPr>
        <w:pStyle w:val="ListParagraph"/>
        <w:numPr>
          <w:ilvl w:val="0"/>
          <w:numId w:val="13"/>
        </w:numPr>
        <w:autoSpaceDE w:val="0"/>
        <w:adjustRightInd w:val="0"/>
        <w:spacing w:after="0" w:line="360" w:lineRule="auto"/>
        <w:jc w:val="both"/>
        <w:rPr>
          <w:rFonts w:ascii="Times New Roman" w:hAnsi="Times New Roman"/>
          <w:color w:val="000000"/>
          <w:sz w:val="20"/>
          <w:szCs w:val="20"/>
        </w:rPr>
      </w:pPr>
      <w:r w:rsidRPr="000137AB">
        <w:rPr>
          <w:rFonts w:ascii="Times New Roman" w:hAnsi="Times New Roman"/>
          <w:color w:val="000000"/>
          <w:sz w:val="20"/>
          <w:szCs w:val="20"/>
        </w:rPr>
        <w:t xml:space="preserve">Anemia occurs in a significant percentage of subjects with type 2 diabetes with normal renal function. Screening for anemia should be considered in diabetes patients who are attending out-patient clinic, as the proportion of anemia is high in T2DM. This screening should not be limited to patients with diabetic nephropathy, as it can be seen that significant proportion of anemia occurs even in patients with normal renal function. </w:t>
      </w:r>
      <w:proofErr w:type="spellStart"/>
      <w:r w:rsidRPr="000137AB">
        <w:rPr>
          <w:rFonts w:ascii="Times New Roman" w:hAnsi="Times New Roman"/>
          <w:color w:val="000000"/>
          <w:sz w:val="20"/>
          <w:szCs w:val="20"/>
        </w:rPr>
        <w:t>Microvascular</w:t>
      </w:r>
      <w:proofErr w:type="spellEnd"/>
      <w:r w:rsidRPr="000137AB">
        <w:rPr>
          <w:rFonts w:ascii="Times New Roman" w:hAnsi="Times New Roman"/>
          <w:color w:val="000000"/>
          <w:sz w:val="20"/>
          <w:szCs w:val="20"/>
        </w:rPr>
        <w:t xml:space="preserve"> and </w:t>
      </w:r>
      <w:proofErr w:type="spellStart"/>
      <w:r w:rsidRPr="000137AB">
        <w:rPr>
          <w:rFonts w:ascii="Times New Roman" w:hAnsi="Times New Roman"/>
          <w:color w:val="000000"/>
          <w:sz w:val="20"/>
          <w:szCs w:val="20"/>
        </w:rPr>
        <w:t>macrovascular</w:t>
      </w:r>
      <w:proofErr w:type="spellEnd"/>
      <w:r w:rsidRPr="000137AB">
        <w:rPr>
          <w:rFonts w:ascii="Times New Roman" w:hAnsi="Times New Roman"/>
          <w:color w:val="000000"/>
          <w:sz w:val="20"/>
          <w:szCs w:val="20"/>
        </w:rPr>
        <w:t xml:space="preserve"> complications of diabetes mellitus can be prevented by identifying anemia and its aggressive correction. </w:t>
      </w:r>
    </w:p>
    <w:p w:rsidR="003217D8" w:rsidRPr="000137AB" w:rsidRDefault="003217D8" w:rsidP="000137AB">
      <w:pPr>
        <w:pStyle w:val="ListParagraph"/>
        <w:numPr>
          <w:ilvl w:val="0"/>
          <w:numId w:val="13"/>
        </w:numPr>
        <w:autoSpaceDE w:val="0"/>
        <w:adjustRightInd w:val="0"/>
        <w:spacing w:after="0" w:line="360" w:lineRule="auto"/>
        <w:jc w:val="both"/>
        <w:rPr>
          <w:rFonts w:ascii="Times New Roman" w:hAnsi="Times New Roman"/>
          <w:color w:val="000000"/>
          <w:sz w:val="20"/>
          <w:szCs w:val="20"/>
        </w:rPr>
      </w:pPr>
      <w:r w:rsidRPr="000137AB">
        <w:rPr>
          <w:rFonts w:ascii="Times New Roman" w:hAnsi="Times New Roman"/>
          <w:color w:val="000000"/>
          <w:sz w:val="20"/>
          <w:szCs w:val="20"/>
        </w:rPr>
        <w:t xml:space="preserve">Iron deficiency anemia was the most common form of anemia, next being anemia of chronic disease in individuals with type 2 diabetes with normal renal function. </w:t>
      </w:r>
    </w:p>
    <w:p w:rsidR="003217D8" w:rsidRPr="000137AB" w:rsidRDefault="003217D8" w:rsidP="000137AB">
      <w:pPr>
        <w:pStyle w:val="ListParagraph"/>
        <w:numPr>
          <w:ilvl w:val="0"/>
          <w:numId w:val="13"/>
        </w:numPr>
        <w:autoSpaceDE w:val="0"/>
        <w:adjustRightInd w:val="0"/>
        <w:spacing w:after="0" w:line="360" w:lineRule="auto"/>
        <w:jc w:val="both"/>
        <w:rPr>
          <w:rFonts w:ascii="Times New Roman" w:hAnsi="Times New Roman"/>
          <w:color w:val="000000"/>
          <w:sz w:val="20"/>
          <w:szCs w:val="20"/>
        </w:rPr>
      </w:pPr>
      <w:r w:rsidRPr="000137AB">
        <w:rPr>
          <w:rFonts w:ascii="Times New Roman" w:hAnsi="Times New Roman"/>
          <w:color w:val="000000"/>
          <w:sz w:val="20"/>
          <w:szCs w:val="20"/>
        </w:rPr>
        <w:t xml:space="preserve">Mean HbA1c in anemic individuals is higher than in non-anemic, though not significant </w:t>
      </w:r>
    </w:p>
    <w:p w:rsidR="003217D8" w:rsidRPr="000137AB" w:rsidRDefault="003217D8" w:rsidP="000137AB">
      <w:pPr>
        <w:pStyle w:val="ListParagraph"/>
        <w:numPr>
          <w:ilvl w:val="0"/>
          <w:numId w:val="13"/>
        </w:numPr>
        <w:autoSpaceDE w:val="0"/>
        <w:adjustRightInd w:val="0"/>
        <w:spacing w:after="0" w:line="360" w:lineRule="auto"/>
        <w:jc w:val="both"/>
        <w:rPr>
          <w:rFonts w:ascii="Times New Roman" w:hAnsi="Times New Roman"/>
          <w:color w:val="000000"/>
          <w:sz w:val="20"/>
          <w:szCs w:val="20"/>
        </w:rPr>
      </w:pPr>
      <w:r w:rsidRPr="000137AB">
        <w:rPr>
          <w:rFonts w:ascii="Times New Roman" w:hAnsi="Times New Roman"/>
          <w:color w:val="000000"/>
          <w:sz w:val="20"/>
          <w:szCs w:val="20"/>
        </w:rPr>
        <w:t xml:space="preserve">We conclude that Glycemic control does not influence </w:t>
      </w:r>
      <w:proofErr w:type="spellStart"/>
      <w:r w:rsidRPr="000137AB">
        <w:rPr>
          <w:rFonts w:ascii="Times New Roman" w:hAnsi="Times New Roman"/>
          <w:color w:val="000000"/>
          <w:sz w:val="20"/>
          <w:szCs w:val="20"/>
        </w:rPr>
        <w:t>Haemoglobin</w:t>
      </w:r>
      <w:proofErr w:type="spellEnd"/>
      <w:r w:rsidRPr="000137AB">
        <w:rPr>
          <w:rFonts w:ascii="Times New Roman" w:hAnsi="Times New Roman"/>
          <w:color w:val="000000"/>
          <w:sz w:val="20"/>
          <w:szCs w:val="20"/>
        </w:rPr>
        <w:t xml:space="preserve"> levels, in a statistically significant manner. </w:t>
      </w:r>
    </w:p>
    <w:p w:rsidR="003217D8" w:rsidRPr="000137AB" w:rsidRDefault="003217D8" w:rsidP="000137AB">
      <w:pPr>
        <w:pStyle w:val="ListParagraph"/>
        <w:numPr>
          <w:ilvl w:val="0"/>
          <w:numId w:val="13"/>
        </w:numPr>
        <w:autoSpaceDE w:val="0"/>
        <w:adjustRightInd w:val="0"/>
        <w:spacing w:after="0" w:line="360" w:lineRule="auto"/>
        <w:jc w:val="both"/>
        <w:rPr>
          <w:rFonts w:ascii="Times New Roman" w:hAnsi="Times New Roman"/>
          <w:color w:val="000000"/>
          <w:sz w:val="20"/>
          <w:szCs w:val="20"/>
        </w:rPr>
      </w:pPr>
      <w:r w:rsidRPr="000137AB">
        <w:rPr>
          <w:rFonts w:ascii="Times New Roman" w:hAnsi="Times New Roman"/>
          <w:color w:val="000000"/>
          <w:sz w:val="20"/>
          <w:szCs w:val="20"/>
        </w:rPr>
        <w:t xml:space="preserve">Duration of diabetes also does not influence </w:t>
      </w:r>
      <w:proofErr w:type="spellStart"/>
      <w:r w:rsidRPr="000137AB">
        <w:rPr>
          <w:rFonts w:ascii="Times New Roman" w:hAnsi="Times New Roman"/>
          <w:color w:val="000000"/>
          <w:sz w:val="20"/>
          <w:szCs w:val="20"/>
        </w:rPr>
        <w:t>Haemoglobin</w:t>
      </w:r>
      <w:proofErr w:type="spellEnd"/>
      <w:r w:rsidRPr="000137AB">
        <w:rPr>
          <w:rFonts w:ascii="Times New Roman" w:hAnsi="Times New Roman"/>
          <w:color w:val="000000"/>
          <w:sz w:val="20"/>
          <w:szCs w:val="20"/>
        </w:rPr>
        <w:t xml:space="preserve"> levels in a statistically significant manner. </w:t>
      </w:r>
    </w:p>
    <w:p w:rsidR="003217D8" w:rsidRPr="000137AB" w:rsidRDefault="003217D8" w:rsidP="000137AB">
      <w:pPr>
        <w:pStyle w:val="ListParagraph"/>
        <w:numPr>
          <w:ilvl w:val="0"/>
          <w:numId w:val="13"/>
        </w:numPr>
        <w:autoSpaceDE w:val="0"/>
        <w:adjustRightInd w:val="0"/>
        <w:spacing w:after="0" w:line="360" w:lineRule="auto"/>
        <w:jc w:val="both"/>
        <w:rPr>
          <w:rFonts w:ascii="Times New Roman" w:hAnsi="Times New Roman"/>
          <w:color w:val="000000"/>
          <w:sz w:val="20"/>
          <w:szCs w:val="20"/>
        </w:rPr>
      </w:pPr>
      <w:r w:rsidRPr="000137AB">
        <w:rPr>
          <w:rFonts w:ascii="Times New Roman" w:hAnsi="Times New Roman"/>
          <w:color w:val="000000"/>
          <w:sz w:val="20"/>
          <w:szCs w:val="20"/>
        </w:rPr>
        <w:t xml:space="preserve">In anemia of chronic disease in diabetic subjects, Glycemic control can influence </w:t>
      </w:r>
      <w:proofErr w:type="spellStart"/>
      <w:r w:rsidRPr="000137AB">
        <w:rPr>
          <w:rFonts w:ascii="Times New Roman" w:hAnsi="Times New Roman"/>
          <w:color w:val="000000"/>
          <w:sz w:val="20"/>
          <w:szCs w:val="20"/>
        </w:rPr>
        <w:t>haemoglobin</w:t>
      </w:r>
      <w:proofErr w:type="spellEnd"/>
      <w:r w:rsidRPr="000137AB">
        <w:rPr>
          <w:rFonts w:ascii="Times New Roman" w:hAnsi="Times New Roman"/>
          <w:color w:val="000000"/>
          <w:sz w:val="20"/>
          <w:szCs w:val="20"/>
        </w:rPr>
        <w:t xml:space="preserve"> levels. Good glycemic control was associated with higher </w:t>
      </w:r>
      <w:proofErr w:type="spellStart"/>
      <w:r w:rsidRPr="000137AB">
        <w:rPr>
          <w:rFonts w:ascii="Times New Roman" w:hAnsi="Times New Roman"/>
          <w:color w:val="000000"/>
          <w:sz w:val="20"/>
          <w:szCs w:val="20"/>
        </w:rPr>
        <w:t>Haemoglobin</w:t>
      </w:r>
      <w:proofErr w:type="spellEnd"/>
      <w:r w:rsidRPr="000137AB">
        <w:rPr>
          <w:rFonts w:ascii="Times New Roman" w:hAnsi="Times New Roman"/>
          <w:color w:val="000000"/>
          <w:sz w:val="20"/>
          <w:szCs w:val="20"/>
        </w:rPr>
        <w:t xml:space="preserve"> levels among the above subjects. </w:t>
      </w:r>
    </w:p>
    <w:p w:rsidR="003217D8" w:rsidRPr="000137AB" w:rsidRDefault="003217D8" w:rsidP="000137AB">
      <w:pPr>
        <w:pStyle w:val="ListParagraph"/>
        <w:numPr>
          <w:ilvl w:val="0"/>
          <w:numId w:val="13"/>
        </w:numPr>
        <w:autoSpaceDE w:val="0"/>
        <w:adjustRightInd w:val="0"/>
        <w:spacing w:after="0" w:line="360" w:lineRule="auto"/>
        <w:jc w:val="both"/>
        <w:rPr>
          <w:rFonts w:ascii="Times New Roman" w:hAnsi="Times New Roman"/>
          <w:color w:val="000000"/>
          <w:sz w:val="20"/>
          <w:szCs w:val="20"/>
        </w:rPr>
      </w:pPr>
      <w:r w:rsidRPr="000137AB">
        <w:rPr>
          <w:rFonts w:ascii="Times New Roman" w:hAnsi="Times New Roman"/>
          <w:color w:val="000000"/>
          <w:sz w:val="20"/>
          <w:szCs w:val="20"/>
        </w:rPr>
        <w:t xml:space="preserve">There was no statistically significant co-relation between </w:t>
      </w:r>
      <w:proofErr w:type="spellStart"/>
      <w:r w:rsidRPr="000137AB">
        <w:rPr>
          <w:rFonts w:ascii="Times New Roman" w:hAnsi="Times New Roman"/>
          <w:color w:val="000000"/>
          <w:sz w:val="20"/>
          <w:szCs w:val="20"/>
        </w:rPr>
        <w:t>Hb</w:t>
      </w:r>
      <w:proofErr w:type="spellEnd"/>
      <w:r w:rsidRPr="000137AB">
        <w:rPr>
          <w:rFonts w:ascii="Times New Roman" w:hAnsi="Times New Roman"/>
          <w:color w:val="000000"/>
          <w:sz w:val="20"/>
          <w:szCs w:val="20"/>
        </w:rPr>
        <w:t xml:space="preserve"> and HbA1C and also between </w:t>
      </w:r>
      <w:proofErr w:type="spellStart"/>
      <w:r w:rsidRPr="000137AB">
        <w:rPr>
          <w:rFonts w:ascii="Times New Roman" w:hAnsi="Times New Roman"/>
          <w:color w:val="000000"/>
          <w:sz w:val="20"/>
          <w:szCs w:val="20"/>
        </w:rPr>
        <w:t>Hb</w:t>
      </w:r>
      <w:proofErr w:type="spellEnd"/>
      <w:r w:rsidRPr="000137AB">
        <w:rPr>
          <w:rFonts w:ascii="Times New Roman" w:hAnsi="Times New Roman"/>
          <w:color w:val="000000"/>
          <w:sz w:val="20"/>
          <w:szCs w:val="20"/>
        </w:rPr>
        <w:t xml:space="preserve"> and duration of diabetes </w:t>
      </w:r>
    </w:p>
    <w:p w:rsidR="003217D8" w:rsidRPr="000137AB" w:rsidRDefault="003217D8" w:rsidP="000137AB">
      <w:pPr>
        <w:autoSpaceDE w:val="0"/>
        <w:adjustRightInd w:val="0"/>
        <w:spacing w:line="360" w:lineRule="auto"/>
        <w:jc w:val="both"/>
        <w:rPr>
          <w:color w:val="000000"/>
          <w:sz w:val="20"/>
          <w:szCs w:val="20"/>
        </w:rPr>
      </w:pPr>
    </w:p>
    <w:p w:rsidR="000137AB" w:rsidRPr="000137AB" w:rsidRDefault="000137AB" w:rsidP="000137AB">
      <w:pPr>
        <w:pStyle w:val="NormalWeb"/>
        <w:spacing w:before="0" w:beforeAutospacing="0" w:after="0" w:afterAutospacing="0" w:line="360" w:lineRule="auto"/>
        <w:ind w:left="360" w:firstLine="0"/>
        <w:jc w:val="both"/>
        <w:rPr>
          <w:rFonts w:ascii="Times New Roman" w:hAnsi="Times New Roman"/>
          <w:color w:val="000000"/>
          <w:kern w:val="2"/>
          <w:sz w:val="20"/>
          <w:szCs w:val="20"/>
        </w:rPr>
      </w:pPr>
    </w:p>
    <w:p w:rsidR="000137AB" w:rsidRPr="000137AB" w:rsidRDefault="000137AB" w:rsidP="000137AB">
      <w:pPr>
        <w:suppressAutoHyphens/>
        <w:autoSpaceDN w:val="0"/>
        <w:spacing w:line="360" w:lineRule="auto"/>
        <w:jc w:val="both"/>
        <w:textAlignment w:val="baseline"/>
        <w:rPr>
          <w:noProof/>
          <w:color w:val="000000"/>
          <w:sz w:val="20"/>
          <w:szCs w:val="20"/>
          <w:lang w:val="en-US"/>
        </w:rPr>
      </w:pPr>
      <w:r w:rsidRPr="0044166B">
        <w:rPr>
          <w:b/>
          <w:noProof/>
          <w:color w:val="000000"/>
          <w:sz w:val="20"/>
          <w:szCs w:val="20"/>
          <w:lang w:val="en-US"/>
        </w:rPr>
        <w:lastRenderedPageBreak/>
        <w:t>Acknowledgement:</w:t>
      </w:r>
      <w:r w:rsidRPr="000137AB">
        <w:rPr>
          <w:noProof/>
          <w:color w:val="000000"/>
          <w:sz w:val="20"/>
          <w:szCs w:val="20"/>
          <w:lang w:val="en-US"/>
        </w:rPr>
        <w:t xml:space="preserve">  Corresponding author heartfully thanked to co authors, parents , tearchers, patients who are participated in study with profer consent.</w:t>
      </w:r>
    </w:p>
    <w:p w:rsidR="000137AB" w:rsidRPr="000137AB" w:rsidRDefault="000137AB" w:rsidP="000137AB">
      <w:pPr>
        <w:suppressAutoHyphens/>
        <w:autoSpaceDN w:val="0"/>
        <w:spacing w:line="360" w:lineRule="auto"/>
        <w:jc w:val="both"/>
        <w:textAlignment w:val="baseline"/>
        <w:rPr>
          <w:noProof/>
          <w:color w:val="000000"/>
          <w:sz w:val="20"/>
          <w:szCs w:val="20"/>
          <w:lang w:val="en-US"/>
        </w:rPr>
      </w:pPr>
      <w:r w:rsidRPr="000137AB">
        <w:rPr>
          <w:noProof/>
          <w:color w:val="000000"/>
          <w:sz w:val="20"/>
          <w:szCs w:val="20"/>
          <w:lang w:val="en-US"/>
        </w:rPr>
        <w:br w:type="page"/>
      </w:r>
    </w:p>
    <w:p w:rsidR="0085003E" w:rsidRPr="000137AB" w:rsidRDefault="0085003E" w:rsidP="000137AB">
      <w:pPr>
        <w:autoSpaceDE w:val="0"/>
        <w:adjustRightInd w:val="0"/>
        <w:spacing w:line="360" w:lineRule="auto"/>
        <w:jc w:val="both"/>
        <w:rPr>
          <w:b/>
          <w:color w:val="000000"/>
          <w:sz w:val="20"/>
          <w:szCs w:val="20"/>
        </w:rPr>
      </w:pPr>
      <w:r w:rsidRPr="000137AB">
        <w:rPr>
          <w:b/>
          <w:color w:val="000000"/>
          <w:sz w:val="20"/>
          <w:szCs w:val="20"/>
        </w:rPr>
        <w:lastRenderedPageBreak/>
        <w:t>Reference</w:t>
      </w:r>
      <w:r w:rsidR="00E81459" w:rsidRPr="000137AB">
        <w:rPr>
          <w:b/>
          <w:color w:val="000000"/>
          <w:sz w:val="20"/>
          <w:szCs w:val="20"/>
        </w:rPr>
        <w:t>s</w:t>
      </w:r>
      <w:r w:rsidR="000137AB">
        <w:rPr>
          <w:b/>
          <w:color w:val="000000"/>
          <w:sz w:val="20"/>
          <w:szCs w:val="20"/>
        </w:rPr>
        <w:t xml:space="preserve">: </w:t>
      </w:r>
    </w:p>
    <w:p w:rsidR="003217D8" w:rsidRPr="000137AB" w:rsidRDefault="003217D8" w:rsidP="000137AB">
      <w:pPr>
        <w:pStyle w:val="ListParagraph"/>
        <w:numPr>
          <w:ilvl w:val="0"/>
          <w:numId w:val="15"/>
        </w:numPr>
        <w:autoSpaceDE w:val="0"/>
        <w:adjustRightInd w:val="0"/>
        <w:spacing w:after="0" w:line="360" w:lineRule="auto"/>
        <w:jc w:val="both"/>
        <w:rPr>
          <w:rFonts w:ascii="Times New Roman" w:hAnsi="Times New Roman"/>
          <w:color w:val="000000"/>
          <w:sz w:val="18"/>
          <w:szCs w:val="18"/>
        </w:rPr>
      </w:pPr>
      <w:r w:rsidRPr="000137AB">
        <w:rPr>
          <w:rFonts w:ascii="Times New Roman" w:hAnsi="Times New Roman"/>
          <w:color w:val="000000"/>
          <w:sz w:val="18"/>
          <w:szCs w:val="18"/>
        </w:rPr>
        <w:t xml:space="preserve">Murthy </w:t>
      </w:r>
      <w:proofErr w:type="gramStart"/>
      <w:r w:rsidRPr="000137AB">
        <w:rPr>
          <w:rFonts w:ascii="Times New Roman" w:hAnsi="Times New Roman"/>
          <w:color w:val="000000"/>
          <w:sz w:val="18"/>
          <w:szCs w:val="18"/>
        </w:rPr>
        <w:t>K(</w:t>
      </w:r>
      <w:proofErr w:type="gramEnd"/>
      <w:r w:rsidRPr="000137AB">
        <w:rPr>
          <w:rFonts w:ascii="Times New Roman" w:hAnsi="Times New Roman"/>
          <w:color w:val="000000"/>
          <w:sz w:val="18"/>
          <w:szCs w:val="18"/>
        </w:rPr>
        <w:t xml:space="preserve">trans). Illustrated </w:t>
      </w:r>
      <w:proofErr w:type="spellStart"/>
      <w:r w:rsidRPr="000137AB">
        <w:rPr>
          <w:rFonts w:ascii="Times New Roman" w:hAnsi="Times New Roman"/>
          <w:color w:val="000000"/>
          <w:sz w:val="18"/>
          <w:szCs w:val="18"/>
        </w:rPr>
        <w:t>Susruta</w:t>
      </w:r>
      <w:proofErr w:type="spellEnd"/>
      <w:r w:rsidRPr="000137AB">
        <w:rPr>
          <w:rFonts w:ascii="Times New Roman" w:hAnsi="Times New Roman"/>
          <w:color w:val="000000"/>
          <w:sz w:val="18"/>
          <w:szCs w:val="18"/>
        </w:rPr>
        <w:t xml:space="preserve"> </w:t>
      </w:r>
      <w:proofErr w:type="spellStart"/>
      <w:r w:rsidRPr="000137AB">
        <w:rPr>
          <w:rFonts w:ascii="Times New Roman" w:hAnsi="Times New Roman"/>
          <w:color w:val="000000"/>
          <w:sz w:val="18"/>
          <w:szCs w:val="18"/>
        </w:rPr>
        <w:t>Samhita</w:t>
      </w:r>
      <w:proofErr w:type="spellEnd"/>
      <w:r w:rsidRPr="000137AB">
        <w:rPr>
          <w:rFonts w:ascii="Times New Roman" w:hAnsi="Times New Roman"/>
          <w:color w:val="000000"/>
          <w:sz w:val="18"/>
          <w:szCs w:val="18"/>
        </w:rPr>
        <w:t xml:space="preserve">: Text, English translation, notes, appendices and index. </w:t>
      </w:r>
      <w:proofErr w:type="spellStart"/>
      <w:r w:rsidRPr="000137AB">
        <w:rPr>
          <w:rFonts w:ascii="Times New Roman" w:hAnsi="Times New Roman"/>
          <w:color w:val="000000"/>
          <w:sz w:val="18"/>
          <w:szCs w:val="18"/>
        </w:rPr>
        <w:t>Varanasi</w:t>
      </w:r>
      <w:proofErr w:type="gramStart"/>
      <w:r w:rsidRPr="000137AB">
        <w:rPr>
          <w:rFonts w:ascii="Times New Roman" w:hAnsi="Times New Roman"/>
          <w:color w:val="000000"/>
          <w:sz w:val="18"/>
          <w:szCs w:val="18"/>
        </w:rPr>
        <w:t>:Chaukhambha</w:t>
      </w:r>
      <w:proofErr w:type="spellEnd"/>
      <w:proofErr w:type="gramEnd"/>
      <w:r w:rsidRPr="000137AB">
        <w:rPr>
          <w:rFonts w:ascii="Times New Roman" w:hAnsi="Times New Roman"/>
          <w:color w:val="000000"/>
          <w:sz w:val="18"/>
          <w:szCs w:val="18"/>
        </w:rPr>
        <w:t xml:space="preserve"> </w:t>
      </w:r>
      <w:proofErr w:type="spellStart"/>
      <w:r w:rsidRPr="000137AB">
        <w:rPr>
          <w:rFonts w:ascii="Times New Roman" w:hAnsi="Times New Roman"/>
          <w:color w:val="000000"/>
          <w:sz w:val="18"/>
          <w:szCs w:val="18"/>
        </w:rPr>
        <w:t>Orientalia</w:t>
      </w:r>
      <w:proofErr w:type="spellEnd"/>
      <w:r w:rsidRPr="000137AB">
        <w:rPr>
          <w:rFonts w:ascii="Times New Roman" w:hAnsi="Times New Roman"/>
          <w:color w:val="000000"/>
          <w:sz w:val="18"/>
          <w:szCs w:val="18"/>
        </w:rPr>
        <w:t xml:space="preserve">; 2000. </w:t>
      </w:r>
    </w:p>
    <w:p w:rsidR="003217D8" w:rsidRPr="000137AB" w:rsidRDefault="003217D8" w:rsidP="000137AB">
      <w:pPr>
        <w:pStyle w:val="ListParagraph"/>
        <w:numPr>
          <w:ilvl w:val="0"/>
          <w:numId w:val="15"/>
        </w:numPr>
        <w:autoSpaceDE w:val="0"/>
        <w:adjustRightInd w:val="0"/>
        <w:spacing w:after="0" w:line="360" w:lineRule="auto"/>
        <w:jc w:val="both"/>
        <w:rPr>
          <w:rFonts w:ascii="Times New Roman" w:hAnsi="Times New Roman"/>
          <w:color w:val="000000"/>
          <w:sz w:val="18"/>
          <w:szCs w:val="18"/>
        </w:rPr>
      </w:pPr>
      <w:proofErr w:type="spellStart"/>
      <w:r w:rsidRPr="000137AB">
        <w:rPr>
          <w:rFonts w:ascii="Times New Roman" w:hAnsi="Times New Roman"/>
          <w:color w:val="000000"/>
          <w:sz w:val="18"/>
          <w:szCs w:val="18"/>
        </w:rPr>
        <w:t>Valiathan</w:t>
      </w:r>
      <w:proofErr w:type="spellEnd"/>
      <w:r w:rsidRPr="000137AB">
        <w:rPr>
          <w:rFonts w:ascii="Times New Roman" w:hAnsi="Times New Roman"/>
          <w:color w:val="000000"/>
          <w:sz w:val="18"/>
          <w:szCs w:val="18"/>
        </w:rPr>
        <w:t xml:space="preserve"> M. The legacy of </w:t>
      </w:r>
      <w:proofErr w:type="spellStart"/>
      <w:r w:rsidRPr="000137AB">
        <w:rPr>
          <w:rFonts w:ascii="Times New Roman" w:hAnsi="Times New Roman"/>
          <w:color w:val="000000"/>
          <w:sz w:val="18"/>
          <w:szCs w:val="18"/>
        </w:rPr>
        <w:t>Susrutha.Hyderabad</w:t>
      </w:r>
      <w:proofErr w:type="spellEnd"/>
      <w:r w:rsidRPr="000137AB">
        <w:rPr>
          <w:rFonts w:ascii="Times New Roman" w:hAnsi="Times New Roman"/>
          <w:color w:val="000000"/>
          <w:sz w:val="18"/>
          <w:szCs w:val="18"/>
        </w:rPr>
        <w:t xml:space="preserve">: Orient </w:t>
      </w:r>
      <w:proofErr w:type="spellStart"/>
      <w:r w:rsidRPr="000137AB">
        <w:rPr>
          <w:rFonts w:ascii="Times New Roman" w:hAnsi="Times New Roman"/>
          <w:color w:val="000000"/>
          <w:sz w:val="18"/>
          <w:szCs w:val="18"/>
        </w:rPr>
        <w:t>longman</w:t>
      </w:r>
      <w:proofErr w:type="spellEnd"/>
      <w:r w:rsidRPr="000137AB">
        <w:rPr>
          <w:rFonts w:ascii="Times New Roman" w:hAnsi="Times New Roman"/>
          <w:color w:val="000000"/>
          <w:sz w:val="18"/>
          <w:szCs w:val="18"/>
        </w:rPr>
        <w:t xml:space="preserve">; 2007. </w:t>
      </w:r>
    </w:p>
    <w:p w:rsidR="003217D8" w:rsidRPr="000137AB" w:rsidRDefault="003217D8" w:rsidP="000137AB">
      <w:pPr>
        <w:pStyle w:val="ListParagraph"/>
        <w:numPr>
          <w:ilvl w:val="0"/>
          <w:numId w:val="15"/>
        </w:numPr>
        <w:autoSpaceDE w:val="0"/>
        <w:adjustRightInd w:val="0"/>
        <w:spacing w:after="0" w:line="360" w:lineRule="auto"/>
        <w:jc w:val="both"/>
        <w:rPr>
          <w:rFonts w:ascii="Times New Roman" w:hAnsi="Times New Roman"/>
          <w:color w:val="000000"/>
          <w:sz w:val="18"/>
          <w:szCs w:val="18"/>
        </w:rPr>
      </w:pPr>
      <w:proofErr w:type="spellStart"/>
      <w:r w:rsidRPr="000137AB">
        <w:rPr>
          <w:rFonts w:ascii="Times New Roman" w:hAnsi="Times New Roman"/>
          <w:color w:val="000000"/>
          <w:sz w:val="18"/>
          <w:szCs w:val="18"/>
        </w:rPr>
        <w:t>Chandalia</w:t>
      </w:r>
      <w:proofErr w:type="spellEnd"/>
      <w:r w:rsidRPr="000137AB">
        <w:rPr>
          <w:rFonts w:ascii="Times New Roman" w:hAnsi="Times New Roman"/>
          <w:color w:val="000000"/>
          <w:sz w:val="18"/>
          <w:szCs w:val="18"/>
        </w:rPr>
        <w:t xml:space="preserve"> HB, Sridhar GR, Das AK, </w:t>
      </w:r>
      <w:proofErr w:type="spellStart"/>
      <w:r w:rsidRPr="000137AB">
        <w:rPr>
          <w:rFonts w:ascii="Times New Roman" w:hAnsi="Times New Roman"/>
          <w:color w:val="000000"/>
          <w:sz w:val="18"/>
          <w:szCs w:val="18"/>
        </w:rPr>
        <w:t>Madhu</w:t>
      </w:r>
      <w:proofErr w:type="spellEnd"/>
      <w:r w:rsidRPr="000137AB">
        <w:rPr>
          <w:rFonts w:ascii="Times New Roman" w:hAnsi="Times New Roman"/>
          <w:color w:val="000000"/>
          <w:sz w:val="18"/>
          <w:szCs w:val="18"/>
        </w:rPr>
        <w:t xml:space="preserve"> SV, Mohan V, </w:t>
      </w:r>
      <w:proofErr w:type="spellStart"/>
      <w:r w:rsidRPr="000137AB">
        <w:rPr>
          <w:rFonts w:ascii="Times New Roman" w:hAnsi="Times New Roman"/>
          <w:color w:val="000000"/>
          <w:sz w:val="18"/>
          <w:szCs w:val="18"/>
        </w:rPr>
        <w:t>Rao</w:t>
      </w:r>
      <w:proofErr w:type="spellEnd"/>
      <w:r w:rsidRPr="000137AB">
        <w:rPr>
          <w:rFonts w:ascii="Times New Roman" w:hAnsi="Times New Roman"/>
          <w:color w:val="000000"/>
          <w:sz w:val="18"/>
          <w:szCs w:val="18"/>
        </w:rPr>
        <w:t xml:space="preserve"> PV. RSSDI Textbook of diabetes mellitus. Third edition. New Delhi. </w:t>
      </w:r>
      <w:proofErr w:type="spellStart"/>
      <w:r w:rsidRPr="000137AB">
        <w:rPr>
          <w:rFonts w:ascii="Times New Roman" w:hAnsi="Times New Roman"/>
          <w:color w:val="000000"/>
          <w:sz w:val="18"/>
          <w:szCs w:val="18"/>
        </w:rPr>
        <w:t>Jaypee</w:t>
      </w:r>
      <w:proofErr w:type="spellEnd"/>
      <w:r w:rsidRPr="000137AB">
        <w:rPr>
          <w:rFonts w:ascii="Times New Roman" w:hAnsi="Times New Roman"/>
          <w:color w:val="000000"/>
          <w:sz w:val="18"/>
          <w:szCs w:val="18"/>
        </w:rPr>
        <w:t xml:space="preserve"> Brothers Medical Publishers (P) Ltd</w:t>
      </w:r>
      <w:proofErr w:type="gramStart"/>
      <w:r w:rsidRPr="000137AB">
        <w:rPr>
          <w:rFonts w:ascii="Times New Roman" w:hAnsi="Times New Roman"/>
          <w:color w:val="000000"/>
          <w:sz w:val="18"/>
          <w:szCs w:val="18"/>
        </w:rPr>
        <w:t>;2014</w:t>
      </w:r>
      <w:proofErr w:type="gramEnd"/>
      <w:r w:rsidRPr="000137AB">
        <w:rPr>
          <w:rFonts w:ascii="Times New Roman" w:hAnsi="Times New Roman"/>
          <w:color w:val="000000"/>
          <w:sz w:val="18"/>
          <w:szCs w:val="18"/>
        </w:rPr>
        <w:t>. Chapter1</w:t>
      </w:r>
      <w:proofErr w:type="gramStart"/>
      <w:r w:rsidRPr="000137AB">
        <w:rPr>
          <w:rFonts w:ascii="Times New Roman" w:hAnsi="Times New Roman"/>
          <w:color w:val="000000"/>
          <w:sz w:val="18"/>
          <w:szCs w:val="18"/>
        </w:rPr>
        <w:t>,p5</w:t>
      </w:r>
      <w:proofErr w:type="gramEnd"/>
      <w:r w:rsidRPr="000137AB">
        <w:rPr>
          <w:rFonts w:ascii="Times New Roman" w:hAnsi="Times New Roman"/>
          <w:color w:val="000000"/>
          <w:sz w:val="18"/>
          <w:szCs w:val="18"/>
        </w:rPr>
        <w:t xml:space="preserve">. </w:t>
      </w:r>
    </w:p>
    <w:p w:rsidR="003217D8" w:rsidRPr="000137AB" w:rsidRDefault="003217D8" w:rsidP="000137AB">
      <w:pPr>
        <w:pStyle w:val="ListParagraph"/>
        <w:numPr>
          <w:ilvl w:val="0"/>
          <w:numId w:val="15"/>
        </w:numPr>
        <w:autoSpaceDE w:val="0"/>
        <w:adjustRightInd w:val="0"/>
        <w:spacing w:after="0" w:line="360" w:lineRule="auto"/>
        <w:jc w:val="both"/>
        <w:rPr>
          <w:rFonts w:ascii="Times New Roman" w:hAnsi="Times New Roman"/>
          <w:color w:val="000000"/>
          <w:sz w:val="18"/>
          <w:szCs w:val="18"/>
        </w:rPr>
      </w:pPr>
      <w:r w:rsidRPr="000137AB">
        <w:rPr>
          <w:rFonts w:ascii="Times New Roman" w:hAnsi="Times New Roman"/>
          <w:color w:val="000000"/>
          <w:sz w:val="18"/>
          <w:szCs w:val="18"/>
        </w:rPr>
        <w:t>Bernard C. Lessons de physiologic. Paris; JB Balliere</w:t>
      </w:r>
      <w:proofErr w:type="gramStart"/>
      <w:r w:rsidRPr="000137AB">
        <w:rPr>
          <w:rFonts w:ascii="Times New Roman" w:hAnsi="Times New Roman"/>
          <w:color w:val="000000"/>
          <w:sz w:val="18"/>
          <w:szCs w:val="18"/>
        </w:rPr>
        <w:t>:1855</w:t>
      </w:r>
      <w:proofErr w:type="gramEnd"/>
      <w:r w:rsidRPr="000137AB">
        <w:rPr>
          <w:rFonts w:ascii="Times New Roman" w:hAnsi="Times New Roman"/>
          <w:color w:val="000000"/>
          <w:sz w:val="18"/>
          <w:szCs w:val="18"/>
        </w:rPr>
        <w:t xml:space="preserve">, p.289. </w:t>
      </w:r>
    </w:p>
    <w:p w:rsidR="003217D8" w:rsidRPr="000137AB" w:rsidRDefault="003217D8" w:rsidP="000137AB">
      <w:pPr>
        <w:pStyle w:val="ListParagraph"/>
        <w:numPr>
          <w:ilvl w:val="0"/>
          <w:numId w:val="15"/>
        </w:numPr>
        <w:autoSpaceDE w:val="0"/>
        <w:adjustRightInd w:val="0"/>
        <w:spacing w:after="0" w:line="360" w:lineRule="auto"/>
        <w:jc w:val="both"/>
        <w:rPr>
          <w:rFonts w:ascii="Times New Roman" w:hAnsi="Times New Roman"/>
          <w:color w:val="000000"/>
          <w:sz w:val="18"/>
          <w:szCs w:val="18"/>
        </w:rPr>
      </w:pPr>
      <w:proofErr w:type="spellStart"/>
      <w:r w:rsidRPr="000137AB">
        <w:rPr>
          <w:rFonts w:ascii="Times New Roman" w:hAnsi="Times New Roman"/>
          <w:color w:val="000000"/>
          <w:sz w:val="18"/>
          <w:szCs w:val="18"/>
        </w:rPr>
        <w:t>Banting</w:t>
      </w:r>
      <w:proofErr w:type="spellEnd"/>
      <w:r w:rsidRPr="000137AB">
        <w:rPr>
          <w:rFonts w:ascii="Times New Roman" w:hAnsi="Times New Roman"/>
          <w:color w:val="000000"/>
          <w:sz w:val="18"/>
          <w:szCs w:val="18"/>
        </w:rPr>
        <w:t xml:space="preserve"> FG, Best CH, </w:t>
      </w:r>
      <w:proofErr w:type="spellStart"/>
      <w:r w:rsidRPr="000137AB">
        <w:rPr>
          <w:rFonts w:ascii="Times New Roman" w:hAnsi="Times New Roman"/>
          <w:color w:val="000000"/>
          <w:sz w:val="18"/>
          <w:szCs w:val="18"/>
        </w:rPr>
        <w:t>Collip</w:t>
      </w:r>
      <w:proofErr w:type="spellEnd"/>
      <w:r w:rsidRPr="000137AB">
        <w:rPr>
          <w:rFonts w:ascii="Times New Roman" w:hAnsi="Times New Roman"/>
          <w:color w:val="000000"/>
          <w:sz w:val="18"/>
          <w:szCs w:val="18"/>
        </w:rPr>
        <w:t xml:space="preserve"> JB, et.al. Pancreatic Extracts in Treatment of Diabetes Mellitus. Can Med </w:t>
      </w:r>
      <w:proofErr w:type="spellStart"/>
      <w:r w:rsidRPr="000137AB">
        <w:rPr>
          <w:rFonts w:ascii="Times New Roman" w:hAnsi="Times New Roman"/>
          <w:color w:val="000000"/>
          <w:sz w:val="18"/>
          <w:szCs w:val="18"/>
        </w:rPr>
        <w:t>Assoc</w:t>
      </w:r>
      <w:proofErr w:type="spellEnd"/>
      <w:r w:rsidRPr="000137AB">
        <w:rPr>
          <w:rFonts w:ascii="Times New Roman" w:hAnsi="Times New Roman"/>
          <w:color w:val="000000"/>
          <w:sz w:val="18"/>
          <w:szCs w:val="18"/>
        </w:rPr>
        <w:t xml:space="preserve"> J.1922</w:t>
      </w:r>
      <w:proofErr w:type="gramStart"/>
      <w:r w:rsidRPr="000137AB">
        <w:rPr>
          <w:rFonts w:ascii="Times New Roman" w:hAnsi="Times New Roman"/>
          <w:color w:val="000000"/>
          <w:sz w:val="18"/>
          <w:szCs w:val="18"/>
        </w:rPr>
        <w:t>;12:141</w:t>
      </w:r>
      <w:proofErr w:type="gramEnd"/>
      <w:r w:rsidRPr="000137AB">
        <w:rPr>
          <w:rFonts w:ascii="Times New Roman" w:hAnsi="Times New Roman"/>
          <w:color w:val="000000"/>
          <w:sz w:val="18"/>
          <w:szCs w:val="18"/>
        </w:rPr>
        <w:t xml:space="preserve">-6. </w:t>
      </w:r>
    </w:p>
    <w:p w:rsidR="003217D8" w:rsidRPr="000137AB" w:rsidRDefault="003217D8" w:rsidP="000137AB">
      <w:pPr>
        <w:pStyle w:val="ListParagraph"/>
        <w:numPr>
          <w:ilvl w:val="0"/>
          <w:numId w:val="15"/>
        </w:numPr>
        <w:autoSpaceDE w:val="0"/>
        <w:adjustRightInd w:val="0"/>
        <w:spacing w:after="0" w:line="360" w:lineRule="auto"/>
        <w:jc w:val="both"/>
        <w:rPr>
          <w:rFonts w:ascii="Times New Roman" w:hAnsi="Times New Roman"/>
          <w:color w:val="000000"/>
          <w:sz w:val="18"/>
          <w:szCs w:val="18"/>
        </w:rPr>
      </w:pPr>
      <w:proofErr w:type="spellStart"/>
      <w:r w:rsidRPr="000137AB">
        <w:rPr>
          <w:rFonts w:ascii="Times New Roman" w:hAnsi="Times New Roman"/>
          <w:color w:val="000000"/>
          <w:sz w:val="18"/>
          <w:szCs w:val="18"/>
        </w:rPr>
        <w:t>Rathod</w:t>
      </w:r>
      <w:proofErr w:type="spellEnd"/>
      <w:r w:rsidRPr="000137AB">
        <w:rPr>
          <w:rFonts w:ascii="Times New Roman" w:hAnsi="Times New Roman"/>
          <w:color w:val="000000"/>
          <w:sz w:val="18"/>
          <w:szCs w:val="18"/>
        </w:rPr>
        <w:t xml:space="preserve"> GB, </w:t>
      </w:r>
      <w:proofErr w:type="spellStart"/>
      <w:r w:rsidRPr="000137AB">
        <w:rPr>
          <w:rFonts w:ascii="Times New Roman" w:hAnsi="Times New Roman"/>
          <w:color w:val="000000"/>
          <w:sz w:val="18"/>
          <w:szCs w:val="18"/>
        </w:rPr>
        <w:t>Parmar</w:t>
      </w:r>
      <w:proofErr w:type="spellEnd"/>
      <w:r w:rsidRPr="000137AB">
        <w:rPr>
          <w:rFonts w:ascii="Times New Roman" w:hAnsi="Times New Roman"/>
          <w:color w:val="000000"/>
          <w:sz w:val="18"/>
          <w:szCs w:val="18"/>
        </w:rPr>
        <w:t xml:space="preserve"> P, </w:t>
      </w:r>
      <w:proofErr w:type="spellStart"/>
      <w:r w:rsidRPr="000137AB">
        <w:rPr>
          <w:rFonts w:ascii="Times New Roman" w:hAnsi="Times New Roman"/>
          <w:color w:val="000000"/>
          <w:sz w:val="18"/>
          <w:szCs w:val="18"/>
        </w:rPr>
        <w:t>Rathod</w:t>
      </w:r>
      <w:proofErr w:type="spellEnd"/>
      <w:r w:rsidRPr="000137AB">
        <w:rPr>
          <w:rFonts w:ascii="Times New Roman" w:hAnsi="Times New Roman"/>
          <w:color w:val="000000"/>
          <w:sz w:val="18"/>
          <w:szCs w:val="18"/>
        </w:rPr>
        <w:t xml:space="preserve"> S, Parikh A. Prevalence of anemia in patients with Type 2 Diabetes Mellitus at </w:t>
      </w:r>
      <w:proofErr w:type="spellStart"/>
      <w:r w:rsidRPr="000137AB">
        <w:rPr>
          <w:rFonts w:ascii="Times New Roman" w:hAnsi="Times New Roman"/>
          <w:color w:val="000000"/>
          <w:sz w:val="18"/>
          <w:szCs w:val="18"/>
        </w:rPr>
        <w:t>Gandhinagar</w:t>
      </w:r>
      <w:proofErr w:type="spellEnd"/>
      <w:r w:rsidRPr="000137AB">
        <w:rPr>
          <w:rFonts w:ascii="Times New Roman" w:hAnsi="Times New Roman"/>
          <w:color w:val="000000"/>
          <w:sz w:val="18"/>
          <w:szCs w:val="18"/>
        </w:rPr>
        <w:t xml:space="preserve">, Gujarat, India. IAIM, 2016; 3(3): 12-16. </w:t>
      </w:r>
    </w:p>
    <w:p w:rsidR="003217D8" w:rsidRPr="000137AB" w:rsidRDefault="003217D8" w:rsidP="000137AB">
      <w:pPr>
        <w:pStyle w:val="ListParagraph"/>
        <w:numPr>
          <w:ilvl w:val="0"/>
          <w:numId w:val="15"/>
        </w:numPr>
        <w:autoSpaceDE w:val="0"/>
        <w:adjustRightInd w:val="0"/>
        <w:spacing w:after="0" w:line="360" w:lineRule="auto"/>
        <w:jc w:val="both"/>
        <w:rPr>
          <w:rFonts w:ascii="Times New Roman" w:hAnsi="Times New Roman"/>
          <w:color w:val="000000"/>
          <w:sz w:val="18"/>
          <w:szCs w:val="18"/>
        </w:rPr>
      </w:pPr>
      <w:proofErr w:type="spellStart"/>
      <w:r w:rsidRPr="000137AB">
        <w:rPr>
          <w:rFonts w:ascii="Times New Roman" w:hAnsi="Times New Roman"/>
          <w:color w:val="000000"/>
          <w:sz w:val="18"/>
          <w:szCs w:val="18"/>
        </w:rPr>
        <w:t>Lin.J</w:t>
      </w:r>
      <w:proofErr w:type="spellEnd"/>
      <w:r w:rsidRPr="000137AB">
        <w:rPr>
          <w:rFonts w:ascii="Times New Roman" w:hAnsi="Times New Roman"/>
          <w:color w:val="000000"/>
          <w:sz w:val="18"/>
          <w:szCs w:val="18"/>
        </w:rPr>
        <w:t xml:space="preserve">, </w:t>
      </w:r>
      <w:proofErr w:type="spellStart"/>
      <w:r w:rsidRPr="000137AB">
        <w:rPr>
          <w:rFonts w:ascii="Times New Roman" w:hAnsi="Times New Roman"/>
          <w:color w:val="000000"/>
          <w:sz w:val="18"/>
          <w:szCs w:val="18"/>
        </w:rPr>
        <w:t>Bradley.M.,Chapter</w:t>
      </w:r>
      <w:proofErr w:type="spellEnd"/>
      <w:r w:rsidRPr="000137AB">
        <w:rPr>
          <w:rFonts w:ascii="Times New Roman" w:hAnsi="Times New Roman"/>
          <w:color w:val="000000"/>
          <w:sz w:val="18"/>
          <w:szCs w:val="18"/>
        </w:rPr>
        <w:t xml:space="preserve"> 61 Azotemia and Urinary </w:t>
      </w:r>
      <w:proofErr w:type="spellStart"/>
      <w:r w:rsidRPr="000137AB">
        <w:rPr>
          <w:rFonts w:ascii="Times New Roman" w:hAnsi="Times New Roman"/>
          <w:color w:val="000000"/>
          <w:sz w:val="18"/>
          <w:szCs w:val="18"/>
        </w:rPr>
        <w:t>abnormalities,Kasper</w:t>
      </w:r>
      <w:proofErr w:type="spellEnd"/>
      <w:r w:rsidRPr="000137AB">
        <w:rPr>
          <w:rFonts w:ascii="Times New Roman" w:hAnsi="Times New Roman"/>
          <w:color w:val="000000"/>
          <w:sz w:val="18"/>
          <w:szCs w:val="18"/>
        </w:rPr>
        <w:t xml:space="preserve"> D, </w:t>
      </w:r>
      <w:proofErr w:type="spellStart"/>
      <w:r w:rsidRPr="000137AB">
        <w:rPr>
          <w:rFonts w:ascii="Times New Roman" w:hAnsi="Times New Roman"/>
          <w:color w:val="000000"/>
          <w:sz w:val="18"/>
          <w:szCs w:val="18"/>
        </w:rPr>
        <w:t>Fauci</w:t>
      </w:r>
      <w:proofErr w:type="spellEnd"/>
      <w:r w:rsidRPr="000137AB">
        <w:rPr>
          <w:rFonts w:ascii="Times New Roman" w:hAnsi="Times New Roman"/>
          <w:color w:val="000000"/>
          <w:sz w:val="18"/>
          <w:szCs w:val="18"/>
        </w:rPr>
        <w:t xml:space="preserve"> A, Hauser S, Longo D, Jameson J, </w:t>
      </w:r>
      <w:proofErr w:type="spellStart"/>
      <w:r w:rsidRPr="000137AB">
        <w:rPr>
          <w:rFonts w:ascii="Times New Roman" w:hAnsi="Times New Roman"/>
          <w:color w:val="000000"/>
          <w:sz w:val="18"/>
          <w:szCs w:val="18"/>
        </w:rPr>
        <w:t>Loscalzo</w:t>
      </w:r>
      <w:proofErr w:type="spellEnd"/>
      <w:r w:rsidRPr="000137AB">
        <w:rPr>
          <w:rFonts w:ascii="Times New Roman" w:hAnsi="Times New Roman"/>
          <w:color w:val="000000"/>
          <w:sz w:val="18"/>
          <w:szCs w:val="18"/>
        </w:rPr>
        <w:t xml:space="preserve"> J et al. Harrison's principles of internal medicine. 19th ed. United states of America: </w:t>
      </w:r>
      <w:proofErr w:type="spellStart"/>
      <w:r w:rsidRPr="000137AB">
        <w:rPr>
          <w:rFonts w:ascii="Times New Roman" w:hAnsi="Times New Roman"/>
          <w:color w:val="000000"/>
          <w:sz w:val="18"/>
          <w:szCs w:val="18"/>
        </w:rPr>
        <w:t>Mc</w:t>
      </w:r>
      <w:proofErr w:type="spellEnd"/>
      <w:r w:rsidRPr="000137AB">
        <w:rPr>
          <w:rFonts w:ascii="Times New Roman" w:hAnsi="Times New Roman"/>
          <w:color w:val="000000"/>
          <w:sz w:val="18"/>
          <w:szCs w:val="18"/>
        </w:rPr>
        <w:t xml:space="preserve"> </w:t>
      </w:r>
      <w:proofErr w:type="spellStart"/>
      <w:r w:rsidRPr="000137AB">
        <w:rPr>
          <w:rFonts w:ascii="Times New Roman" w:hAnsi="Times New Roman"/>
          <w:color w:val="000000"/>
          <w:sz w:val="18"/>
          <w:szCs w:val="18"/>
        </w:rPr>
        <w:t>Graw</w:t>
      </w:r>
      <w:proofErr w:type="spellEnd"/>
      <w:r w:rsidRPr="000137AB">
        <w:rPr>
          <w:rFonts w:ascii="Times New Roman" w:hAnsi="Times New Roman"/>
          <w:color w:val="000000"/>
          <w:sz w:val="18"/>
          <w:szCs w:val="18"/>
        </w:rPr>
        <w:t xml:space="preserve"> Hill; 2015.P.291 </w:t>
      </w:r>
    </w:p>
    <w:p w:rsidR="003217D8" w:rsidRPr="000137AB" w:rsidRDefault="003217D8" w:rsidP="000137AB">
      <w:pPr>
        <w:pStyle w:val="ListParagraph"/>
        <w:numPr>
          <w:ilvl w:val="0"/>
          <w:numId w:val="15"/>
        </w:numPr>
        <w:autoSpaceDE w:val="0"/>
        <w:adjustRightInd w:val="0"/>
        <w:spacing w:after="0" w:line="360" w:lineRule="auto"/>
        <w:jc w:val="both"/>
        <w:rPr>
          <w:rFonts w:ascii="Times New Roman" w:hAnsi="Times New Roman"/>
          <w:color w:val="000000"/>
          <w:sz w:val="18"/>
          <w:szCs w:val="18"/>
        </w:rPr>
      </w:pPr>
      <w:proofErr w:type="spellStart"/>
      <w:r w:rsidRPr="000137AB">
        <w:rPr>
          <w:rFonts w:ascii="Times New Roman" w:hAnsi="Times New Roman"/>
          <w:color w:val="000000"/>
          <w:sz w:val="18"/>
          <w:szCs w:val="18"/>
        </w:rPr>
        <w:t>Coresh</w:t>
      </w:r>
      <w:proofErr w:type="spellEnd"/>
      <w:r w:rsidRPr="000137AB">
        <w:rPr>
          <w:rFonts w:ascii="Times New Roman" w:hAnsi="Times New Roman"/>
          <w:color w:val="000000"/>
          <w:sz w:val="18"/>
          <w:szCs w:val="18"/>
        </w:rPr>
        <w:t xml:space="preserve"> J, Astor BC, Greene T, </w:t>
      </w:r>
      <w:proofErr w:type="spellStart"/>
      <w:r w:rsidRPr="000137AB">
        <w:rPr>
          <w:rFonts w:ascii="Times New Roman" w:hAnsi="Times New Roman"/>
          <w:color w:val="000000"/>
          <w:sz w:val="18"/>
          <w:szCs w:val="18"/>
        </w:rPr>
        <w:t>Eknoyan</w:t>
      </w:r>
      <w:proofErr w:type="spellEnd"/>
      <w:r w:rsidRPr="000137AB">
        <w:rPr>
          <w:rFonts w:ascii="Times New Roman" w:hAnsi="Times New Roman"/>
          <w:color w:val="000000"/>
          <w:sz w:val="18"/>
          <w:szCs w:val="18"/>
        </w:rPr>
        <w:t xml:space="preserve"> G, </w:t>
      </w:r>
      <w:proofErr w:type="spellStart"/>
      <w:r w:rsidRPr="000137AB">
        <w:rPr>
          <w:rFonts w:ascii="Times New Roman" w:hAnsi="Times New Roman"/>
          <w:color w:val="000000"/>
          <w:sz w:val="18"/>
          <w:szCs w:val="18"/>
        </w:rPr>
        <w:t>Levey</w:t>
      </w:r>
      <w:proofErr w:type="spellEnd"/>
      <w:r w:rsidRPr="000137AB">
        <w:rPr>
          <w:rFonts w:ascii="Times New Roman" w:hAnsi="Times New Roman"/>
          <w:color w:val="000000"/>
          <w:sz w:val="18"/>
          <w:szCs w:val="18"/>
        </w:rPr>
        <w:t xml:space="preserve"> AS. Prevalence of chronic kidney disease and decreased kidney function in the adult U.S. population: Third National Health and Nutrition Examination Survey. </w:t>
      </w:r>
      <w:r w:rsidRPr="000137AB">
        <w:rPr>
          <w:rFonts w:ascii="Times New Roman" w:hAnsi="Times New Roman"/>
          <w:i/>
          <w:iCs/>
          <w:color w:val="000000"/>
          <w:sz w:val="18"/>
          <w:szCs w:val="18"/>
        </w:rPr>
        <w:t xml:space="preserve">Am J Kidney Dis. </w:t>
      </w:r>
      <w:r w:rsidRPr="000137AB">
        <w:rPr>
          <w:rFonts w:ascii="Times New Roman" w:hAnsi="Times New Roman"/>
          <w:color w:val="000000"/>
          <w:sz w:val="18"/>
          <w:szCs w:val="18"/>
        </w:rPr>
        <w:t xml:space="preserve">2003;41(1):1-12 </w:t>
      </w:r>
    </w:p>
    <w:p w:rsidR="003217D8" w:rsidRPr="000137AB" w:rsidRDefault="003217D8" w:rsidP="000137AB">
      <w:pPr>
        <w:pStyle w:val="ListParagraph"/>
        <w:numPr>
          <w:ilvl w:val="0"/>
          <w:numId w:val="15"/>
        </w:numPr>
        <w:autoSpaceDE w:val="0"/>
        <w:adjustRightInd w:val="0"/>
        <w:spacing w:after="0" w:line="360" w:lineRule="auto"/>
        <w:jc w:val="both"/>
        <w:rPr>
          <w:rFonts w:ascii="Times New Roman" w:hAnsi="Times New Roman"/>
          <w:color w:val="000000"/>
          <w:sz w:val="18"/>
          <w:szCs w:val="18"/>
        </w:rPr>
      </w:pPr>
      <w:proofErr w:type="spellStart"/>
      <w:r w:rsidRPr="000137AB">
        <w:rPr>
          <w:rFonts w:ascii="Times New Roman" w:hAnsi="Times New Roman"/>
          <w:color w:val="000000"/>
          <w:sz w:val="18"/>
          <w:szCs w:val="18"/>
        </w:rPr>
        <w:t>Puneeth</w:t>
      </w:r>
      <w:proofErr w:type="spellEnd"/>
      <w:r w:rsidRPr="000137AB">
        <w:rPr>
          <w:rFonts w:ascii="Times New Roman" w:hAnsi="Times New Roman"/>
          <w:color w:val="000000"/>
          <w:sz w:val="18"/>
          <w:szCs w:val="18"/>
        </w:rPr>
        <w:t xml:space="preserve"> BS et al., Study of hematological profile of anemia in type 2 diabetes mellitus patients Sch. J. App. Med. Sci., Mar 2017; 5(3E):1070-1073 </w:t>
      </w:r>
    </w:p>
    <w:p w:rsidR="003217D8" w:rsidRPr="000137AB" w:rsidRDefault="003217D8" w:rsidP="000137AB">
      <w:pPr>
        <w:pStyle w:val="ListParagraph"/>
        <w:numPr>
          <w:ilvl w:val="0"/>
          <w:numId w:val="15"/>
        </w:numPr>
        <w:autoSpaceDE w:val="0"/>
        <w:adjustRightInd w:val="0"/>
        <w:spacing w:after="0" w:line="360" w:lineRule="auto"/>
        <w:jc w:val="both"/>
        <w:rPr>
          <w:rFonts w:ascii="Times New Roman" w:hAnsi="Times New Roman"/>
          <w:color w:val="000000"/>
          <w:sz w:val="18"/>
          <w:szCs w:val="18"/>
        </w:rPr>
      </w:pPr>
      <w:r w:rsidRPr="000137AB">
        <w:rPr>
          <w:rFonts w:ascii="Times New Roman" w:hAnsi="Times New Roman"/>
          <w:color w:val="000000"/>
          <w:sz w:val="18"/>
          <w:szCs w:val="18"/>
        </w:rPr>
        <w:t xml:space="preserve">Grossman C, </w:t>
      </w:r>
      <w:proofErr w:type="spellStart"/>
      <w:r w:rsidRPr="000137AB">
        <w:rPr>
          <w:rFonts w:ascii="Times New Roman" w:hAnsi="Times New Roman"/>
          <w:color w:val="000000"/>
          <w:sz w:val="18"/>
          <w:szCs w:val="18"/>
        </w:rPr>
        <w:t>Dovrish</w:t>
      </w:r>
      <w:proofErr w:type="spellEnd"/>
      <w:r w:rsidRPr="000137AB">
        <w:rPr>
          <w:rFonts w:ascii="Times New Roman" w:hAnsi="Times New Roman"/>
          <w:color w:val="000000"/>
          <w:sz w:val="18"/>
          <w:szCs w:val="18"/>
        </w:rPr>
        <w:t xml:space="preserve"> Z, </w:t>
      </w:r>
      <w:proofErr w:type="spellStart"/>
      <w:r w:rsidRPr="000137AB">
        <w:rPr>
          <w:rFonts w:ascii="Times New Roman" w:hAnsi="Times New Roman"/>
          <w:color w:val="000000"/>
          <w:sz w:val="18"/>
          <w:szCs w:val="18"/>
        </w:rPr>
        <w:t>Koren</w:t>
      </w:r>
      <w:proofErr w:type="spellEnd"/>
      <w:r w:rsidRPr="000137AB">
        <w:rPr>
          <w:rFonts w:ascii="Times New Roman" w:hAnsi="Times New Roman"/>
          <w:color w:val="000000"/>
          <w:sz w:val="18"/>
          <w:szCs w:val="18"/>
        </w:rPr>
        <w:t xml:space="preserve">-Morag N, Bornstein G, </w:t>
      </w:r>
      <w:proofErr w:type="spellStart"/>
      <w:r w:rsidRPr="000137AB">
        <w:rPr>
          <w:rFonts w:ascii="Times New Roman" w:hAnsi="Times New Roman"/>
          <w:color w:val="000000"/>
          <w:sz w:val="18"/>
          <w:szCs w:val="18"/>
        </w:rPr>
        <w:t>Leibowitz</w:t>
      </w:r>
      <w:proofErr w:type="spellEnd"/>
      <w:r w:rsidRPr="000137AB">
        <w:rPr>
          <w:rFonts w:ascii="Times New Roman" w:hAnsi="Times New Roman"/>
          <w:color w:val="000000"/>
          <w:sz w:val="18"/>
          <w:szCs w:val="18"/>
        </w:rPr>
        <w:t xml:space="preserve"> A. Diabetes mellitus with normal renal function is associated with </w:t>
      </w:r>
      <w:proofErr w:type="spellStart"/>
      <w:r w:rsidRPr="000137AB">
        <w:rPr>
          <w:rFonts w:ascii="Times New Roman" w:hAnsi="Times New Roman"/>
          <w:color w:val="000000"/>
          <w:sz w:val="18"/>
          <w:szCs w:val="18"/>
        </w:rPr>
        <w:t>anaemia</w:t>
      </w:r>
      <w:proofErr w:type="spellEnd"/>
      <w:r w:rsidRPr="000137AB">
        <w:rPr>
          <w:rFonts w:ascii="Times New Roman" w:hAnsi="Times New Roman"/>
          <w:color w:val="000000"/>
          <w:sz w:val="18"/>
          <w:szCs w:val="18"/>
        </w:rPr>
        <w:t xml:space="preserve">. Diabetes/Metabolism Research and Reviews. 2014;30(4):291-296 </w:t>
      </w:r>
    </w:p>
    <w:p w:rsidR="003217D8" w:rsidRPr="000137AB" w:rsidRDefault="003217D8" w:rsidP="000137AB">
      <w:pPr>
        <w:pStyle w:val="ListParagraph"/>
        <w:numPr>
          <w:ilvl w:val="0"/>
          <w:numId w:val="15"/>
        </w:numPr>
        <w:autoSpaceDE w:val="0"/>
        <w:adjustRightInd w:val="0"/>
        <w:spacing w:after="0" w:line="360" w:lineRule="auto"/>
        <w:jc w:val="both"/>
        <w:rPr>
          <w:rFonts w:ascii="Times New Roman" w:hAnsi="Times New Roman"/>
          <w:color w:val="000000"/>
          <w:sz w:val="18"/>
          <w:szCs w:val="18"/>
        </w:rPr>
      </w:pPr>
      <w:r w:rsidRPr="000137AB">
        <w:rPr>
          <w:rFonts w:ascii="Times New Roman" w:hAnsi="Times New Roman"/>
          <w:color w:val="000000"/>
          <w:sz w:val="18"/>
          <w:szCs w:val="18"/>
        </w:rPr>
        <w:t xml:space="preserve">A Gupta et al Evaluation of incidence of anemia in type 2 diabetic patients with normal renal function IJPO;Jan2017 4(1) 132-134 </w:t>
      </w:r>
    </w:p>
    <w:p w:rsidR="003217D8" w:rsidRPr="000137AB" w:rsidRDefault="003217D8" w:rsidP="000137AB">
      <w:pPr>
        <w:pStyle w:val="ListParagraph"/>
        <w:numPr>
          <w:ilvl w:val="0"/>
          <w:numId w:val="15"/>
        </w:numPr>
        <w:autoSpaceDE w:val="0"/>
        <w:adjustRightInd w:val="0"/>
        <w:spacing w:after="0" w:line="360" w:lineRule="auto"/>
        <w:jc w:val="both"/>
        <w:rPr>
          <w:rFonts w:ascii="Times New Roman" w:hAnsi="Times New Roman"/>
          <w:color w:val="000000"/>
          <w:sz w:val="18"/>
          <w:szCs w:val="18"/>
        </w:rPr>
      </w:pPr>
      <w:proofErr w:type="spellStart"/>
      <w:r w:rsidRPr="000137AB">
        <w:rPr>
          <w:rFonts w:ascii="Times New Roman" w:hAnsi="Times New Roman"/>
          <w:color w:val="000000"/>
          <w:sz w:val="18"/>
          <w:szCs w:val="18"/>
        </w:rPr>
        <w:t>Babatunde</w:t>
      </w:r>
      <w:proofErr w:type="spellEnd"/>
      <w:r w:rsidRPr="000137AB">
        <w:rPr>
          <w:rFonts w:ascii="Times New Roman" w:hAnsi="Times New Roman"/>
          <w:color w:val="000000"/>
          <w:sz w:val="18"/>
          <w:szCs w:val="18"/>
        </w:rPr>
        <w:t xml:space="preserve"> </w:t>
      </w:r>
      <w:proofErr w:type="spellStart"/>
      <w:r w:rsidRPr="000137AB">
        <w:rPr>
          <w:rFonts w:ascii="Times New Roman" w:hAnsi="Times New Roman"/>
          <w:color w:val="000000"/>
          <w:sz w:val="18"/>
          <w:szCs w:val="18"/>
        </w:rPr>
        <w:t>Ishola</w:t>
      </w:r>
      <w:proofErr w:type="spellEnd"/>
      <w:r w:rsidRPr="000137AB">
        <w:rPr>
          <w:rFonts w:ascii="Times New Roman" w:hAnsi="Times New Roman"/>
          <w:color w:val="000000"/>
          <w:sz w:val="18"/>
          <w:szCs w:val="18"/>
        </w:rPr>
        <w:t xml:space="preserve"> A, </w:t>
      </w:r>
      <w:proofErr w:type="spellStart"/>
      <w:r w:rsidRPr="000137AB">
        <w:rPr>
          <w:rFonts w:ascii="Times New Roman" w:hAnsi="Times New Roman"/>
          <w:color w:val="000000"/>
          <w:sz w:val="18"/>
          <w:szCs w:val="18"/>
        </w:rPr>
        <w:t>Uchechukwu</w:t>
      </w:r>
      <w:proofErr w:type="spellEnd"/>
      <w:r w:rsidRPr="000137AB">
        <w:rPr>
          <w:rFonts w:ascii="Times New Roman" w:hAnsi="Times New Roman"/>
          <w:color w:val="000000"/>
          <w:sz w:val="18"/>
          <w:szCs w:val="18"/>
        </w:rPr>
        <w:t xml:space="preserve"> D, </w:t>
      </w:r>
      <w:proofErr w:type="spellStart"/>
      <w:r w:rsidRPr="000137AB">
        <w:rPr>
          <w:rFonts w:ascii="Times New Roman" w:hAnsi="Times New Roman"/>
          <w:color w:val="000000"/>
          <w:sz w:val="18"/>
          <w:szCs w:val="18"/>
        </w:rPr>
        <w:t>Chinwe</w:t>
      </w:r>
      <w:proofErr w:type="spellEnd"/>
      <w:r w:rsidRPr="000137AB">
        <w:rPr>
          <w:rFonts w:ascii="Times New Roman" w:hAnsi="Times New Roman"/>
          <w:color w:val="000000"/>
          <w:sz w:val="18"/>
          <w:szCs w:val="18"/>
        </w:rPr>
        <w:t xml:space="preserve"> </w:t>
      </w:r>
      <w:proofErr w:type="spellStart"/>
      <w:r w:rsidRPr="000137AB">
        <w:rPr>
          <w:rFonts w:ascii="Times New Roman" w:hAnsi="Times New Roman"/>
          <w:color w:val="000000"/>
          <w:sz w:val="18"/>
          <w:szCs w:val="18"/>
        </w:rPr>
        <w:t>Obianuju</w:t>
      </w:r>
      <w:proofErr w:type="spellEnd"/>
      <w:r w:rsidRPr="000137AB">
        <w:rPr>
          <w:rFonts w:ascii="Times New Roman" w:hAnsi="Times New Roman"/>
          <w:color w:val="000000"/>
          <w:sz w:val="18"/>
          <w:szCs w:val="18"/>
        </w:rPr>
        <w:t xml:space="preserve"> E, </w:t>
      </w:r>
      <w:proofErr w:type="spellStart"/>
      <w:r w:rsidRPr="000137AB">
        <w:rPr>
          <w:rFonts w:ascii="Times New Roman" w:hAnsi="Times New Roman"/>
          <w:color w:val="000000"/>
          <w:sz w:val="18"/>
          <w:szCs w:val="18"/>
        </w:rPr>
        <w:t>Abduffatah</w:t>
      </w:r>
      <w:proofErr w:type="spellEnd"/>
      <w:r w:rsidRPr="000137AB">
        <w:rPr>
          <w:rFonts w:ascii="Times New Roman" w:hAnsi="Times New Roman"/>
          <w:color w:val="000000"/>
          <w:sz w:val="18"/>
          <w:szCs w:val="18"/>
        </w:rPr>
        <w:t xml:space="preserve"> </w:t>
      </w:r>
      <w:proofErr w:type="spellStart"/>
      <w:r w:rsidRPr="000137AB">
        <w:rPr>
          <w:rFonts w:ascii="Times New Roman" w:hAnsi="Times New Roman"/>
          <w:color w:val="000000"/>
          <w:sz w:val="18"/>
          <w:szCs w:val="18"/>
        </w:rPr>
        <w:t>Adekunle</w:t>
      </w:r>
      <w:proofErr w:type="spellEnd"/>
      <w:r w:rsidRPr="000137AB">
        <w:rPr>
          <w:rFonts w:ascii="Times New Roman" w:hAnsi="Times New Roman"/>
          <w:color w:val="000000"/>
          <w:sz w:val="18"/>
          <w:szCs w:val="18"/>
        </w:rPr>
        <w:t xml:space="preserve"> O, </w:t>
      </w:r>
      <w:proofErr w:type="spellStart"/>
      <w:r w:rsidRPr="000137AB">
        <w:rPr>
          <w:rFonts w:ascii="Times New Roman" w:hAnsi="Times New Roman"/>
          <w:color w:val="000000"/>
          <w:sz w:val="18"/>
          <w:szCs w:val="18"/>
        </w:rPr>
        <w:t>Azukaego</w:t>
      </w:r>
      <w:proofErr w:type="spellEnd"/>
      <w:r w:rsidRPr="000137AB">
        <w:rPr>
          <w:rFonts w:ascii="Times New Roman" w:hAnsi="Times New Roman"/>
          <w:color w:val="000000"/>
          <w:sz w:val="18"/>
          <w:szCs w:val="18"/>
        </w:rPr>
        <w:t xml:space="preserve"> Thomas M, </w:t>
      </w:r>
      <w:proofErr w:type="spellStart"/>
      <w:r w:rsidRPr="000137AB">
        <w:rPr>
          <w:rFonts w:ascii="Times New Roman" w:hAnsi="Times New Roman"/>
          <w:color w:val="000000"/>
          <w:sz w:val="18"/>
          <w:szCs w:val="18"/>
        </w:rPr>
        <w:t>Tosan</w:t>
      </w:r>
      <w:proofErr w:type="spellEnd"/>
      <w:r w:rsidRPr="000137AB">
        <w:rPr>
          <w:rFonts w:ascii="Times New Roman" w:hAnsi="Times New Roman"/>
          <w:color w:val="000000"/>
          <w:sz w:val="18"/>
          <w:szCs w:val="18"/>
        </w:rPr>
        <w:t xml:space="preserve"> Amos E, </w:t>
      </w:r>
      <w:proofErr w:type="spellStart"/>
      <w:r w:rsidRPr="000137AB">
        <w:rPr>
          <w:rFonts w:ascii="Times New Roman" w:hAnsi="Times New Roman"/>
          <w:color w:val="000000"/>
          <w:sz w:val="18"/>
          <w:szCs w:val="18"/>
        </w:rPr>
        <w:t>Esmond</w:t>
      </w:r>
      <w:proofErr w:type="spellEnd"/>
      <w:r w:rsidRPr="000137AB">
        <w:rPr>
          <w:rFonts w:ascii="Times New Roman" w:hAnsi="Times New Roman"/>
          <w:color w:val="000000"/>
          <w:sz w:val="18"/>
          <w:szCs w:val="18"/>
        </w:rPr>
        <w:t xml:space="preserve"> U, Isaac </w:t>
      </w:r>
      <w:proofErr w:type="spellStart"/>
      <w:r w:rsidRPr="000137AB">
        <w:rPr>
          <w:rFonts w:ascii="Times New Roman" w:hAnsi="Times New Roman"/>
          <w:color w:val="000000"/>
          <w:sz w:val="18"/>
          <w:szCs w:val="18"/>
        </w:rPr>
        <w:t>Nwoye</w:t>
      </w:r>
      <w:proofErr w:type="spellEnd"/>
      <w:r w:rsidRPr="000137AB">
        <w:rPr>
          <w:rFonts w:ascii="Times New Roman" w:hAnsi="Times New Roman"/>
          <w:color w:val="000000"/>
          <w:sz w:val="18"/>
          <w:szCs w:val="18"/>
        </w:rPr>
        <w:t xml:space="preserve"> N. Incidence and risk of anemia in type-2 diabetic patients in the absence of renal impairment. Health. 2012 Jun 14; 2012 </w:t>
      </w:r>
    </w:p>
    <w:p w:rsidR="003217D8" w:rsidRPr="000137AB" w:rsidRDefault="003217D8" w:rsidP="000137AB">
      <w:pPr>
        <w:pStyle w:val="ListParagraph"/>
        <w:numPr>
          <w:ilvl w:val="0"/>
          <w:numId w:val="15"/>
        </w:numPr>
        <w:autoSpaceDE w:val="0"/>
        <w:adjustRightInd w:val="0"/>
        <w:spacing w:after="0" w:line="360" w:lineRule="auto"/>
        <w:jc w:val="both"/>
        <w:rPr>
          <w:rFonts w:ascii="Times New Roman" w:hAnsi="Times New Roman"/>
          <w:color w:val="000000"/>
          <w:sz w:val="18"/>
          <w:szCs w:val="18"/>
        </w:rPr>
      </w:pPr>
      <w:r w:rsidRPr="000137AB">
        <w:rPr>
          <w:rFonts w:ascii="Times New Roman" w:hAnsi="Times New Roman"/>
          <w:color w:val="000000"/>
          <w:sz w:val="18"/>
          <w:szCs w:val="18"/>
        </w:rPr>
        <w:t>.</w:t>
      </w:r>
      <w:proofErr w:type="spellStart"/>
      <w:r w:rsidRPr="000137AB">
        <w:rPr>
          <w:rFonts w:ascii="Times New Roman" w:hAnsi="Times New Roman"/>
          <w:color w:val="000000"/>
          <w:sz w:val="18"/>
          <w:szCs w:val="18"/>
        </w:rPr>
        <w:t>Anaemia</w:t>
      </w:r>
      <w:proofErr w:type="spellEnd"/>
      <w:r w:rsidRPr="000137AB">
        <w:rPr>
          <w:rFonts w:ascii="Times New Roman" w:hAnsi="Times New Roman"/>
          <w:color w:val="000000"/>
          <w:sz w:val="18"/>
          <w:szCs w:val="18"/>
        </w:rPr>
        <w:t xml:space="preserve"> I. </w:t>
      </w:r>
      <w:proofErr w:type="spellStart"/>
      <w:r w:rsidRPr="000137AB">
        <w:rPr>
          <w:rFonts w:ascii="Times New Roman" w:hAnsi="Times New Roman"/>
          <w:color w:val="000000"/>
          <w:sz w:val="18"/>
          <w:szCs w:val="18"/>
        </w:rPr>
        <w:t>anaemia</w:t>
      </w:r>
      <w:proofErr w:type="spellEnd"/>
      <w:r w:rsidRPr="000137AB">
        <w:rPr>
          <w:rFonts w:ascii="Times New Roman" w:hAnsi="Times New Roman"/>
          <w:color w:val="000000"/>
          <w:sz w:val="18"/>
          <w:szCs w:val="18"/>
        </w:rPr>
        <w:t xml:space="preserve"> on full blood count: investigating beyond the pale. Best Tests 2013 </w:t>
      </w:r>
    </w:p>
    <w:p w:rsidR="003217D8" w:rsidRPr="000137AB" w:rsidRDefault="003217D8" w:rsidP="000137AB">
      <w:pPr>
        <w:pStyle w:val="ListParagraph"/>
        <w:numPr>
          <w:ilvl w:val="0"/>
          <w:numId w:val="15"/>
        </w:numPr>
        <w:autoSpaceDE w:val="0"/>
        <w:adjustRightInd w:val="0"/>
        <w:spacing w:after="0" w:line="360" w:lineRule="auto"/>
        <w:jc w:val="both"/>
        <w:rPr>
          <w:rFonts w:ascii="Times New Roman" w:hAnsi="Times New Roman"/>
          <w:color w:val="000000"/>
          <w:sz w:val="18"/>
          <w:szCs w:val="18"/>
        </w:rPr>
      </w:pPr>
      <w:r w:rsidRPr="000137AB">
        <w:rPr>
          <w:rFonts w:ascii="Times New Roman" w:hAnsi="Times New Roman"/>
          <w:color w:val="000000"/>
          <w:sz w:val="18"/>
          <w:szCs w:val="18"/>
        </w:rPr>
        <w:t xml:space="preserve"> Kojima, K. Totsuka, Y. Anemia due to reduced serum erythropoietin concentration in non-uremic diabetic patients. Diabetes Research and Clinical Practice Vol.27, 229-233 (1995). </w:t>
      </w:r>
    </w:p>
    <w:p w:rsidR="003217D8" w:rsidRPr="000137AB" w:rsidRDefault="003217D8" w:rsidP="000137AB">
      <w:pPr>
        <w:spacing w:line="360" w:lineRule="auto"/>
        <w:jc w:val="both"/>
        <w:rPr>
          <w:color w:val="000000"/>
          <w:sz w:val="20"/>
          <w:szCs w:val="20"/>
        </w:rPr>
      </w:pPr>
    </w:p>
    <w:p w:rsidR="0044166B" w:rsidRDefault="0044166B" w:rsidP="0044166B">
      <w:pPr>
        <w:spacing w:line="360" w:lineRule="auto"/>
        <w:jc w:val="both"/>
        <w:rPr>
          <w:sz w:val="20"/>
          <w:szCs w:val="20"/>
        </w:rPr>
      </w:pPr>
    </w:p>
    <w:p w:rsidR="0044166B" w:rsidRPr="002A2F5D" w:rsidRDefault="0044166B" w:rsidP="0044166B">
      <w:pPr>
        <w:spacing w:line="360" w:lineRule="auto"/>
        <w:jc w:val="both"/>
        <w:rPr>
          <w:color w:val="231F20"/>
          <w:sz w:val="18"/>
          <w:szCs w:val="18"/>
          <w:lang w:val="en-US" w:eastAsia="en-IN"/>
        </w:rPr>
      </w:pPr>
      <w:r w:rsidRPr="002A2F5D">
        <w:rPr>
          <w:color w:val="231F20"/>
          <w:sz w:val="18"/>
          <w:szCs w:val="18"/>
          <w:lang w:val="en-US" w:eastAsia="en-IN"/>
        </w:rPr>
        <w:t xml:space="preserve">Date of Publication:  25 June 2021 </w:t>
      </w:r>
    </w:p>
    <w:p w:rsidR="0044166B" w:rsidRPr="002A2F5D" w:rsidRDefault="0044166B" w:rsidP="0044166B">
      <w:pPr>
        <w:spacing w:line="360" w:lineRule="auto"/>
        <w:jc w:val="both"/>
        <w:rPr>
          <w:color w:val="231F20"/>
          <w:sz w:val="18"/>
          <w:szCs w:val="18"/>
          <w:lang w:val="en-US" w:eastAsia="en-IN"/>
        </w:rPr>
      </w:pPr>
      <w:r w:rsidRPr="002A2F5D">
        <w:rPr>
          <w:color w:val="231F20"/>
          <w:sz w:val="18"/>
          <w:szCs w:val="18"/>
          <w:lang w:val="en-US" w:eastAsia="en-IN"/>
        </w:rPr>
        <w:t xml:space="preserve">Author Declaration:  Source of support: Nil, Conflict of interest: Nil </w:t>
      </w:r>
    </w:p>
    <w:p w:rsidR="0044166B" w:rsidRPr="002A2F5D" w:rsidRDefault="0044166B" w:rsidP="0044166B">
      <w:pPr>
        <w:spacing w:line="360" w:lineRule="auto"/>
        <w:jc w:val="both"/>
        <w:rPr>
          <w:color w:val="231F20"/>
          <w:sz w:val="18"/>
          <w:szCs w:val="18"/>
          <w:lang w:val="en-US" w:eastAsia="en-IN"/>
        </w:rPr>
      </w:pPr>
      <w:r w:rsidRPr="002A2F5D">
        <w:rPr>
          <w:color w:val="231F20"/>
          <w:sz w:val="18"/>
          <w:szCs w:val="18"/>
          <w:lang w:val="en-US" w:eastAsia="en-IN"/>
        </w:rPr>
        <w:t>Was</w:t>
      </w:r>
      <w:r w:rsidRPr="002A2F5D">
        <w:rPr>
          <w:color w:val="231F20"/>
          <w:sz w:val="18"/>
          <w:szCs w:val="18"/>
          <w:lang w:val="en-US" w:eastAsia="en-IN"/>
        </w:rPr>
        <w:t> </w:t>
      </w:r>
      <w:r w:rsidRPr="002A2F5D">
        <w:rPr>
          <w:color w:val="231F20"/>
          <w:sz w:val="18"/>
          <w:szCs w:val="18"/>
          <w:lang w:val="en-US" w:eastAsia="en-IN"/>
        </w:rPr>
        <w:t>informed</w:t>
      </w:r>
      <w:r w:rsidRPr="002A2F5D">
        <w:rPr>
          <w:color w:val="231F20"/>
          <w:sz w:val="18"/>
          <w:szCs w:val="18"/>
          <w:lang w:val="en-US" w:eastAsia="en-IN"/>
        </w:rPr>
        <w:t> </w:t>
      </w:r>
      <w:r w:rsidRPr="002A2F5D">
        <w:rPr>
          <w:color w:val="231F20"/>
          <w:sz w:val="18"/>
          <w:szCs w:val="18"/>
          <w:lang w:val="en-US" w:eastAsia="en-IN"/>
        </w:rPr>
        <w:t>consent</w:t>
      </w:r>
      <w:r w:rsidRPr="002A2F5D">
        <w:rPr>
          <w:color w:val="231F20"/>
          <w:sz w:val="18"/>
          <w:szCs w:val="18"/>
          <w:lang w:val="en-US" w:eastAsia="en-IN"/>
        </w:rPr>
        <w:t> </w:t>
      </w:r>
      <w:r w:rsidRPr="002A2F5D">
        <w:rPr>
          <w:color w:val="231F20"/>
          <w:sz w:val="18"/>
          <w:szCs w:val="18"/>
          <w:lang w:val="en-US" w:eastAsia="en-IN"/>
        </w:rPr>
        <w:t>obtained</w:t>
      </w:r>
      <w:r w:rsidRPr="002A2F5D">
        <w:rPr>
          <w:color w:val="231F20"/>
          <w:sz w:val="18"/>
          <w:szCs w:val="18"/>
          <w:lang w:val="en-US" w:eastAsia="en-IN"/>
        </w:rPr>
        <w:t> </w:t>
      </w:r>
      <w:r w:rsidRPr="002A2F5D">
        <w:rPr>
          <w:color w:val="231F20"/>
          <w:sz w:val="18"/>
          <w:szCs w:val="18"/>
          <w:lang w:val="en-US" w:eastAsia="en-IN"/>
        </w:rPr>
        <w:t>from</w:t>
      </w:r>
      <w:r w:rsidRPr="002A2F5D">
        <w:rPr>
          <w:color w:val="231F20"/>
          <w:sz w:val="18"/>
          <w:szCs w:val="18"/>
          <w:lang w:val="en-US" w:eastAsia="en-IN"/>
        </w:rPr>
        <w:t> </w:t>
      </w:r>
      <w:r w:rsidRPr="002A2F5D">
        <w:rPr>
          <w:color w:val="231F20"/>
          <w:sz w:val="18"/>
          <w:szCs w:val="18"/>
          <w:lang w:val="en-US" w:eastAsia="en-IN"/>
        </w:rPr>
        <w:t>the</w:t>
      </w:r>
      <w:r w:rsidRPr="002A2F5D">
        <w:rPr>
          <w:color w:val="231F20"/>
          <w:sz w:val="18"/>
          <w:szCs w:val="18"/>
          <w:lang w:val="en-US" w:eastAsia="en-IN"/>
        </w:rPr>
        <w:t> </w:t>
      </w:r>
      <w:r w:rsidRPr="002A2F5D">
        <w:rPr>
          <w:color w:val="231F20"/>
          <w:sz w:val="18"/>
          <w:szCs w:val="18"/>
          <w:lang w:val="en-US" w:eastAsia="en-IN"/>
        </w:rPr>
        <w:t>subjects</w:t>
      </w:r>
      <w:r w:rsidRPr="002A2F5D">
        <w:rPr>
          <w:color w:val="231F20"/>
          <w:sz w:val="18"/>
          <w:szCs w:val="18"/>
          <w:lang w:val="en-US" w:eastAsia="en-IN"/>
        </w:rPr>
        <w:t> </w:t>
      </w:r>
      <w:r w:rsidRPr="002A2F5D">
        <w:rPr>
          <w:color w:val="231F20"/>
          <w:sz w:val="18"/>
          <w:szCs w:val="18"/>
          <w:lang w:val="en-US" w:eastAsia="en-IN"/>
        </w:rPr>
        <w:t>involved</w:t>
      </w:r>
      <w:r w:rsidRPr="002A2F5D">
        <w:rPr>
          <w:color w:val="231F20"/>
          <w:sz w:val="18"/>
          <w:szCs w:val="18"/>
          <w:lang w:val="en-US" w:eastAsia="en-IN"/>
        </w:rPr>
        <w:t> </w:t>
      </w:r>
      <w:r w:rsidRPr="002A2F5D">
        <w:rPr>
          <w:color w:val="231F20"/>
          <w:sz w:val="18"/>
          <w:szCs w:val="18"/>
          <w:lang w:val="en-US" w:eastAsia="en-IN"/>
        </w:rPr>
        <w:t>in</w:t>
      </w:r>
      <w:r w:rsidRPr="002A2F5D">
        <w:rPr>
          <w:color w:val="231F20"/>
          <w:sz w:val="18"/>
          <w:szCs w:val="18"/>
          <w:lang w:val="en-US" w:eastAsia="en-IN"/>
        </w:rPr>
        <w:t> </w:t>
      </w:r>
      <w:r w:rsidRPr="002A2F5D">
        <w:rPr>
          <w:color w:val="231F20"/>
          <w:sz w:val="18"/>
          <w:szCs w:val="18"/>
          <w:lang w:val="en-US" w:eastAsia="en-IN"/>
        </w:rPr>
        <w:t>the</w:t>
      </w:r>
      <w:r w:rsidRPr="002A2F5D">
        <w:rPr>
          <w:color w:val="231F20"/>
          <w:sz w:val="18"/>
          <w:szCs w:val="18"/>
          <w:lang w:val="en-US" w:eastAsia="en-IN"/>
        </w:rPr>
        <w:t> </w:t>
      </w:r>
      <w:r w:rsidRPr="002A2F5D">
        <w:rPr>
          <w:color w:val="231F20"/>
          <w:sz w:val="18"/>
          <w:szCs w:val="18"/>
          <w:lang w:val="en-US" w:eastAsia="en-IN"/>
        </w:rPr>
        <w:t>study?</w:t>
      </w:r>
      <w:r w:rsidRPr="002A2F5D">
        <w:rPr>
          <w:color w:val="231F20"/>
          <w:sz w:val="18"/>
          <w:szCs w:val="18"/>
          <w:lang w:val="en-US" w:eastAsia="en-IN"/>
        </w:rPr>
        <w:t> </w:t>
      </w:r>
      <w:r w:rsidRPr="002A2F5D">
        <w:rPr>
          <w:color w:val="231F20"/>
          <w:sz w:val="18"/>
          <w:szCs w:val="18"/>
          <w:lang w:val="en-US" w:eastAsia="en-IN"/>
        </w:rPr>
        <w:t xml:space="preserve"> YES</w:t>
      </w:r>
    </w:p>
    <w:p w:rsidR="0044166B" w:rsidRPr="002A2F5D" w:rsidRDefault="0044166B" w:rsidP="0044166B">
      <w:pPr>
        <w:spacing w:line="360" w:lineRule="auto"/>
        <w:jc w:val="both"/>
        <w:rPr>
          <w:color w:val="231F20"/>
          <w:sz w:val="18"/>
          <w:szCs w:val="18"/>
          <w:lang w:val="en-US" w:eastAsia="en-IN"/>
        </w:rPr>
      </w:pPr>
      <w:r w:rsidRPr="002A2F5D">
        <w:rPr>
          <w:color w:val="231F20"/>
          <w:sz w:val="18"/>
          <w:szCs w:val="18"/>
          <w:lang w:val="en-US" w:eastAsia="en-IN"/>
        </w:rPr>
        <w:t>For</w:t>
      </w:r>
      <w:r w:rsidRPr="002A2F5D">
        <w:rPr>
          <w:color w:val="231F20"/>
          <w:sz w:val="18"/>
          <w:szCs w:val="18"/>
          <w:lang w:val="en-US" w:eastAsia="en-IN"/>
        </w:rPr>
        <w:t> </w:t>
      </w:r>
      <w:r w:rsidRPr="002A2F5D">
        <w:rPr>
          <w:color w:val="231F20"/>
          <w:sz w:val="18"/>
          <w:szCs w:val="18"/>
          <w:lang w:val="en-US" w:eastAsia="en-IN"/>
        </w:rPr>
        <w:t>any</w:t>
      </w:r>
      <w:r w:rsidRPr="002A2F5D">
        <w:rPr>
          <w:color w:val="231F20"/>
          <w:sz w:val="18"/>
          <w:szCs w:val="18"/>
          <w:lang w:val="en-US" w:eastAsia="en-IN"/>
        </w:rPr>
        <w:t> </w:t>
      </w:r>
      <w:r w:rsidRPr="002A2F5D">
        <w:rPr>
          <w:color w:val="231F20"/>
          <w:sz w:val="18"/>
          <w:szCs w:val="18"/>
          <w:lang w:val="en-US" w:eastAsia="en-IN"/>
        </w:rPr>
        <w:t>images</w:t>
      </w:r>
      <w:r w:rsidRPr="002A2F5D">
        <w:rPr>
          <w:color w:val="231F20"/>
          <w:sz w:val="18"/>
          <w:szCs w:val="18"/>
          <w:lang w:val="en-US" w:eastAsia="en-IN"/>
        </w:rPr>
        <w:t> </w:t>
      </w:r>
      <w:r w:rsidRPr="002A2F5D">
        <w:rPr>
          <w:color w:val="231F20"/>
          <w:sz w:val="18"/>
          <w:szCs w:val="18"/>
          <w:lang w:val="en-US" w:eastAsia="en-IN"/>
        </w:rPr>
        <w:t>presented</w:t>
      </w:r>
      <w:r w:rsidRPr="002A2F5D">
        <w:rPr>
          <w:color w:val="231F20"/>
          <w:sz w:val="18"/>
          <w:szCs w:val="18"/>
          <w:lang w:val="en-US" w:eastAsia="en-IN"/>
        </w:rPr>
        <w:t> </w:t>
      </w:r>
      <w:r w:rsidRPr="002A2F5D">
        <w:rPr>
          <w:color w:val="231F20"/>
          <w:sz w:val="18"/>
          <w:szCs w:val="18"/>
          <w:lang w:val="en-US" w:eastAsia="en-IN"/>
        </w:rPr>
        <w:t>appropriate</w:t>
      </w:r>
      <w:r w:rsidRPr="002A2F5D">
        <w:rPr>
          <w:color w:val="231F20"/>
          <w:sz w:val="18"/>
          <w:szCs w:val="18"/>
          <w:lang w:val="en-US" w:eastAsia="en-IN"/>
        </w:rPr>
        <w:t> </w:t>
      </w:r>
      <w:r w:rsidRPr="002A2F5D">
        <w:rPr>
          <w:color w:val="231F20"/>
          <w:sz w:val="18"/>
          <w:szCs w:val="18"/>
          <w:lang w:val="en-US" w:eastAsia="en-IN"/>
        </w:rPr>
        <w:t>consent</w:t>
      </w:r>
      <w:r w:rsidRPr="002A2F5D">
        <w:rPr>
          <w:color w:val="231F20"/>
          <w:sz w:val="18"/>
          <w:szCs w:val="18"/>
          <w:lang w:val="en-US" w:eastAsia="en-IN"/>
        </w:rPr>
        <w:t> </w:t>
      </w:r>
      <w:r w:rsidRPr="002A2F5D">
        <w:rPr>
          <w:color w:val="231F20"/>
          <w:sz w:val="18"/>
          <w:szCs w:val="18"/>
          <w:lang w:val="en-US" w:eastAsia="en-IN"/>
        </w:rPr>
        <w:t>has</w:t>
      </w:r>
      <w:r w:rsidRPr="002A2F5D">
        <w:rPr>
          <w:color w:val="231F20"/>
          <w:sz w:val="18"/>
          <w:szCs w:val="18"/>
          <w:lang w:val="en-US" w:eastAsia="en-IN"/>
        </w:rPr>
        <w:t> </w:t>
      </w:r>
      <w:r w:rsidRPr="002A2F5D">
        <w:rPr>
          <w:color w:val="231F20"/>
          <w:sz w:val="18"/>
          <w:szCs w:val="18"/>
          <w:lang w:val="en-US" w:eastAsia="en-IN"/>
        </w:rPr>
        <w:t>been</w:t>
      </w:r>
      <w:r w:rsidRPr="002A2F5D">
        <w:rPr>
          <w:color w:val="231F20"/>
          <w:sz w:val="18"/>
          <w:szCs w:val="18"/>
          <w:lang w:val="en-US" w:eastAsia="en-IN"/>
        </w:rPr>
        <w:t> </w:t>
      </w:r>
      <w:r w:rsidRPr="002A2F5D">
        <w:rPr>
          <w:color w:val="231F20"/>
          <w:sz w:val="18"/>
          <w:szCs w:val="18"/>
          <w:lang w:val="en-US" w:eastAsia="en-IN"/>
        </w:rPr>
        <w:t>obtained</w:t>
      </w:r>
      <w:r w:rsidRPr="002A2F5D">
        <w:rPr>
          <w:color w:val="231F20"/>
          <w:sz w:val="18"/>
          <w:szCs w:val="18"/>
          <w:lang w:val="en-US" w:eastAsia="en-IN"/>
        </w:rPr>
        <w:t> </w:t>
      </w:r>
      <w:r w:rsidRPr="002A2F5D">
        <w:rPr>
          <w:color w:val="231F20"/>
          <w:sz w:val="18"/>
          <w:szCs w:val="18"/>
          <w:lang w:val="en-US" w:eastAsia="en-IN"/>
        </w:rPr>
        <w:t>from</w:t>
      </w:r>
      <w:r w:rsidRPr="002A2F5D">
        <w:rPr>
          <w:color w:val="231F20"/>
          <w:sz w:val="18"/>
          <w:szCs w:val="18"/>
          <w:lang w:val="en-US" w:eastAsia="en-IN"/>
        </w:rPr>
        <w:t> </w:t>
      </w:r>
      <w:r w:rsidRPr="002A2F5D">
        <w:rPr>
          <w:color w:val="231F20"/>
          <w:sz w:val="18"/>
          <w:szCs w:val="18"/>
          <w:lang w:val="en-US" w:eastAsia="en-IN"/>
        </w:rPr>
        <w:t>the</w:t>
      </w:r>
      <w:r w:rsidRPr="002A2F5D">
        <w:rPr>
          <w:color w:val="231F20"/>
          <w:sz w:val="18"/>
          <w:szCs w:val="18"/>
          <w:lang w:val="en-US" w:eastAsia="en-IN"/>
        </w:rPr>
        <w:t> </w:t>
      </w:r>
      <w:r w:rsidRPr="002A2F5D">
        <w:rPr>
          <w:color w:val="231F20"/>
          <w:sz w:val="18"/>
          <w:szCs w:val="18"/>
          <w:lang w:val="en-US" w:eastAsia="en-IN"/>
        </w:rPr>
        <w:t>subjects: NA</w:t>
      </w:r>
    </w:p>
    <w:p w:rsidR="0044166B" w:rsidRPr="002A2F5D" w:rsidRDefault="0044166B" w:rsidP="0044166B">
      <w:pPr>
        <w:spacing w:line="360" w:lineRule="auto"/>
        <w:jc w:val="both"/>
        <w:rPr>
          <w:color w:val="231F20"/>
          <w:sz w:val="18"/>
          <w:szCs w:val="18"/>
          <w:lang w:val="en-US" w:eastAsia="en-IN"/>
        </w:rPr>
      </w:pPr>
      <w:r w:rsidRPr="002A2F5D">
        <w:rPr>
          <w:color w:val="231F20"/>
          <w:sz w:val="18"/>
          <w:szCs w:val="18"/>
          <w:lang w:val="en-US" w:eastAsia="en-IN"/>
        </w:rPr>
        <w:t xml:space="preserve">Plagiarism Checked: </w:t>
      </w:r>
      <w:proofErr w:type="spellStart"/>
      <w:r w:rsidRPr="002A2F5D">
        <w:rPr>
          <w:color w:val="231F20"/>
          <w:sz w:val="18"/>
          <w:szCs w:val="18"/>
          <w:lang w:val="en-US" w:eastAsia="en-IN"/>
        </w:rPr>
        <w:t>Urkund</w:t>
      </w:r>
      <w:proofErr w:type="spellEnd"/>
      <w:r w:rsidRPr="002A2F5D">
        <w:rPr>
          <w:color w:val="231F20"/>
          <w:sz w:val="18"/>
          <w:szCs w:val="18"/>
          <w:lang w:val="en-US" w:eastAsia="en-IN"/>
        </w:rPr>
        <w:t xml:space="preserve"> Software </w:t>
      </w:r>
    </w:p>
    <w:p w:rsidR="0044166B" w:rsidRPr="002A2F5D" w:rsidRDefault="0044166B" w:rsidP="0044166B">
      <w:pPr>
        <w:spacing w:line="360" w:lineRule="auto"/>
        <w:jc w:val="both"/>
        <w:rPr>
          <w:color w:val="231F20"/>
          <w:sz w:val="18"/>
          <w:szCs w:val="18"/>
          <w:lang w:val="en-US" w:eastAsia="en-IN"/>
        </w:rPr>
      </w:pPr>
      <w:r w:rsidRPr="002A2F5D">
        <w:rPr>
          <w:color w:val="231F20"/>
          <w:sz w:val="18"/>
          <w:szCs w:val="18"/>
          <w:lang w:val="en-US" w:eastAsia="en-IN"/>
        </w:rPr>
        <w:t>Author work published under a Creative Commons Attribution 4.0 International License</w:t>
      </w:r>
    </w:p>
    <w:p w:rsidR="0044166B" w:rsidRPr="002A2F5D" w:rsidRDefault="0044166B" w:rsidP="0044166B">
      <w:pPr>
        <w:spacing w:line="360" w:lineRule="auto"/>
        <w:jc w:val="both"/>
        <w:rPr>
          <w:color w:val="231F20"/>
          <w:sz w:val="18"/>
          <w:szCs w:val="18"/>
          <w:lang w:val="en-US" w:eastAsia="en-IN"/>
        </w:rPr>
      </w:pPr>
      <w:r w:rsidRPr="002A2F5D">
        <w:rPr>
          <w:bCs/>
          <w:color w:val="231F20"/>
          <w:sz w:val="18"/>
          <w:szCs w:val="18"/>
          <w:lang w:val="en-US" w:eastAsia="en-IN"/>
        </w:rPr>
        <w:t xml:space="preserve">DOI: </w:t>
      </w:r>
      <w:r>
        <w:rPr>
          <w:bCs/>
          <w:color w:val="231F20"/>
          <w:sz w:val="18"/>
          <w:szCs w:val="18"/>
          <w:lang w:val="en-US" w:eastAsia="en-IN"/>
        </w:rPr>
        <w:t>10.36848/IJBAMR/2020/29215.55825</w:t>
      </w:r>
    </w:p>
    <w:p w:rsidR="00B41861" w:rsidRPr="000137AB" w:rsidRDefault="00B41861" w:rsidP="000137AB">
      <w:pPr>
        <w:spacing w:line="360" w:lineRule="auto"/>
        <w:jc w:val="both"/>
        <w:rPr>
          <w:noProof/>
          <w:color w:val="000000"/>
          <w:sz w:val="20"/>
          <w:szCs w:val="20"/>
          <w:lang w:val="en-US"/>
        </w:rPr>
      </w:pPr>
    </w:p>
    <w:sectPr w:rsidR="00B41861" w:rsidRPr="000137AB" w:rsidSect="0044166B">
      <w:headerReference w:type="default" r:id="rId9"/>
      <w:footerReference w:type="default" r:id="rId10"/>
      <w:pgSz w:w="11906" w:h="16838" w:code="9"/>
      <w:pgMar w:top="1440" w:right="1440" w:bottom="1440" w:left="1440" w:header="706" w:footer="706" w:gutter="0"/>
      <w:pgNumType w:start="3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2D0" w:rsidRDefault="004772D0">
      <w:r>
        <w:separator/>
      </w:r>
    </w:p>
  </w:endnote>
  <w:endnote w:type="continuationSeparator" w:id="0">
    <w:p w:rsidR="004772D0" w:rsidRDefault="0047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44166B">
      <w:trPr>
        <w:trHeight w:val="360"/>
      </w:trPr>
      <w:tc>
        <w:tcPr>
          <w:tcW w:w="3500" w:type="pct"/>
        </w:tcPr>
        <w:p w:rsidR="0044166B" w:rsidRDefault="0044166B">
          <w:pPr>
            <w:pStyle w:val="Footer"/>
            <w:jc w:val="right"/>
          </w:pPr>
          <w:r w:rsidRPr="0044166B">
            <w:rPr>
              <w:rFonts w:ascii="Calibri" w:eastAsia="Calibri" w:hAnsi="Calibri"/>
              <w:sz w:val="22"/>
              <w:szCs w:val="22"/>
              <w:lang w:val="en-US"/>
            </w:rPr>
            <w:t>www.ijbamr.com   P ISSN: 2250-284X, E ISSN: 2250-2858</w:t>
          </w:r>
        </w:p>
      </w:tc>
      <w:tc>
        <w:tcPr>
          <w:tcW w:w="1500" w:type="pct"/>
          <w:shd w:val="clear" w:color="auto" w:fill="8064A2" w:themeFill="accent4"/>
        </w:tcPr>
        <w:p w:rsidR="0044166B" w:rsidRDefault="0044166B">
          <w:pPr>
            <w:pStyle w:val="Footer"/>
            <w:jc w:val="right"/>
            <w:rPr>
              <w:color w:val="FFFFFF" w:themeColor="background1"/>
            </w:rPr>
          </w:pPr>
          <w:r>
            <w:fldChar w:fldCharType="begin"/>
          </w:r>
          <w:r>
            <w:instrText xml:space="preserve"> PAGE    \* MERGEFORMAT </w:instrText>
          </w:r>
          <w:r>
            <w:fldChar w:fldCharType="separate"/>
          </w:r>
          <w:r w:rsidR="00350E21" w:rsidRPr="00350E21">
            <w:rPr>
              <w:noProof/>
              <w:color w:val="FFFFFF" w:themeColor="background1"/>
            </w:rPr>
            <w:t>325</w:t>
          </w:r>
          <w:r>
            <w:rPr>
              <w:noProof/>
              <w:color w:val="FFFFFF" w:themeColor="background1"/>
            </w:rPr>
            <w:fldChar w:fldCharType="end"/>
          </w:r>
        </w:p>
      </w:tc>
    </w:tr>
  </w:tbl>
  <w:p w:rsidR="00F86F66" w:rsidRDefault="00F86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2D0" w:rsidRDefault="004772D0">
      <w:r>
        <w:separator/>
      </w:r>
    </w:p>
  </w:footnote>
  <w:footnote w:type="continuationSeparator" w:id="0">
    <w:p w:rsidR="004772D0" w:rsidRDefault="00477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66B" w:rsidRPr="0044166B" w:rsidRDefault="0044166B" w:rsidP="0044166B">
    <w:pPr>
      <w:pBdr>
        <w:top w:val="nil"/>
        <w:left w:val="nil"/>
        <w:bottom w:val="nil"/>
        <w:right w:val="nil"/>
        <w:between w:val="nil"/>
        <w:bar w:val="nil"/>
      </w:pBdr>
      <w:tabs>
        <w:tab w:val="center" w:pos="4513"/>
        <w:tab w:val="right" w:pos="9026"/>
      </w:tabs>
      <w:ind w:right="-624"/>
      <w:rPr>
        <w:rFonts w:ascii="Cambria" w:hAnsi="Cambria"/>
        <w:sz w:val="20"/>
        <w:szCs w:val="20"/>
        <w:bdr w:val="nil"/>
      </w:rPr>
    </w:pPr>
    <w:r w:rsidRPr="0044166B">
      <w:rPr>
        <w:rFonts w:ascii="Cambria" w:hAnsi="Cambria"/>
        <w:sz w:val="20"/>
        <w:szCs w:val="20"/>
        <w:bdr w:val="nil"/>
      </w:rPr>
      <w:t xml:space="preserve">Indian Journal of Basic and Applied Medical Research; June 2021: Vol.-10, Issue- 3, P. </w:t>
    </w:r>
    <w:r>
      <w:rPr>
        <w:rFonts w:ascii="Cambria" w:hAnsi="Cambria"/>
        <w:sz w:val="20"/>
        <w:szCs w:val="20"/>
        <w:bdr w:val="nil"/>
      </w:rPr>
      <w:t>315 - 324</w:t>
    </w:r>
  </w:p>
  <w:p w:rsidR="0044166B" w:rsidRPr="0044166B" w:rsidRDefault="0044166B" w:rsidP="0044166B">
    <w:pPr>
      <w:pBdr>
        <w:top w:val="nil"/>
        <w:left w:val="nil"/>
        <w:bottom w:val="nil"/>
        <w:right w:val="nil"/>
        <w:between w:val="nil"/>
        <w:bar w:val="nil"/>
      </w:pBdr>
      <w:tabs>
        <w:tab w:val="center" w:pos="4513"/>
        <w:tab w:val="right" w:pos="9026"/>
      </w:tabs>
      <w:ind w:right="-624"/>
      <w:rPr>
        <w:rFonts w:ascii="Cambria" w:hAnsi="Cambria"/>
        <w:sz w:val="20"/>
        <w:szCs w:val="20"/>
        <w:bdr w:val="nil"/>
      </w:rPr>
    </w:pPr>
    <w:r w:rsidRPr="0044166B">
      <w:rPr>
        <w:rFonts w:ascii="Cambria" w:hAnsi="Cambria"/>
        <w:bCs/>
        <w:sz w:val="20"/>
        <w:szCs w:val="20"/>
        <w:bdr w:val="nil"/>
      </w:rPr>
      <w:t>DOI: 1</w:t>
    </w:r>
    <w:r>
      <w:rPr>
        <w:rFonts w:ascii="Cambria" w:hAnsi="Cambria"/>
        <w:bCs/>
        <w:sz w:val="20"/>
        <w:szCs w:val="20"/>
        <w:bdr w:val="nil"/>
      </w:rPr>
      <w:t>0.36848/IJBAMR/2020/29215.557825</w:t>
    </w:r>
  </w:p>
  <w:p w:rsidR="00F86F66" w:rsidRDefault="00F86F6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E3A"/>
    <w:multiLevelType w:val="hybridMultilevel"/>
    <w:tmpl w:val="9F6C83BE"/>
    <w:lvl w:ilvl="0" w:tplc="A9106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41A03"/>
    <w:multiLevelType w:val="hybridMultilevel"/>
    <w:tmpl w:val="35E8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9F6CDA"/>
    <w:multiLevelType w:val="hybridMultilevel"/>
    <w:tmpl w:val="5A1E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3697D"/>
    <w:multiLevelType w:val="multilevel"/>
    <w:tmpl w:val="483A28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015DAF"/>
    <w:multiLevelType w:val="multilevel"/>
    <w:tmpl w:val="B71AED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D55633A"/>
    <w:multiLevelType w:val="hybridMultilevel"/>
    <w:tmpl w:val="ED2A0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C7730"/>
    <w:multiLevelType w:val="multilevel"/>
    <w:tmpl w:val="8AD4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B8B58DC"/>
    <w:multiLevelType w:val="multilevel"/>
    <w:tmpl w:val="8C6A3E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CB669E"/>
    <w:multiLevelType w:val="multilevel"/>
    <w:tmpl w:val="20A4B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2">
    <w:nsid w:val="70820C97"/>
    <w:multiLevelType w:val="hybridMultilevel"/>
    <w:tmpl w:val="5B62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7"/>
  </w:num>
  <w:num w:numId="7">
    <w:abstractNumId w:val="5"/>
  </w:num>
  <w:num w:numId="8">
    <w:abstractNumId w:val="4"/>
  </w:num>
  <w:num w:numId="9">
    <w:abstractNumId w:val="10"/>
  </w:num>
  <w:num w:numId="10">
    <w:abstractNumId w:val="2"/>
  </w:num>
  <w:num w:numId="11">
    <w:abstractNumId w:val="12"/>
  </w:num>
  <w:num w:numId="12">
    <w:abstractNumId w:val="0"/>
  </w:num>
  <w:num w:numId="13">
    <w:abstractNumId w:val="6"/>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64"/>
    <w:rsid w:val="000137AB"/>
    <w:rsid w:val="000735E0"/>
    <w:rsid w:val="000F1D16"/>
    <w:rsid w:val="00186499"/>
    <w:rsid w:val="001F29B0"/>
    <w:rsid w:val="0021586F"/>
    <w:rsid w:val="003217D8"/>
    <w:rsid w:val="003422D9"/>
    <w:rsid w:val="00350E21"/>
    <w:rsid w:val="00352EB5"/>
    <w:rsid w:val="003F3A11"/>
    <w:rsid w:val="0044166B"/>
    <w:rsid w:val="004772D0"/>
    <w:rsid w:val="004C66B3"/>
    <w:rsid w:val="004D38FD"/>
    <w:rsid w:val="004E10EC"/>
    <w:rsid w:val="0058409C"/>
    <w:rsid w:val="00597005"/>
    <w:rsid w:val="005A5602"/>
    <w:rsid w:val="006532AA"/>
    <w:rsid w:val="00690E4C"/>
    <w:rsid w:val="00696517"/>
    <w:rsid w:val="006F0ABD"/>
    <w:rsid w:val="00724251"/>
    <w:rsid w:val="00733902"/>
    <w:rsid w:val="00733A36"/>
    <w:rsid w:val="008044E0"/>
    <w:rsid w:val="0085003E"/>
    <w:rsid w:val="008B5844"/>
    <w:rsid w:val="00917A5E"/>
    <w:rsid w:val="00927C64"/>
    <w:rsid w:val="009417B1"/>
    <w:rsid w:val="009540FA"/>
    <w:rsid w:val="009B1D36"/>
    <w:rsid w:val="009C2139"/>
    <w:rsid w:val="009C63A2"/>
    <w:rsid w:val="009D14E6"/>
    <w:rsid w:val="00A34662"/>
    <w:rsid w:val="00AF5A3A"/>
    <w:rsid w:val="00B41861"/>
    <w:rsid w:val="00B60C2F"/>
    <w:rsid w:val="00B62E31"/>
    <w:rsid w:val="00B742C0"/>
    <w:rsid w:val="00B92AAB"/>
    <w:rsid w:val="00B953F8"/>
    <w:rsid w:val="00CA7B16"/>
    <w:rsid w:val="00CD68CD"/>
    <w:rsid w:val="00D221E9"/>
    <w:rsid w:val="00D35E16"/>
    <w:rsid w:val="00D45766"/>
    <w:rsid w:val="00D600E0"/>
    <w:rsid w:val="00E81459"/>
    <w:rsid w:val="00EE1051"/>
    <w:rsid w:val="00F10C24"/>
    <w:rsid w:val="00F33302"/>
    <w:rsid w:val="00F47CDB"/>
    <w:rsid w:val="00F633EC"/>
    <w:rsid w:val="00F8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4C"/>
    <w:rPr>
      <w:sz w:val="24"/>
      <w:szCs w:val="24"/>
      <w:lang w:val="en-GB"/>
    </w:rPr>
  </w:style>
  <w:style w:type="paragraph" w:styleId="Heading3">
    <w:name w:val="heading 3"/>
    <w:basedOn w:val="Normal"/>
    <w:next w:val="Normal"/>
    <w:qFormat/>
    <w:rsid w:val="00690E4C"/>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690E4C"/>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0E4C"/>
    <w:pPr>
      <w:tabs>
        <w:tab w:val="center" w:pos="4153"/>
        <w:tab w:val="right" w:pos="8306"/>
      </w:tabs>
    </w:pPr>
  </w:style>
  <w:style w:type="paragraph" w:styleId="Footer">
    <w:name w:val="footer"/>
    <w:basedOn w:val="Normal"/>
    <w:link w:val="FooterChar"/>
    <w:uiPriority w:val="99"/>
    <w:rsid w:val="00690E4C"/>
    <w:pPr>
      <w:tabs>
        <w:tab w:val="center" w:pos="4153"/>
        <w:tab w:val="right" w:pos="8306"/>
      </w:tabs>
    </w:pPr>
  </w:style>
  <w:style w:type="paragraph" w:styleId="NormalWeb">
    <w:name w:val="Normal (Web)"/>
    <w:basedOn w:val="Normal"/>
    <w:semiHidden/>
    <w:rsid w:val="00690E4C"/>
    <w:pPr>
      <w:spacing w:before="100" w:beforeAutospacing="1" w:after="100" w:afterAutospacing="1"/>
      <w:ind w:firstLine="216"/>
    </w:pPr>
    <w:rPr>
      <w:rFonts w:ascii="Souvenir Lt BT" w:hAnsi="Souvenir Lt BT"/>
    </w:rPr>
  </w:style>
  <w:style w:type="character" w:styleId="Emphasis">
    <w:name w:val="Emphasis"/>
    <w:basedOn w:val="DefaultParagraphFont"/>
    <w:qFormat/>
    <w:rsid w:val="00690E4C"/>
    <w:rPr>
      <w:i/>
    </w:rPr>
  </w:style>
  <w:style w:type="character" w:styleId="Hyperlink">
    <w:name w:val="Hyperlink"/>
    <w:basedOn w:val="DefaultParagraphFont"/>
    <w:semiHidden/>
    <w:rsid w:val="00690E4C"/>
    <w:rPr>
      <w:color w:val="0000FF"/>
      <w:u w:val="single"/>
    </w:rPr>
  </w:style>
  <w:style w:type="character" w:styleId="FollowedHyperlink">
    <w:name w:val="FollowedHyperlink"/>
    <w:basedOn w:val="DefaultParagraphFont"/>
    <w:semiHidden/>
    <w:rsid w:val="00690E4C"/>
    <w:rPr>
      <w:color w:val="800080"/>
      <w:u w:val="single"/>
    </w:rPr>
  </w:style>
  <w:style w:type="paragraph" w:styleId="DocumentMap">
    <w:name w:val="Document Map"/>
    <w:basedOn w:val="Normal"/>
    <w:semiHidden/>
    <w:rsid w:val="00690E4C"/>
    <w:pPr>
      <w:shd w:val="clear" w:color="auto" w:fill="000080"/>
    </w:pPr>
    <w:rPr>
      <w:rFonts w:ascii="Tahoma" w:hAnsi="Tahoma" w:cs="Tahoma"/>
    </w:rPr>
  </w:style>
  <w:style w:type="paragraph" w:styleId="FootnoteText">
    <w:name w:val="footnote text"/>
    <w:basedOn w:val="Normal"/>
    <w:semiHidden/>
    <w:rsid w:val="00690E4C"/>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690E4C"/>
    <w:rPr>
      <w:sz w:val="16"/>
      <w:szCs w:val="16"/>
    </w:rPr>
  </w:style>
  <w:style w:type="paragraph" w:styleId="CommentText">
    <w:name w:val="annotation text"/>
    <w:basedOn w:val="Normal"/>
    <w:semiHidden/>
    <w:rsid w:val="00690E4C"/>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ListParagraph">
    <w:name w:val="List Paragraph"/>
    <w:basedOn w:val="Normal"/>
    <w:rsid w:val="00B92AAB"/>
    <w:pPr>
      <w:suppressAutoHyphens/>
      <w:autoSpaceDN w:val="0"/>
      <w:spacing w:after="200" w:line="276" w:lineRule="auto"/>
      <w:ind w:left="720"/>
      <w:textAlignment w:val="baseline"/>
    </w:pPr>
    <w:rPr>
      <w:rFonts w:ascii="Calibri" w:eastAsia="Calibri" w:hAnsi="Calibri"/>
      <w:sz w:val="22"/>
      <w:szCs w:val="22"/>
      <w:lang w:val="en-US"/>
    </w:rPr>
  </w:style>
  <w:style w:type="character" w:styleId="Strong">
    <w:name w:val="Strong"/>
    <w:rsid w:val="00B92AAB"/>
    <w:rPr>
      <w:b/>
      <w:bCs/>
    </w:rPr>
  </w:style>
  <w:style w:type="paragraph" w:customStyle="1" w:styleId="Default">
    <w:name w:val="Default"/>
    <w:rsid w:val="00B92AAB"/>
    <w:pPr>
      <w:suppressAutoHyphens/>
      <w:autoSpaceDE w:val="0"/>
      <w:autoSpaceDN w:val="0"/>
      <w:textAlignment w:val="baseline"/>
    </w:pPr>
    <w:rPr>
      <w:rFonts w:eastAsia="Calibri"/>
      <w:color w:val="000000"/>
      <w:sz w:val="24"/>
      <w:szCs w:val="24"/>
    </w:rPr>
  </w:style>
  <w:style w:type="character" w:customStyle="1" w:styleId="selectable">
    <w:name w:val="selectable"/>
    <w:basedOn w:val="DefaultParagraphFont"/>
    <w:rsid w:val="009C2139"/>
  </w:style>
  <w:style w:type="table" w:styleId="TableGrid">
    <w:name w:val="Table Grid"/>
    <w:basedOn w:val="TableNormal"/>
    <w:uiPriority w:val="59"/>
    <w:rsid w:val="00696517"/>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217D8"/>
    <w:rPr>
      <w:sz w:val="24"/>
      <w:szCs w:val="24"/>
      <w:lang w:val="en-GB"/>
    </w:rPr>
  </w:style>
  <w:style w:type="character" w:customStyle="1" w:styleId="HeaderChar">
    <w:name w:val="Header Char"/>
    <w:basedOn w:val="DefaultParagraphFont"/>
    <w:link w:val="Header"/>
    <w:uiPriority w:val="99"/>
    <w:rsid w:val="0044166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4C"/>
    <w:rPr>
      <w:sz w:val="24"/>
      <w:szCs w:val="24"/>
      <w:lang w:val="en-GB"/>
    </w:rPr>
  </w:style>
  <w:style w:type="paragraph" w:styleId="Heading3">
    <w:name w:val="heading 3"/>
    <w:basedOn w:val="Normal"/>
    <w:next w:val="Normal"/>
    <w:qFormat/>
    <w:rsid w:val="00690E4C"/>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690E4C"/>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0E4C"/>
    <w:pPr>
      <w:tabs>
        <w:tab w:val="center" w:pos="4153"/>
        <w:tab w:val="right" w:pos="8306"/>
      </w:tabs>
    </w:pPr>
  </w:style>
  <w:style w:type="paragraph" w:styleId="Footer">
    <w:name w:val="footer"/>
    <w:basedOn w:val="Normal"/>
    <w:link w:val="FooterChar"/>
    <w:uiPriority w:val="99"/>
    <w:rsid w:val="00690E4C"/>
    <w:pPr>
      <w:tabs>
        <w:tab w:val="center" w:pos="4153"/>
        <w:tab w:val="right" w:pos="8306"/>
      </w:tabs>
    </w:pPr>
  </w:style>
  <w:style w:type="paragraph" w:styleId="NormalWeb">
    <w:name w:val="Normal (Web)"/>
    <w:basedOn w:val="Normal"/>
    <w:semiHidden/>
    <w:rsid w:val="00690E4C"/>
    <w:pPr>
      <w:spacing w:before="100" w:beforeAutospacing="1" w:after="100" w:afterAutospacing="1"/>
      <w:ind w:firstLine="216"/>
    </w:pPr>
    <w:rPr>
      <w:rFonts w:ascii="Souvenir Lt BT" w:hAnsi="Souvenir Lt BT"/>
    </w:rPr>
  </w:style>
  <w:style w:type="character" w:styleId="Emphasis">
    <w:name w:val="Emphasis"/>
    <w:basedOn w:val="DefaultParagraphFont"/>
    <w:qFormat/>
    <w:rsid w:val="00690E4C"/>
    <w:rPr>
      <w:i/>
    </w:rPr>
  </w:style>
  <w:style w:type="character" w:styleId="Hyperlink">
    <w:name w:val="Hyperlink"/>
    <w:basedOn w:val="DefaultParagraphFont"/>
    <w:semiHidden/>
    <w:rsid w:val="00690E4C"/>
    <w:rPr>
      <w:color w:val="0000FF"/>
      <w:u w:val="single"/>
    </w:rPr>
  </w:style>
  <w:style w:type="character" w:styleId="FollowedHyperlink">
    <w:name w:val="FollowedHyperlink"/>
    <w:basedOn w:val="DefaultParagraphFont"/>
    <w:semiHidden/>
    <w:rsid w:val="00690E4C"/>
    <w:rPr>
      <w:color w:val="800080"/>
      <w:u w:val="single"/>
    </w:rPr>
  </w:style>
  <w:style w:type="paragraph" w:styleId="DocumentMap">
    <w:name w:val="Document Map"/>
    <w:basedOn w:val="Normal"/>
    <w:semiHidden/>
    <w:rsid w:val="00690E4C"/>
    <w:pPr>
      <w:shd w:val="clear" w:color="auto" w:fill="000080"/>
    </w:pPr>
    <w:rPr>
      <w:rFonts w:ascii="Tahoma" w:hAnsi="Tahoma" w:cs="Tahoma"/>
    </w:rPr>
  </w:style>
  <w:style w:type="paragraph" w:styleId="FootnoteText">
    <w:name w:val="footnote text"/>
    <w:basedOn w:val="Normal"/>
    <w:semiHidden/>
    <w:rsid w:val="00690E4C"/>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690E4C"/>
    <w:rPr>
      <w:sz w:val="16"/>
      <w:szCs w:val="16"/>
    </w:rPr>
  </w:style>
  <w:style w:type="paragraph" w:styleId="CommentText">
    <w:name w:val="annotation text"/>
    <w:basedOn w:val="Normal"/>
    <w:semiHidden/>
    <w:rsid w:val="00690E4C"/>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ListParagraph">
    <w:name w:val="List Paragraph"/>
    <w:basedOn w:val="Normal"/>
    <w:rsid w:val="00B92AAB"/>
    <w:pPr>
      <w:suppressAutoHyphens/>
      <w:autoSpaceDN w:val="0"/>
      <w:spacing w:after="200" w:line="276" w:lineRule="auto"/>
      <w:ind w:left="720"/>
      <w:textAlignment w:val="baseline"/>
    </w:pPr>
    <w:rPr>
      <w:rFonts w:ascii="Calibri" w:eastAsia="Calibri" w:hAnsi="Calibri"/>
      <w:sz w:val="22"/>
      <w:szCs w:val="22"/>
      <w:lang w:val="en-US"/>
    </w:rPr>
  </w:style>
  <w:style w:type="character" w:styleId="Strong">
    <w:name w:val="Strong"/>
    <w:rsid w:val="00B92AAB"/>
    <w:rPr>
      <w:b/>
      <w:bCs/>
    </w:rPr>
  </w:style>
  <w:style w:type="paragraph" w:customStyle="1" w:styleId="Default">
    <w:name w:val="Default"/>
    <w:rsid w:val="00B92AAB"/>
    <w:pPr>
      <w:suppressAutoHyphens/>
      <w:autoSpaceDE w:val="0"/>
      <w:autoSpaceDN w:val="0"/>
      <w:textAlignment w:val="baseline"/>
    </w:pPr>
    <w:rPr>
      <w:rFonts w:eastAsia="Calibri"/>
      <w:color w:val="000000"/>
      <w:sz w:val="24"/>
      <w:szCs w:val="24"/>
    </w:rPr>
  </w:style>
  <w:style w:type="character" w:customStyle="1" w:styleId="selectable">
    <w:name w:val="selectable"/>
    <w:basedOn w:val="DefaultParagraphFont"/>
    <w:rsid w:val="009C2139"/>
  </w:style>
  <w:style w:type="table" w:styleId="TableGrid">
    <w:name w:val="Table Grid"/>
    <w:basedOn w:val="TableNormal"/>
    <w:uiPriority w:val="59"/>
    <w:rsid w:val="00696517"/>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217D8"/>
    <w:rPr>
      <w:sz w:val="24"/>
      <w:szCs w:val="24"/>
      <w:lang w:val="en-GB"/>
    </w:rPr>
  </w:style>
  <w:style w:type="character" w:customStyle="1" w:styleId="HeaderChar">
    <w:name w:val="Header Char"/>
    <w:basedOn w:val="DefaultParagraphFont"/>
    <w:link w:val="Header"/>
    <w:uiPriority w:val="99"/>
    <w:rsid w:val="0044166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OriginalArticle%20(2).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ha\Desktop\aishwarya%20-%20graphs%20and%20interpretation\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lang="en-GB"/>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Sheet1!$A$38:$A$42</c:f>
              <c:strCache>
                <c:ptCount val="5"/>
                <c:pt idx="0">
                  <c:v>1 to 5 yrs</c:v>
                </c:pt>
                <c:pt idx="1">
                  <c:v>11 to 15 yrs</c:v>
                </c:pt>
                <c:pt idx="2">
                  <c:v>6 to 10 yrs</c:v>
                </c:pt>
                <c:pt idx="3">
                  <c:v>Above 15 yrs</c:v>
                </c:pt>
                <c:pt idx="4">
                  <c:v>Less than 1 yr</c:v>
                </c:pt>
              </c:strCache>
            </c:strRef>
          </c:cat>
          <c:val>
            <c:numRef>
              <c:f>Sheet1!$B$38:$B$42</c:f>
              <c:numCache>
                <c:formatCode>General</c:formatCode>
                <c:ptCount val="5"/>
                <c:pt idx="0">
                  <c:v>38.300000000000004</c:v>
                </c:pt>
                <c:pt idx="1">
                  <c:v>10.9</c:v>
                </c:pt>
                <c:pt idx="2">
                  <c:v>22.6</c:v>
                </c:pt>
                <c:pt idx="3">
                  <c:v>3.9</c:v>
                </c:pt>
                <c:pt idx="4">
                  <c:v>24.3</c:v>
                </c:pt>
              </c:numCache>
            </c:numRef>
          </c:val>
          <c:extLst xmlns:c16r2="http://schemas.microsoft.com/office/drawing/2015/06/chart">
            <c:ext xmlns:c16="http://schemas.microsoft.com/office/drawing/2014/chart" uri="{C3380CC4-5D6E-409C-BE32-E72D297353CC}">
              <c16:uniqueId val="{00000000-2804-564A-8EAA-E963E5231254}"/>
            </c:ext>
          </c:extLst>
        </c:ser>
        <c:dLbls>
          <c:showLegendKey val="0"/>
          <c:showVal val="1"/>
          <c:showCatName val="0"/>
          <c:showSerName val="0"/>
          <c:showPercent val="0"/>
          <c:showBubbleSize val="0"/>
        </c:dLbls>
        <c:gapWidth val="75"/>
        <c:shape val="box"/>
        <c:axId val="144869632"/>
        <c:axId val="293379072"/>
        <c:axId val="0"/>
      </c:bar3DChart>
      <c:catAx>
        <c:axId val="144869632"/>
        <c:scaling>
          <c:orientation val="minMax"/>
        </c:scaling>
        <c:delete val="0"/>
        <c:axPos val="b"/>
        <c:title>
          <c:tx>
            <c:rich>
              <a:bodyPr/>
              <a:lstStyle/>
              <a:p>
                <a:pPr>
                  <a:defRPr lang="en-GB"/>
                </a:pPr>
                <a:r>
                  <a:rPr lang="en-US"/>
                  <a:t>Duration of diabetes</a:t>
                </a:r>
              </a:p>
            </c:rich>
          </c:tx>
          <c:overlay val="0"/>
        </c:title>
        <c:numFmt formatCode="General" sourceLinked="0"/>
        <c:majorTickMark val="none"/>
        <c:minorTickMark val="none"/>
        <c:tickLblPos val="nextTo"/>
        <c:txPr>
          <a:bodyPr/>
          <a:lstStyle/>
          <a:p>
            <a:pPr>
              <a:defRPr lang="en-GB"/>
            </a:pPr>
            <a:endParaRPr lang="en-US"/>
          </a:p>
        </c:txPr>
        <c:crossAx val="293379072"/>
        <c:crosses val="autoZero"/>
        <c:auto val="1"/>
        <c:lblAlgn val="ctr"/>
        <c:lblOffset val="100"/>
        <c:noMultiLvlLbl val="0"/>
      </c:catAx>
      <c:valAx>
        <c:axId val="293379072"/>
        <c:scaling>
          <c:orientation val="minMax"/>
        </c:scaling>
        <c:delete val="0"/>
        <c:axPos val="l"/>
        <c:title>
          <c:tx>
            <c:rich>
              <a:bodyPr rot="-5400000" vert="horz"/>
              <a:lstStyle/>
              <a:p>
                <a:pPr>
                  <a:defRPr lang="en-GB"/>
                </a:pPr>
                <a:r>
                  <a:rPr lang="en-US"/>
                  <a:t>No of study subjects (%)</a:t>
                </a:r>
              </a:p>
            </c:rich>
          </c:tx>
          <c:overlay val="0"/>
        </c:title>
        <c:numFmt formatCode="General" sourceLinked="1"/>
        <c:majorTickMark val="none"/>
        <c:minorTickMark val="none"/>
        <c:tickLblPos val="nextTo"/>
        <c:txPr>
          <a:bodyPr/>
          <a:lstStyle/>
          <a:p>
            <a:pPr>
              <a:defRPr lang="en-GB"/>
            </a:pPr>
            <a:endParaRPr lang="en-US"/>
          </a:p>
        </c:txPr>
        <c:crossAx val="1448696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OriginalArticle (2)</Template>
  <TotalTime>14</TotalTime>
  <Pages>11</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admin</dc:creator>
  <cp:lastModifiedBy>RDRL</cp:lastModifiedBy>
  <cp:revision>9</cp:revision>
  <cp:lastPrinted>2021-08-12T15:03:00Z</cp:lastPrinted>
  <dcterms:created xsi:type="dcterms:W3CDTF">2021-08-02T14:37:00Z</dcterms:created>
  <dcterms:modified xsi:type="dcterms:W3CDTF">2021-08-12T15:03:00Z</dcterms:modified>
</cp:coreProperties>
</file>