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BE0" w:rsidRPr="009B7F98" w:rsidRDefault="00ED4BE0" w:rsidP="009B7F98">
      <w:pPr>
        <w:spacing w:line="360" w:lineRule="auto"/>
        <w:rPr>
          <w:rFonts w:asciiTheme="majorHAnsi" w:hAnsiTheme="majorHAnsi"/>
          <w:b/>
          <w:bCs/>
          <w:color w:val="000000"/>
          <w:sz w:val="24"/>
          <w:szCs w:val="24"/>
        </w:rPr>
      </w:pPr>
      <w:r w:rsidRPr="009B7F98">
        <w:rPr>
          <w:rFonts w:asciiTheme="majorHAnsi" w:hAnsiTheme="majorHAnsi"/>
          <w:b/>
          <w:bCs/>
          <w:color w:val="000000"/>
          <w:sz w:val="24"/>
          <w:szCs w:val="24"/>
          <w:highlight w:val="lightGray"/>
        </w:rPr>
        <w:t>Original article</w:t>
      </w:r>
      <w:r w:rsidRPr="009B7F98">
        <w:rPr>
          <w:rFonts w:asciiTheme="majorHAnsi" w:hAnsiTheme="majorHAnsi"/>
          <w:b/>
          <w:bCs/>
          <w:color w:val="000000"/>
          <w:sz w:val="24"/>
          <w:szCs w:val="24"/>
        </w:rPr>
        <w:t xml:space="preserve"> </w:t>
      </w:r>
    </w:p>
    <w:p w:rsidR="00ED4BE0" w:rsidRPr="009B7F98" w:rsidRDefault="00ED4BE0" w:rsidP="009B7F98">
      <w:pPr>
        <w:spacing w:line="360" w:lineRule="auto"/>
        <w:rPr>
          <w:rFonts w:asciiTheme="majorHAnsi" w:hAnsiTheme="majorHAnsi"/>
          <w:color w:val="0070C0"/>
          <w:sz w:val="28"/>
          <w:szCs w:val="28"/>
        </w:rPr>
      </w:pPr>
      <w:r w:rsidRPr="009B7F98">
        <w:rPr>
          <w:rFonts w:asciiTheme="majorHAnsi" w:hAnsiTheme="majorHAnsi"/>
          <w:b/>
          <w:bCs/>
          <w:color w:val="0070C0"/>
          <w:sz w:val="28"/>
          <w:szCs w:val="28"/>
        </w:rPr>
        <w:t>Clinical Profile and Prevalence of Non-Alcoholic Fatty Liver Disease Among Patients with Type 2 Diabetes Mellitus Attending a Tertiary Care Hospital: A Cross-Sectional Study</w:t>
      </w:r>
    </w:p>
    <w:p w:rsidR="00D11CD6" w:rsidRPr="009B7F98" w:rsidRDefault="009B7F98" w:rsidP="00ED4BE0">
      <w:pPr>
        <w:spacing w:line="360" w:lineRule="auto"/>
        <w:jc w:val="both"/>
        <w:rPr>
          <w:rFonts w:asciiTheme="majorHAnsi" w:hAnsiTheme="majorHAnsi"/>
          <w:b/>
          <w:bCs/>
          <w:color w:val="000000"/>
        </w:rPr>
      </w:pPr>
      <w:r>
        <w:rPr>
          <w:rFonts w:asciiTheme="majorHAnsi" w:hAnsiTheme="majorHAnsi"/>
          <w:b/>
          <w:bCs/>
          <w:color w:val="000000"/>
        </w:rPr>
        <w:t>*</w:t>
      </w:r>
      <w:r w:rsidR="00D11CD6" w:rsidRPr="009B7F98">
        <w:rPr>
          <w:rFonts w:asciiTheme="majorHAnsi" w:hAnsiTheme="majorHAnsi"/>
          <w:b/>
          <w:bCs/>
          <w:color w:val="000000"/>
        </w:rPr>
        <w:t xml:space="preserve">Shilpi Johre </w:t>
      </w:r>
      <w:r w:rsidR="00D11CD6" w:rsidRPr="009B7F98">
        <w:rPr>
          <w:rFonts w:asciiTheme="majorHAnsi" w:hAnsiTheme="majorHAnsi"/>
          <w:b/>
          <w:bCs/>
          <w:color w:val="000000"/>
          <w:vertAlign w:val="superscript"/>
        </w:rPr>
        <w:t>1</w:t>
      </w:r>
      <w:bookmarkStart w:id="0" w:name="_GoBack"/>
      <w:bookmarkEnd w:id="0"/>
    </w:p>
    <w:p w:rsidR="009B7F98" w:rsidRDefault="009B7F98" w:rsidP="00ED4BE0">
      <w:pPr>
        <w:spacing w:line="360" w:lineRule="auto"/>
        <w:jc w:val="both"/>
        <w:rPr>
          <w:rFonts w:asciiTheme="majorHAnsi" w:hAnsiTheme="majorHAnsi"/>
          <w:bCs/>
          <w:color w:val="000000"/>
          <w:vertAlign w:val="superscript"/>
        </w:rPr>
      </w:pPr>
    </w:p>
    <w:p w:rsidR="00D11CD6" w:rsidRDefault="00A36655" w:rsidP="00ED4BE0">
      <w:pPr>
        <w:spacing w:line="360" w:lineRule="auto"/>
        <w:jc w:val="both"/>
        <w:rPr>
          <w:rFonts w:asciiTheme="majorHAnsi" w:hAnsiTheme="majorHAnsi"/>
          <w:bCs/>
          <w:color w:val="000000"/>
        </w:rPr>
      </w:pPr>
      <w:r w:rsidRPr="009B7F98">
        <w:rPr>
          <w:rFonts w:asciiTheme="majorHAnsi" w:hAnsiTheme="majorHAnsi"/>
          <w:bCs/>
          <w:color w:val="000000"/>
          <w:vertAlign w:val="superscript"/>
        </w:rPr>
        <w:t>1</w:t>
      </w:r>
      <w:r w:rsidR="00D11CD6" w:rsidRPr="009B7F98">
        <w:rPr>
          <w:rFonts w:asciiTheme="majorHAnsi" w:hAnsiTheme="majorHAnsi"/>
          <w:bCs/>
          <w:color w:val="000000"/>
        </w:rPr>
        <w:t xml:space="preserve">Assistant </w:t>
      </w:r>
      <w:r w:rsidR="00ED4BE0" w:rsidRPr="009B7F98">
        <w:rPr>
          <w:rFonts w:asciiTheme="majorHAnsi" w:hAnsiTheme="majorHAnsi"/>
          <w:bCs/>
          <w:color w:val="000000"/>
        </w:rPr>
        <w:t xml:space="preserve">Professor, </w:t>
      </w:r>
      <w:r w:rsidR="009B7F98" w:rsidRPr="009B7F98">
        <w:rPr>
          <w:rFonts w:asciiTheme="majorHAnsi" w:hAnsiTheme="majorHAnsi"/>
          <w:bCs/>
          <w:color w:val="000000"/>
        </w:rPr>
        <w:t>Dept.</w:t>
      </w:r>
      <w:r w:rsidR="00D11CD6" w:rsidRPr="009B7F98">
        <w:rPr>
          <w:rFonts w:asciiTheme="majorHAnsi" w:hAnsiTheme="majorHAnsi"/>
          <w:bCs/>
          <w:color w:val="000000"/>
        </w:rPr>
        <w:t xml:space="preserve"> of </w:t>
      </w:r>
      <w:r w:rsidR="009B7F98" w:rsidRPr="009B7F98">
        <w:rPr>
          <w:rFonts w:asciiTheme="majorHAnsi" w:hAnsiTheme="majorHAnsi"/>
          <w:bCs/>
          <w:color w:val="000000"/>
        </w:rPr>
        <w:t>General</w:t>
      </w:r>
      <w:r w:rsidR="00D11CD6" w:rsidRPr="009B7F98">
        <w:rPr>
          <w:rFonts w:asciiTheme="majorHAnsi" w:hAnsiTheme="majorHAnsi"/>
          <w:bCs/>
          <w:color w:val="000000"/>
        </w:rPr>
        <w:t xml:space="preserve"> Medine, GSL Medical College, Rajahmundry</w:t>
      </w:r>
    </w:p>
    <w:p w:rsidR="009B7F98" w:rsidRPr="009B7F98" w:rsidRDefault="009B7F98" w:rsidP="00ED4BE0">
      <w:pPr>
        <w:spacing w:line="360" w:lineRule="auto"/>
        <w:jc w:val="both"/>
        <w:rPr>
          <w:rFonts w:asciiTheme="majorHAnsi" w:hAnsiTheme="majorHAnsi"/>
          <w:bCs/>
          <w:color w:val="000000"/>
        </w:rPr>
      </w:pPr>
      <w:r>
        <w:rPr>
          <w:rFonts w:asciiTheme="majorHAnsi" w:hAnsiTheme="majorHAnsi"/>
          <w:bCs/>
          <w:color w:val="000000"/>
        </w:rPr>
        <w:t>Corresponding author*</w:t>
      </w:r>
    </w:p>
    <w:p w:rsidR="009046D5" w:rsidRPr="009B7F98" w:rsidRDefault="009046D5" w:rsidP="00ED4BE0">
      <w:pPr>
        <w:spacing w:line="360" w:lineRule="auto"/>
        <w:jc w:val="both"/>
        <w:rPr>
          <w:rFonts w:asciiTheme="majorHAnsi" w:hAnsiTheme="majorHAnsi"/>
          <w:b/>
          <w:bCs/>
          <w:color w:val="000000"/>
        </w:rPr>
      </w:pPr>
    </w:p>
    <w:p w:rsidR="007C4CD8" w:rsidRPr="009B7F98" w:rsidRDefault="000853BF" w:rsidP="00ED4BE0">
      <w:pPr>
        <w:pStyle w:val="Heading1"/>
        <w:spacing w:line="360" w:lineRule="auto"/>
        <w:jc w:val="both"/>
        <w:rPr>
          <w:rFonts w:asciiTheme="majorHAnsi" w:hAnsiTheme="majorHAnsi"/>
          <w:sz w:val="20"/>
          <w:szCs w:val="20"/>
        </w:rPr>
      </w:pPr>
      <w:r w:rsidRPr="009B7F98">
        <w:rPr>
          <w:rFonts w:asciiTheme="majorHAnsi" w:hAnsiTheme="majorHAnsi"/>
          <w:b/>
          <w:bCs/>
          <w:color w:val="000000"/>
          <w:sz w:val="20"/>
          <w:szCs w:val="20"/>
        </w:rPr>
        <w:t>Abstract</w:t>
      </w:r>
    </w:p>
    <w:p w:rsidR="007C4CD8" w:rsidRPr="009B7F98" w:rsidRDefault="000853BF" w:rsidP="00ED4BE0">
      <w:pPr>
        <w:spacing w:line="360" w:lineRule="auto"/>
        <w:jc w:val="both"/>
        <w:rPr>
          <w:rFonts w:asciiTheme="majorHAnsi" w:hAnsiTheme="majorHAnsi"/>
          <w:sz w:val="18"/>
          <w:szCs w:val="18"/>
        </w:rPr>
      </w:pPr>
      <w:r w:rsidRPr="009B7F98">
        <w:rPr>
          <w:rFonts w:asciiTheme="majorHAnsi" w:hAnsiTheme="majorHAnsi"/>
          <w:color w:val="000000"/>
          <w:sz w:val="18"/>
          <w:szCs w:val="18"/>
        </w:rPr>
        <w:t>Background: Non-alcoholic fatty liver disease (NAFLD) is closely linked to insulin resistance and is highly prevalent among patients with type 2 diabetes mellitus (T2DM), first systematically characterised as a distinct entity by Ludwig and colleagues.</w:t>
      </w:r>
      <w:r w:rsidRPr="009B7F98">
        <w:rPr>
          <w:rFonts w:asciiTheme="majorHAnsi" w:hAnsiTheme="majorHAnsi"/>
          <w:color w:val="000000"/>
          <w:sz w:val="18"/>
          <w:szCs w:val="18"/>
          <w:vertAlign w:val="superscript"/>
        </w:rPr>
        <w:t>1,3</w:t>
      </w:r>
    </w:p>
    <w:p w:rsidR="007C4CD8" w:rsidRPr="009B7F98" w:rsidRDefault="000853BF" w:rsidP="00ED4BE0">
      <w:pPr>
        <w:spacing w:line="360" w:lineRule="auto"/>
        <w:jc w:val="both"/>
        <w:rPr>
          <w:rFonts w:asciiTheme="majorHAnsi" w:hAnsiTheme="majorHAnsi"/>
          <w:sz w:val="18"/>
          <w:szCs w:val="18"/>
        </w:rPr>
      </w:pPr>
      <w:r w:rsidRPr="009B7F98">
        <w:rPr>
          <w:rFonts w:asciiTheme="majorHAnsi" w:hAnsiTheme="majorHAnsi"/>
          <w:color w:val="000000"/>
          <w:sz w:val="18"/>
          <w:szCs w:val="18"/>
        </w:rPr>
        <w:t>Objectives: To determine the prevalence, ultrasonographic grade, and clinical correlates of NAFLD among patients with T2DM attending a tertiary care hospital.</w:t>
      </w:r>
    </w:p>
    <w:p w:rsidR="007C4CD8" w:rsidRPr="009B7F98" w:rsidRDefault="000853BF" w:rsidP="00ED4BE0">
      <w:pPr>
        <w:spacing w:line="360" w:lineRule="auto"/>
        <w:jc w:val="both"/>
        <w:rPr>
          <w:rFonts w:asciiTheme="majorHAnsi" w:hAnsiTheme="majorHAnsi"/>
          <w:sz w:val="18"/>
          <w:szCs w:val="18"/>
        </w:rPr>
      </w:pPr>
      <w:r w:rsidRPr="009B7F98">
        <w:rPr>
          <w:rFonts w:asciiTheme="majorHAnsi" w:hAnsiTheme="majorHAnsi"/>
          <w:color w:val="000000"/>
          <w:sz w:val="18"/>
          <w:szCs w:val="18"/>
        </w:rPr>
        <w:t>Methods: A cross-sectional study was conducted on 220 patients with T2DM. All participants underwent abdominal ultrasonography for hepatic steatosis grading, and clinical and biochemical parameters were recorded.</w:t>
      </w:r>
    </w:p>
    <w:p w:rsidR="007C4CD8" w:rsidRPr="009B7F98" w:rsidRDefault="000853BF" w:rsidP="00ED4BE0">
      <w:pPr>
        <w:spacing w:line="360" w:lineRule="auto"/>
        <w:jc w:val="both"/>
        <w:rPr>
          <w:rFonts w:asciiTheme="majorHAnsi" w:hAnsiTheme="majorHAnsi"/>
          <w:sz w:val="18"/>
          <w:szCs w:val="18"/>
        </w:rPr>
      </w:pPr>
      <w:r w:rsidRPr="009B7F98">
        <w:rPr>
          <w:rFonts w:asciiTheme="majorHAnsi" w:hAnsiTheme="majorHAnsi"/>
          <w:color w:val="000000"/>
          <w:sz w:val="18"/>
          <w:szCs w:val="18"/>
        </w:rPr>
        <w:t>Results: The prevalence of NAFLD was 61.8%. Grade I (mild) steatosis was the most common (52.9% of NAFLD cases). Prevalence increased markedly with BMI category, from 41.7% among patients with BMI below 25 kg/m² to 73.0% among those with BMI 30 kg/m² or above. BMI ≥30 kg/m² and coexisting dyslipidaemia were independently associated with NAFLD.</w:t>
      </w:r>
    </w:p>
    <w:p w:rsidR="007C4CD8" w:rsidRPr="009B7F98" w:rsidRDefault="000853BF" w:rsidP="00ED4BE0">
      <w:pPr>
        <w:spacing w:line="360" w:lineRule="auto"/>
        <w:jc w:val="both"/>
        <w:rPr>
          <w:rFonts w:asciiTheme="majorHAnsi" w:hAnsiTheme="majorHAnsi"/>
          <w:sz w:val="18"/>
          <w:szCs w:val="18"/>
        </w:rPr>
      </w:pPr>
      <w:r w:rsidRPr="009B7F98">
        <w:rPr>
          <w:rFonts w:asciiTheme="majorHAnsi" w:hAnsiTheme="majorHAnsi"/>
          <w:color w:val="000000"/>
          <w:sz w:val="18"/>
          <w:szCs w:val="18"/>
        </w:rPr>
        <w:t>Conclusion: NAFLD is highly prevalent among patients with T2DM and correlates strongly with obesity and dyslipidaemia, supporting routine hepatic ultrasonographic screening as part of comprehensive diabetes care.</w:t>
      </w:r>
    </w:p>
    <w:p w:rsidR="007C4CD8" w:rsidRPr="009B7F98" w:rsidRDefault="000853BF" w:rsidP="00ED4BE0">
      <w:pPr>
        <w:spacing w:line="360" w:lineRule="auto"/>
        <w:jc w:val="both"/>
        <w:rPr>
          <w:rFonts w:asciiTheme="majorHAnsi" w:hAnsiTheme="majorHAnsi"/>
          <w:sz w:val="18"/>
          <w:szCs w:val="18"/>
        </w:rPr>
      </w:pPr>
      <w:r w:rsidRPr="009B7F98">
        <w:rPr>
          <w:rFonts w:asciiTheme="majorHAnsi" w:hAnsiTheme="majorHAnsi"/>
          <w:i/>
          <w:iCs/>
          <w:color w:val="000000"/>
          <w:sz w:val="18"/>
          <w:szCs w:val="18"/>
        </w:rPr>
        <w:t>Keywords: Non-alcoholic fatty liver disease, type 2 diabetes mellitus, hepatic steatosis, ultrasonography, general medicine.</w:t>
      </w:r>
    </w:p>
    <w:p w:rsidR="009B7F98" w:rsidRDefault="009B7F98" w:rsidP="00ED4BE0">
      <w:pPr>
        <w:pStyle w:val="Heading1"/>
        <w:spacing w:line="360" w:lineRule="auto"/>
        <w:jc w:val="both"/>
        <w:rPr>
          <w:b/>
          <w:bCs/>
          <w:color w:val="000000"/>
          <w:sz w:val="20"/>
          <w:szCs w:val="20"/>
        </w:rPr>
      </w:pPr>
    </w:p>
    <w:p w:rsidR="007C4CD8" w:rsidRPr="00ED4BE0" w:rsidRDefault="000853BF" w:rsidP="00ED4BE0">
      <w:pPr>
        <w:pStyle w:val="Heading1"/>
        <w:spacing w:line="360" w:lineRule="auto"/>
        <w:jc w:val="both"/>
        <w:rPr>
          <w:sz w:val="20"/>
          <w:szCs w:val="20"/>
        </w:rPr>
      </w:pPr>
      <w:r w:rsidRPr="00ED4BE0">
        <w:rPr>
          <w:b/>
          <w:bCs/>
          <w:color w:val="000000"/>
          <w:sz w:val="20"/>
          <w:szCs w:val="20"/>
        </w:rPr>
        <w:t>Introduction</w:t>
      </w:r>
    </w:p>
    <w:p w:rsidR="007C4CD8" w:rsidRPr="00ED4BE0" w:rsidRDefault="000853BF" w:rsidP="00ED4BE0">
      <w:pPr>
        <w:spacing w:line="360" w:lineRule="auto"/>
        <w:jc w:val="both"/>
      </w:pPr>
      <w:r w:rsidRPr="00ED4BE0">
        <w:rPr>
          <w:color w:val="000000"/>
        </w:rPr>
        <w:t>Non-alcoholic fatty liver disease (NAFLD) refers to hepatic triglyceride accumulation in the absence of significant alcohol consumption or other identifiable causes of liver disease, and was first systematically described as a distinct clinicopathological entity by Ludwig and colleagues in their description of nonalcoholic steatohepatitis at the Mayo Clinic.</w:t>
      </w:r>
      <w:r w:rsidRPr="00ED4BE0">
        <w:rPr>
          <w:color w:val="000000"/>
          <w:vertAlign w:val="superscript"/>
        </w:rPr>
        <w:t>1</w:t>
      </w:r>
      <w:r w:rsidRPr="00ED4BE0">
        <w:rPr>
          <w:color w:val="000000"/>
        </w:rPr>
        <w:t xml:space="preserve"> Since this foundational description, NAFLD has been increasingly recognised as the hepatic manifestation of insulin resistance and the metabolic syndrome, with a particularly high prevalence among patients with type 2 diabetes mellitus (T2DM).</w:t>
      </w:r>
      <w:r w:rsidRPr="00ED4BE0">
        <w:rPr>
          <w:color w:val="000000"/>
          <w:vertAlign w:val="superscript"/>
        </w:rPr>
        <w:t>3,4</w:t>
      </w:r>
    </w:p>
    <w:p w:rsidR="007C4CD8" w:rsidRPr="00ED4BE0" w:rsidRDefault="000853BF" w:rsidP="00ED4BE0">
      <w:pPr>
        <w:spacing w:line="360" w:lineRule="auto"/>
        <w:jc w:val="both"/>
      </w:pPr>
      <w:r w:rsidRPr="00ED4BE0">
        <w:rPr>
          <w:color w:val="000000"/>
        </w:rPr>
        <w:t>Population-based studies, including the Dionysos study by Bellentani and colleagues in Northern Italy and subsequent US-based work by Browning and colleagues, have documented substantial NAFLD prevalence in the general population, with figures rising considerably higher among individuals with obesity, insulin resistance, or established T2DM.</w:t>
      </w:r>
      <w:r w:rsidRPr="00ED4BE0">
        <w:rPr>
          <w:color w:val="000000"/>
          <w:vertAlign w:val="superscript"/>
        </w:rPr>
        <w:t>2,6</w:t>
      </w:r>
      <w:r w:rsidRPr="00ED4BE0">
        <w:rPr>
          <w:color w:val="000000"/>
        </w:rPr>
        <w:t xml:space="preserve"> Magnetic resonance spectroscopy-based work by Szczepaniak and colleagues further confirmed the high underlying burden of hepatic steatosis even among individuals without overtly elevated liver enzymes, highlighting the limitations of biochemical screening alone.</w:t>
      </w:r>
      <w:r w:rsidRPr="00ED4BE0">
        <w:rPr>
          <w:color w:val="000000"/>
          <w:vertAlign w:val="superscript"/>
        </w:rPr>
        <w:t>7</w:t>
      </w:r>
    </w:p>
    <w:p w:rsidR="007C4CD8" w:rsidRPr="00ED4BE0" w:rsidRDefault="000853BF" w:rsidP="00ED4BE0">
      <w:pPr>
        <w:spacing w:line="360" w:lineRule="auto"/>
        <w:jc w:val="both"/>
      </w:pPr>
      <w:r w:rsidRPr="00ED4BE0">
        <w:rPr>
          <w:color w:val="000000"/>
        </w:rPr>
        <w:lastRenderedPageBreak/>
        <w:t>The clinical importance of NAFLD in the diabetic population extends beyond hepatic outcomes, with Targher and colleagues demonstrating a significant association between NAFLD and cardiovascular disease among patients with T2DM, reinforcing the broader systemic relevance of this condition.</w:t>
      </w:r>
      <w:r w:rsidRPr="00ED4BE0">
        <w:rPr>
          <w:color w:val="000000"/>
          <w:vertAlign w:val="superscript"/>
        </w:rPr>
        <w:t>8</w:t>
      </w:r>
      <w:r w:rsidRPr="00ED4BE0">
        <w:rPr>
          <w:color w:val="000000"/>
        </w:rPr>
        <w:t xml:space="preserve"> Given the close pathophysiological relationship between NAFLD and insulin resistance, and its substantial and likely underappreciated prevalence in diabetic populations, as documented by Leite and colleagues, characterising local prevalence and clinical correlates remains valuable for guiding screening practice.</w:t>
      </w:r>
      <w:r w:rsidRPr="00ED4BE0">
        <w:rPr>
          <w:color w:val="000000"/>
          <w:vertAlign w:val="superscript"/>
        </w:rPr>
        <w:t>9</w:t>
      </w:r>
    </w:p>
    <w:p w:rsidR="007C4CD8" w:rsidRPr="00ED4BE0" w:rsidRDefault="000853BF" w:rsidP="00ED4BE0">
      <w:pPr>
        <w:spacing w:line="360" w:lineRule="auto"/>
        <w:jc w:val="both"/>
      </w:pPr>
      <w:r w:rsidRPr="00ED4BE0">
        <w:rPr>
          <w:color w:val="000000"/>
        </w:rPr>
        <w:t>This study was undertaken to determine the prevalence, ultrasonographic grade, and clinical correlates of NAFLD among patients with T2DM attending a tertiary care hospital.</w:t>
      </w:r>
    </w:p>
    <w:p w:rsidR="002416D4" w:rsidRDefault="002416D4" w:rsidP="00ED4BE0">
      <w:pPr>
        <w:pStyle w:val="Heading1"/>
        <w:spacing w:line="360" w:lineRule="auto"/>
        <w:jc w:val="both"/>
        <w:rPr>
          <w:b/>
          <w:bCs/>
          <w:color w:val="000000"/>
          <w:sz w:val="20"/>
          <w:szCs w:val="20"/>
        </w:rPr>
      </w:pPr>
    </w:p>
    <w:p w:rsidR="007C4CD8" w:rsidRPr="00ED4BE0" w:rsidRDefault="000853BF" w:rsidP="00ED4BE0">
      <w:pPr>
        <w:pStyle w:val="Heading1"/>
        <w:spacing w:line="360" w:lineRule="auto"/>
        <w:jc w:val="both"/>
        <w:rPr>
          <w:sz w:val="20"/>
          <w:szCs w:val="20"/>
        </w:rPr>
      </w:pPr>
      <w:r w:rsidRPr="00ED4BE0">
        <w:rPr>
          <w:b/>
          <w:bCs/>
          <w:color w:val="000000"/>
          <w:sz w:val="20"/>
          <w:szCs w:val="20"/>
        </w:rPr>
        <w:t>Materials and Methods</w:t>
      </w:r>
    </w:p>
    <w:p w:rsidR="007C4CD8" w:rsidRPr="00ED4BE0" w:rsidRDefault="000853BF" w:rsidP="00ED4BE0">
      <w:pPr>
        <w:pStyle w:val="Heading2"/>
        <w:spacing w:line="360" w:lineRule="auto"/>
        <w:jc w:val="both"/>
        <w:rPr>
          <w:sz w:val="20"/>
          <w:szCs w:val="20"/>
        </w:rPr>
      </w:pPr>
      <w:r w:rsidRPr="00ED4BE0">
        <w:rPr>
          <w:b/>
          <w:bCs/>
          <w:color w:val="000000"/>
          <w:sz w:val="20"/>
          <w:szCs w:val="20"/>
        </w:rPr>
        <w:t>Study Design and Setting</w:t>
      </w:r>
    </w:p>
    <w:p w:rsidR="007C4CD8" w:rsidRPr="00ED4BE0" w:rsidRDefault="000853BF" w:rsidP="00ED4BE0">
      <w:pPr>
        <w:spacing w:line="360" w:lineRule="auto"/>
        <w:jc w:val="both"/>
      </w:pPr>
      <w:r w:rsidRPr="00ED4BE0">
        <w:rPr>
          <w:color w:val="000000"/>
        </w:rPr>
        <w:t>This was a hospital-based, cross-sectional, analytical study conducted in the Department of General Medicine of a tertiary care teaching hospital over a period of twelve months.</w:t>
      </w:r>
    </w:p>
    <w:p w:rsidR="007C4CD8" w:rsidRPr="00ED4BE0" w:rsidRDefault="000853BF" w:rsidP="00ED4BE0">
      <w:pPr>
        <w:pStyle w:val="Heading2"/>
        <w:spacing w:line="360" w:lineRule="auto"/>
        <w:jc w:val="both"/>
        <w:rPr>
          <w:sz w:val="20"/>
          <w:szCs w:val="20"/>
        </w:rPr>
      </w:pPr>
      <w:r w:rsidRPr="00ED4BE0">
        <w:rPr>
          <w:b/>
          <w:bCs/>
          <w:color w:val="000000"/>
          <w:sz w:val="20"/>
          <w:szCs w:val="20"/>
        </w:rPr>
        <w:t>Study Population</w:t>
      </w:r>
    </w:p>
    <w:p w:rsidR="007C4CD8" w:rsidRPr="00ED4BE0" w:rsidRDefault="000853BF" w:rsidP="00ED4BE0">
      <w:pPr>
        <w:spacing w:line="360" w:lineRule="auto"/>
        <w:jc w:val="both"/>
      </w:pPr>
      <w:r w:rsidRPr="00ED4BE0">
        <w:rPr>
          <w:color w:val="000000"/>
        </w:rPr>
        <w:t>A total of 220 adult patients with a confirmed diagnosis of T2DM attending the general medicine outpatient department were enrolled after obtaining informed consent.</w:t>
      </w:r>
    </w:p>
    <w:p w:rsidR="007C4CD8" w:rsidRPr="00ED4BE0" w:rsidRDefault="000853BF" w:rsidP="00ED4BE0">
      <w:pPr>
        <w:pStyle w:val="Heading2"/>
        <w:spacing w:line="360" w:lineRule="auto"/>
        <w:jc w:val="both"/>
        <w:rPr>
          <w:sz w:val="20"/>
          <w:szCs w:val="20"/>
        </w:rPr>
      </w:pPr>
      <w:r w:rsidRPr="00ED4BE0">
        <w:rPr>
          <w:b/>
          <w:bCs/>
          <w:color w:val="000000"/>
          <w:sz w:val="20"/>
          <w:szCs w:val="20"/>
        </w:rPr>
        <w:t>Inclusion and Exclusion Criteria</w:t>
      </w:r>
    </w:p>
    <w:p w:rsidR="007C4CD8" w:rsidRPr="00ED4BE0" w:rsidRDefault="000853BF" w:rsidP="00ED4BE0">
      <w:pPr>
        <w:spacing w:line="360" w:lineRule="auto"/>
        <w:jc w:val="both"/>
      </w:pPr>
      <w:r w:rsidRPr="00ED4BE0">
        <w:rPr>
          <w:color w:val="000000"/>
        </w:rPr>
        <w:t>Adults aged 18 years and above with a confirmed diagnosis of T2DM were included. Patients with significant alcohol consumption (&gt;21 units/week men, &gt;14 units/week women), viral hepatitis, autoimmune liver disease, or use of known hepatotoxic medications were excluded.</w:t>
      </w:r>
    </w:p>
    <w:p w:rsidR="007C4CD8" w:rsidRPr="00ED4BE0" w:rsidRDefault="000853BF" w:rsidP="00ED4BE0">
      <w:pPr>
        <w:pStyle w:val="Heading2"/>
        <w:spacing w:line="360" w:lineRule="auto"/>
        <w:jc w:val="both"/>
        <w:rPr>
          <w:sz w:val="20"/>
          <w:szCs w:val="20"/>
        </w:rPr>
      </w:pPr>
      <w:r w:rsidRPr="00ED4BE0">
        <w:rPr>
          <w:b/>
          <w:bCs/>
          <w:color w:val="000000"/>
          <w:sz w:val="20"/>
          <w:szCs w:val="20"/>
        </w:rPr>
        <w:t>Data Collection</w:t>
      </w:r>
    </w:p>
    <w:p w:rsidR="007C4CD8" w:rsidRPr="00ED4BE0" w:rsidRDefault="000853BF" w:rsidP="00ED4BE0">
      <w:pPr>
        <w:spacing w:line="360" w:lineRule="auto"/>
        <w:jc w:val="both"/>
      </w:pPr>
      <w:r w:rsidRPr="00ED4BE0">
        <w:rPr>
          <w:color w:val="000000"/>
        </w:rPr>
        <w:t>A structured proforma recorded demographic details, duration of diabetes, and alcohol history. Venous blood samples were obtained for HbA1c, liver function tests, and lipid profile. All patients underwent abdominal ultrasonography performed by an experienced radiologist, with hepatic steatosis graded as Grade I (mild), Grade II (moderate), or Grade III (severe) based on standard sonographic criteria (hepatorenal echo contrast, deep beam attenuation, and vascular blurring).</w:t>
      </w:r>
    </w:p>
    <w:p w:rsidR="007C4CD8" w:rsidRPr="00ED4BE0" w:rsidRDefault="000853BF" w:rsidP="00ED4BE0">
      <w:pPr>
        <w:pStyle w:val="Heading2"/>
        <w:spacing w:line="360" w:lineRule="auto"/>
        <w:jc w:val="both"/>
        <w:rPr>
          <w:sz w:val="20"/>
          <w:szCs w:val="20"/>
        </w:rPr>
      </w:pPr>
      <w:r w:rsidRPr="00ED4BE0">
        <w:rPr>
          <w:b/>
          <w:bCs/>
          <w:color w:val="000000"/>
          <w:sz w:val="20"/>
          <w:szCs w:val="20"/>
        </w:rPr>
        <w:t>Statistical Analysis</w:t>
      </w:r>
    </w:p>
    <w:p w:rsidR="007C4CD8" w:rsidRPr="00ED4BE0" w:rsidRDefault="000853BF" w:rsidP="00ED4BE0">
      <w:pPr>
        <w:spacing w:line="360" w:lineRule="auto"/>
        <w:jc w:val="both"/>
      </w:pPr>
      <w:r w:rsidRPr="00ED4BE0">
        <w:rPr>
          <w:color w:val="000000"/>
        </w:rPr>
        <w:t>Data were analysed using descriptive statistics; continuous variables were expressed as mean ± SD, categorical variables as frequencies and percentages. Odds ratios with 95% confidence intervals were calculated on univariate analysis, and variables significant at p&lt;0.10 were entered into a multivariate logistic regression model. A p-value &lt;0.05 was considered significant.</w:t>
      </w:r>
    </w:p>
    <w:p w:rsidR="002416D4" w:rsidRDefault="002416D4" w:rsidP="00ED4BE0">
      <w:pPr>
        <w:pStyle w:val="Heading1"/>
        <w:spacing w:line="360" w:lineRule="auto"/>
        <w:jc w:val="both"/>
        <w:rPr>
          <w:b/>
          <w:bCs/>
          <w:color w:val="000000"/>
          <w:sz w:val="20"/>
          <w:szCs w:val="20"/>
        </w:rPr>
      </w:pPr>
    </w:p>
    <w:p w:rsidR="007C4CD8" w:rsidRPr="00ED4BE0" w:rsidRDefault="000853BF" w:rsidP="00ED4BE0">
      <w:pPr>
        <w:pStyle w:val="Heading1"/>
        <w:spacing w:line="360" w:lineRule="auto"/>
        <w:jc w:val="both"/>
        <w:rPr>
          <w:sz w:val="20"/>
          <w:szCs w:val="20"/>
        </w:rPr>
      </w:pPr>
      <w:r w:rsidRPr="00ED4BE0">
        <w:rPr>
          <w:b/>
          <w:bCs/>
          <w:color w:val="000000"/>
          <w:sz w:val="20"/>
          <w:szCs w:val="20"/>
        </w:rPr>
        <w:t>Results</w:t>
      </w:r>
    </w:p>
    <w:p w:rsidR="007C4CD8" w:rsidRPr="00ED4BE0" w:rsidRDefault="000853BF" w:rsidP="00ED4BE0">
      <w:pPr>
        <w:spacing w:line="360" w:lineRule="auto"/>
        <w:jc w:val="both"/>
      </w:pPr>
      <w:r w:rsidRPr="00ED4BE0">
        <w:rPr>
          <w:color w:val="000000"/>
        </w:rPr>
        <w:t>Of the 220 patients studied, 121 (55.0%) were male and 99 (45.0%) were female. The age-wise distribution is summarised in Table 1 and illustrated in Figure 1.</w:t>
      </w:r>
    </w:p>
    <w:p w:rsidR="002416D4" w:rsidRDefault="002416D4" w:rsidP="00ED4BE0">
      <w:pPr>
        <w:spacing w:line="360" w:lineRule="auto"/>
        <w:jc w:val="both"/>
        <w:rPr>
          <w:b/>
          <w:bCs/>
          <w:color w:val="000000"/>
        </w:rPr>
      </w:pPr>
    </w:p>
    <w:p w:rsidR="002416D4" w:rsidRDefault="002416D4" w:rsidP="00ED4BE0">
      <w:pPr>
        <w:spacing w:line="360" w:lineRule="auto"/>
        <w:jc w:val="both"/>
        <w:rPr>
          <w:b/>
          <w:bCs/>
          <w:color w:val="000000"/>
        </w:rPr>
      </w:pPr>
    </w:p>
    <w:p w:rsidR="002416D4" w:rsidRDefault="002416D4" w:rsidP="00ED4BE0">
      <w:pPr>
        <w:spacing w:line="360" w:lineRule="auto"/>
        <w:jc w:val="both"/>
        <w:rPr>
          <w:b/>
          <w:bCs/>
          <w:color w:val="000000"/>
        </w:rPr>
      </w:pPr>
    </w:p>
    <w:p w:rsidR="002416D4" w:rsidRDefault="002416D4" w:rsidP="00ED4BE0">
      <w:pPr>
        <w:spacing w:line="360" w:lineRule="auto"/>
        <w:jc w:val="both"/>
        <w:rPr>
          <w:b/>
          <w:bCs/>
          <w:color w:val="000000"/>
        </w:rPr>
      </w:pPr>
    </w:p>
    <w:p w:rsidR="002416D4" w:rsidRDefault="002416D4" w:rsidP="00ED4BE0">
      <w:pPr>
        <w:spacing w:line="360" w:lineRule="auto"/>
        <w:jc w:val="both"/>
        <w:rPr>
          <w:b/>
          <w:bCs/>
          <w:color w:val="000000"/>
        </w:rPr>
      </w:pPr>
    </w:p>
    <w:p w:rsidR="007C4CD8" w:rsidRPr="00ED4BE0" w:rsidRDefault="000853BF" w:rsidP="00ED4BE0">
      <w:pPr>
        <w:spacing w:line="360" w:lineRule="auto"/>
        <w:jc w:val="both"/>
      </w:pPr>
      <w:r w:rsidRPr="00ED4BE0">
        <w:rPr>
          <w:b/>
          <w:bCs/>
          <w:color w:val="000000"/>
        </w:rPr>
        <w:t>Table 1: Age and Gender-wise Distribution of Study Subjects (n = 220)</w:t>
      </w:r>
    </w:p>
    <w:tbl>
      <w:tblPr>
        <w:tblW w:w="8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64"/>
        <w:gridCol w:w="1429"/>
        <w:gridCol w:w="1429"/>
        <w:gridCol w:w="1429"/>
        <w:gridCol w:w="1747"/>
      </w:tblGrid>
      <w:tr w:rsidR="007C4CD8" w:rsidRPr="00ED4BE0" w:rsidTr="002416D4">
        <w:trPr>
          <w:trHeight w:val="385"/>
          <w:tblHeader/>
        </w:trPr>
        <w:tc>
          <w:tcPr>
            <w:tcW w:w="2064" w:type="dxa"/>
            <w:shd w:val="clear" w:color="auto" w:fill="E8E8E8"/>
            <w:vAlign w:val="center"/>
          </w:tcPr>
          <w:p w:rsidR="007C4CD8" w:rsidRPr="00ED4BE0" w:rsidRDefault="000853BF" w:rsidP="002416D4">
            <w:pPr>
              <w:spacing w:line="360" w:lineRule="auto"/>
              <w:jc w:val="center"/>
            </w:pPr>
            <w:r w:rsidRPr="00ED4BE0">
              <w:rPr>
                <w:b/>
                <w:bCs/>
                <w:color w:val="000000"/>
              </w:rPr>
              <w:t>Age Group (years)</w:t>
            </w:r>
          </w:p>
        </w:tc>
        <w:tc>
          <w:tcPr>
            <w:tcW w:w="1429" w:type="dxa"/>
            <w:shd w:val="clear" w:color="auto" w:fill="E8E8E8"/>
            <w:vAlign w:val="center"/>
          </w:tcPr>
          <w:p w:rsidR="007C4CD8" w:rsidRPr="00ED4BE0" w:rsidRDefault="000853BF" w:rsidP="002416D4">
            <w:pPr>
              <w:spacing w:line="360" w:lineRule="auto"/>
              <w:jc w:val="center"/>
            </w:pPr>
            <w:r w:rsidRPr="00ED4BE0">
              <w:rPr>
                <w:b/>
                <w:bCs/>
                <w:color w:val="000000"/>
              </w:rPr>
              <w:t>Male (n)</w:t>
            </w:r>
          </w:p>
        </w:tc>
        <w:tc>
          <w:tcPr>
            <w:tcW w:w="1429" w:type="dxa"/>
            <w:shd w:val="clear" w:color="auto" w:fill="E8E8E8"/>
            <w:vAlign w:val="center"/>
          </w:tcPr>
          <w:p w:rsidR="007C4CD8" w:rsidRPr="00ED4BE0" w:rsidRDefault="000853BF" w:rsidP="002416D4">
            <w:pPr>
              <w:spacing w:line="360" w:lineRule="auto"/>
              <w:jc w:val="center"/>
            </w:pPr>
            <w:r w:rsidRPr="00ED4BE0">
              <w:rPr>
                <w:b/>
                <w:bCs/>
                <w:color w:val="000000"/>
              </w:rPr>
              <w:t>Female (n)</w:t>
            </w:r>
          </w:p>
        </w:tc>
        <w:tc>
          <w:tcPr>
            <w:tcW w:w="1429" w:type="dxa"/>
            <w:shd w:val="clear" w:color="auto" w:fill="E8E8E8"/>
            <w:vAlign w:val="center"/>
          </w:tcPr>
          <w:p w:rsidR="007C4CD8" w:rsidRPr="00ED4BE0" w:rsidRDefault="000853BF" w:rsidP="002416D4">
            <w:pPr>
              <w:spacing w:line="360" w:lineRule="auto"/>
              <w:jc w:val="center"/>
            </w:pPr>
            <w:r w:rsidRPr="00ED4BE0">
              <w:rPr>
                <w:b/>
                <w:bCs/>
                <w:color w:val="000000"/>
              </w:rPr>
              <w:t>Total (n)</w:t>
            </w:r>
          </w:p>
        </w:tc>
        <w:tc>
          <w:tcPr>
            <w:tcW w:w="1747" w:type="dxa"/>
            <w:shd w:val="clear" w:color="auto" w:fill="E8E8E8"/>
            <w:vAlign w:val="center"/>
          </w:tcPr>
          <w:p w:rsidR="007C4CD8" w:rsidRPr="00ED4BE0" w:rsidRDefault="000853BF" w:rsidP="002416D4">
            <w:pPr>
              <w:spacing w:line="360" w:lineRule="auto"/>
              <w:jc w:val="center"/>
            </w:pPr>
            <w:r w:rsidRPr="00ED4BE0">
              <w:rPr>
                <w:b/>
                <w:bCs/>
                <w:color w:val="000000"/>
              </w:rPr>
              <w:t>Percentage (%)</w:t>
            </w:r>
          </w:p>
        </w:tc>
      </w:tr>
      <w:tr w:rsidR="007C4CD8" w:rsidRPr="00ED4BE0" w:rsidTr="002416D4">
        <w:trPr>
          <w:trHeight w:val="398"/>
        </w:trPr>
        <w:tc>
          <w:tcPr>
            <w:tcW w:w="2064" w:type="dxa"/>
            <w:vAlign w:val="center"/>
          </w:tcPr>
          <w:p w:rsidR="007C4CD8" w:rsidRPr="00ED4BE0" w:rsidRDefault="000853BF" w:rsidP="002416D4">
            <w:pPr>
              <w:spacing w:line="360" w:lineRule="auto"/>
              <w:jc w:val="center"/>
            </w:pPr>
            <w:r w:rsidRPr="00ED4BE0">
              <w:rPr>
                <w:color w:val="000000"/>
              </w:rPr>
              <w:t>30–39</w:t>
            </w:r>
          </w:p>
        </w:tc>
        <w:tc>
          <w:tcPr>
            <w:tcW w:w="1429" w:type="dxa"/>
            <w:vAlign w:val="center"/>
          </w:tcPr>
          <w:p w:rsidR="007C4CD8" w:rsidRPr="00ED4BE0" w:rsidRDefault="000853BF" w:rsidP="002416D4">
            <w:pPr>
              <w:spacing w:line="360" w:lineRule="auto"/>
              <w:jc w:val="center"/>
            </w:pPr>
            <w:r w:rsidRPr="00ED4BE0">
              <w:rPr>
                <w:color w:val="000000"/>
              </w:rPr>
              <w:t>15</w:t>
            </w:r>
          </w:p>
        </w:tc>
        <w:tc>
          <w:tcPr>
            <w:tcW w:w="1429" w:type="dxa"/>
            <w:vAlign w:val="center"/>
          </w:tcPr>
          <w:p w:rsidR="007C4CD8" w:rsidRPr="00ED4BE0" w:rsidRDefault="000853BF" w:rsidP="002416D4">
            <w:pPr>
              <w:spacing w:line="360" w:lineRule="auto"/>
              <w:jc w:val="center"/>
            </w:pPr>
            <w:r w:rsidRPr="00ED4BE0">
              <w:rPr>
                <w:color w:val="000000"/>
              </w:rPr>
              <w:t>11</w:t>
            </w:r>
          </w:p>
        </w:tc>
        <w:tc>
          <w:tcPr>
            <w:tcW w:w="1429" w:type="dxa"/>
            <w:vAlign w:val="center"/>
          </w:tcPr>
          <w:p w:rsidR="007C4CD8" w:rsidRPr="00ED4BE0" w:rsidRDefault="000853BF" w:rsidP="002416D4">
            <w:pPr>
              <w:spacing w:line="360" w:lineRule="auto"/>
              <w:jc w:val="center"/>
            </w:pPr>
            <w:r w:rsidRPr="00ED4BE0">
              <w:rPr>
                <w:color w:val="000000"/>
              </w:rPr>
              <w:t>26</w:t>
            </w:r>
          </w:p>
        </w:tc>
        <w:tc>
          <w:tcPr>
            <w:tcW w:w="1747" w:type="dxa"/>
            <w:vAlign w:val="center"/>
          </w:tcPr>
          <w:p w:rsidR="007C4CD8" w:rsidRPr="00ED4BE0" w:rsidRDefault="000853BF" w:rsidP="002416D4">
            <w:pPr>
              <w:spacing w:line="360" w:lineRule="auto"/>
              <w:jc w:val="center"/>
            </w:pPr>
            <w:r w:rsidRPr="00ED4BE0">
              <w:rPr>
                <w:color w:val="000000"/>
              </w:rPr>
              <w:t>11.8</w:t>
            </w:r>
          </w:p>
        </w:tc>
      </w:tr>
      <w:tr w:rsidR="007C4CD8" w:rsidRPr="00ED4BE0" w:rsidTr="002416D4">
        <w:trPr>
          <w:trHeight w:val="385"/>
        </w:trPr>
        <w:tc>
          <w:tcPr>
            <w:tcW w:w="2064" w:type="dxa"/>
            <w:vAlign w:val="center"/>
          </w:tcPr>
          <w:p w:rsidR="007C4CD8" w:rsidRPr="00ED4BE0" w:rsidRDefault="000853BF" w:rsidP="002416D4">
            <w:pPr>
              <w:spacing w:line="360" w:lineRule="auto"/>
              <w:jc w:val="center"/>
            </w:pPr>
            <w:r w:rsidRPr="00ED4BE0">
              <w:rPr>
                <w:color w:val="000000"/>
              </w:rPr>
              <w:t>40–49</w:t>
            </w:r>
          </w:p>
        </w:tc>
        <w:tc>
          <w:tcPr>
            <w:tcW w:w="1429" w:type="dxa"/>
            <w:vAlign w:val="center"/>
          </w:tcPr>
          <w:p w:rsidR="007C4CD8" w:rsidRPr="00ED4BE0" w:rsidRDefault="000853BF" w:rsidP="002416D4">
            <w:pPr>
              <w:spacing w:line="360" w:lineRule="auto"/>
              <w:jc w:val="center"/>
            </w:pPr>
            <w:r w:rsidRPr="00ED4BE0">
              <w:rPr>
                <w:color w:val="000000"/>
              </w:rPr>
              <w:t>30</w:t>
            </w:r>
          </w:p>
        </w:tc>
        <w:tc>
          <w:tcPr>
            <w:tcW w:w="1429" w:type="dxa"/>
            <w:vAlign w:val="center"/>
          </w:tcPr>
          <w:p w:rsidR="007C4CD8" w:rsidRPr="00ED4BE0" w:rsidRDefault="000853BF" w:rsidP="002416D4">
            <w:pPr>
              <w:spacing w:line="360" w:lineRule="auto"/>
              <w:jc w:val="center"/>
            </w:pPr>
            <w:r w:rsidRPr="00ED4BE0">
              <w:rPr>
                <w:color w:val="000000"/>
              </w:rPr>
              <w:t>24</w:t>
            </w:r>
          </w:p>
        </w:tc>
        <w:tc>
          <w:tcPr>
            <w:tcW w:w="1429" w:type="dxa"/>
            <w:vAlign w:val="center"/>
          </w:tcPr>
          <w:p w:rsidR="007C4CD8" w:rsidRPr="00ED4BE0" w:rsidRDefault="000853BF" w:rsidP="002416D4">
            <w:pPr>
              <w:spacing w:line="360" w:lineRule="auto"/>
              <w:jc w:val="center"/>
            </w:pPr>
            <w:r w:rsidRPr="00ED4BE0">
              <w:rPr>
                <w:color w:val="000000"/>
              </w:rPr>
              <w:t>54</w:t>
            </w:r>
          </w:p>
        </w:tc>
        <w:tc>
          <w:tcPr>
            <w:tcW w:w="1747" w:type="dxa"/>
            <w:vAlign w:val="center"/>
          </w:tcPr>
          <w:p w:rsidR="007C4CD8" w:rsidRPr="00ED4BE0" w:rsidRDefault="000853BF" w:rsidP="002416D4">
            <w:pPr>
              <w:spacing w:line="360" w:lineRule="auto"/>
              <w:jc w:val="center"/>
            </w:pPr>
            <w:r w:rsidRPr="00ED4BE0">
              <w:rPr>
                <w:color w:val="000000"/>
              </w:rPr>
              <w:t>24.5</w:t>
            </w:r>
          </w:p>
        </w:tc>
      </w:tr>
      <w:tr w:rsidR="007C4CD8" w:rsidRPr="00ED4BE0" w:rsidTr="002416D4">
        <w:trPr>
          <w:trHeight w:val="398"/>
        </w:trPr>
        <w:tc>
          <w:tcPr>
            <w:tcW w:w="2064" w:type="dxa"/>
            <w:vAlign w:val="center"/>
          </w:tcPr>
          <w:p w:rsidR="007C4CD8" w:rsidRPr="00ED4BE0" w:rsidRDefault="000853BF" w:rsidP="002416D4">
            <w:pPr>
              <w:spacing w:line="360" w:lineRule="auto"/>
              <w:jc w:val="center"/>
            </w:pPr>
            <w:r w:rsidRPr="00ED4BE0">
              <w:rPr>
                <w:color w:val="000000"/>
              </w:rPr>
              <w:t>50–59</w:t>
            </w:r>
          </w:p>
        </w:tc>
        <w:tc>
          <w:tcPr>
            <w:tcW w:w="1429" w:type="dxa"/>
            <w:vAlign w:val="center"/>
          </w:tcPr>
          <w:p w:rsidR="007C4CD8" w:rsidRPr="00ED4BE0" w:rsidRDefault="000853BF" w:rsidP="002416D4">
            <w:pPr>
              <w:spacing w:line="360" w:lineRule="auto"/>
              <w:jc w:val="center"/>
            </w:pPr>
            <w:r w:rsidRPr="00ED4BE0">
              <w:rPr>
                <w:color w:val="000000"/>
              </w:rPr>
              <w:t>39</w:t>
            </w:r>
          </w:p>
        </w:tc>
        <w:tc>
          <w:tcPr>
            <w:tcW w:w="1429" w:type="dxa"/>
            <w:vAlign w:val="center"/>
          </w:tcPr>
          <w:p w:rsidR="007C4CD8" w:rsidRPr="00ED4BE0" w:rsidRDefault="000853BF" w:rsidP="002416D4">
            <w:pPr>
              <w:spacing w:line="360" w:lineRule="auto"/>
              <w:jc w:val="center"/>
            </w:pPr>
            <w:r w:rsidRPr="00ED4BE0">
              <w:rPr>
                <w:color w:val="000000"/>
              </w:rPr>
              <w:t>33</w:t>
            </w:r>
          </w:p>
        </w:tc>
        <w:tc>
          <w:tcPr>
            <w:tcW w:w="1429" w:type="dxa"/>
            <w:vAlign w:val="center"/>
          </w:tcPr>
          <w:p w:rsidR="007C4CD8" w:rsidRPr="00ED4BE0" w:rsidRDefault="000853BF" w:rsidP="002416D4">
            <w:pPr>
              <w:spacing w:line="360" w:lineRule="auto"/>
              <w:jc w:val="center"/>
            </w:pPr>
            <w:r w:rsidRPr="00ED4BE0">
              <w:rPr>
                <w:color w:val="000000"/>
              </w:rPr>
              <w:t>72</w:t>
            </w:r>
          </w:p>
        </w:tc>
        <w:tc>
          <w:tcPr>
            <w:tcW w:w="1747" w:type="dxa"/>
            <w:vAlign w:val="center"/>
          </w:tcPr>
          <w:p w:rsidR="007C4CD8" w:rsidRPr="00ED4BE0" w:rsidRDefault="000853BF" w:rsidP="002416D4">
            <w:pPr>
              <w:spacing w:line="360" w:lineRule="auto"/>
              <w:jc w:val="center"/>
            </w:pPr>
            <w:r w:rsidRPr="00ED4BE0">
              <w:rPr>
                <w:color w:val="000000"/>
              </w:rPr>
              <w:t>32.7</w:t>
            </w:r>
          </w:p>
        </w:tc>
      </w:tr>
      <w:tr w:rsidR="007C4CD8" w:rsidRPr="00ED4BE0" w:rsidTr="002416D4">
        <w:trPr>
          <w:trHeight w:val="398"/>
        </w:trPr>
        <w:tc>
          <w:tcPr>
            <w:tcW w:w="2064" w:type="dxa"/>
            <w:vAlign w:val="center"/>
          </w:tcPr>
          <w:p w:rsidR="007C4CD8" w:rsidRPr="00ED4BE0" w:rsidRDefault="000853BF" w:rsidP="002416D4">
            <w:pPr>
              <w:spacing w:line="360" w:lineRule="auto"/>
              <w:jc w:val="center"/>
            </w:pPr>
            <w:r w:rsidRPr="00ED4BE0">
              <w:rPr>
                <w:color w:val="000000"/>
              </w:rPr>
              <w:t>60–69</w:t>
            </w:r>
          </w:p>
        </w:tc>
        <w:tc>
          <w:tcPr>
            <w:tcW w:w="1429" w:type="dxa"/>
            <w:vAlign w:val="center"/>
          </w:tcPr>
          <w:p w:rsidR="007C4CD8" w:rsidRPr="00ED4BE0" w:rsidRDefault="000853BF" w:rsidP="002416D4">
            <w:pPr>
              <w:spacing w:line="360" w:lineRule="auto"/>
              <w:jc w:val="center"/>
            </w:pPr>
            <w:r w:rsidRPr="00ED4BE0">
              <w:rPr>
                <w:color w:val="000000"/>
              </w:rPr>
              <w:t>27</w:t>
            </w:r>
          </w:p>
        </w:tc>
        <w:tc>
          <w:tcPr>
            <w:tcW w:w="1429" w:type="dxa"/>
            <w:vAlign w:val="center"/>
          </w:tcPr>
          <w:p w:rsidR="007C4CD8" w:rsidRPr="00ED4BE0" w:rsidRDefault="000853BF" w:rsidP="002416D4">
            <w:pPr>
              <w:spacing w:line="360" w:lineRule="auto"/>
              <w:jc w:val="center"/>
            </w:pPr>
            <w:r w:rsidRPr="00ED4BE0">
              <w:rPr>
                <w:color w:val="000000"/>
              </w:rPr>
              <w:t>23</w:t>
            </w:r>
          </w:p>
        </w:tc>
        <w:tc>
          <w:tcPr>
            <w:tcW w:w="1429" w:type="dxa"/>
            <w:vAlign w:val="center"/>
          </w:tcPr>
          <w:p w:rsidR="007C4CD8" w:rsidRPr="00ED4BE0" w:rsidRDefault="000853BF" w:rsidP="002416D4">
            <w:pPr>
              <w:spacing w:line="360" w:lineRule="auto"/>
              <w:jc w:val="center"/>
            </w:pPr>
            <w:r w:rsidRPr="00ED4BE0">
              <w:rPr>
                <w:color w:val="000000"/>
              </w:rPr>
              <w:t>50</w:t>
            </w:r>
          </w:p>
        </w:tc>
        <w:tc>
          <w:tcPr>
            <w:tcW w:w="1747" w:type="dxa"/>
            <w:vAlign w:val="center"/>
          </w:tcPr>
          <w:p w:rsidR="007C4CD8" w:rsidRPr="00ED4BE0" w:rsidRDefault="000853BF" w:rsidP="002416D4">
            <w:pPr>
              <w:spacing w:line="360" w:lineRule="auto"/>
              <w:jc w:val="center"/>
            </w:pPr>
            <w:r w:rsidRPr="00ED4BE0">
              <w:rPr>
                <w:color w:val="000000"/>
              </w:rPr>
              <w:t>22.7</w:t>
            </w:r>
          </w:p>
        </w:tc>
      </w:tr>
      <w:tr w:rsidR="007C4CD8" w:rsidRPr="00ED4BE0" w:rsidTr="002416D4">
        <w:trPr>
          <w:trHeight w:val="385"/>
        </w:trPr>
        <w:tc>
          <w:tcPr>
            <w:tcW w:w="2064" w:type="dxa"/>
            <w:vAlign w:val="center"/>
          </w:tcPr>
          <w:p w:rsidR="007C4CD8" w:rsidRPr="00ED4BE0" w:rsidRDefault="000853BF" w:rsidP="002416D4">
            <w:pPr>
              <w:spacing w:line="360" w:lineRule="auto"/>
              <w:jc w:val="center"/>
            </w:pPr>
            <w:r w:rsidRPr="00ED4BE0">
              <w:rPr>
                <w:color w:val="000000"/>
              </w:rPr>
              <w:t>70 and above</w:t>
            </w:r>
          </w:p>
        </w:tc>
        <w:tc>
          <w:tcPr>
            <w:tcW w:w="1429" w:type="dxa"/>
            <w:vAlign w:val="center"/>
          </w:tcPr>
          <w:p w:rsidR="007C4CD8" w:rsidRPr="00ED4BE0" w:rsidRDefault="000853BF" w:rsidP="002416D4">
            <w:pPr>
              <w:spacing w:line="360" w:lineRule="auto"/>
              <w:jc w:val="center"/>
            </w:pPr>
            <w:r w:rsidRPr="00ED4BE0">
              <w:rPr>
                <w:color w:val="000000"/>
              </w:rPr>
              <w:t>10</w:t>
            </w:r>
          </w:p>
        </w:tc>
        <w:tc>
          <w:tcPr>
            <w:tcW w:w="1429" w:type="dxa"/>
            <w:vAlign w:val="center"/>
          </w:tcPr>
          <w:p w:rsidR="007C4CD8" w:rsidRPr="00ED4BE0" w:rsidRDefault="000853BF" w:rsidP="002416D4">
            <w:pPr>
              <w:spacing w:line="360" w:lineRule="auto"/>
              <w:jc w:val="center"/>
            </w:pPr>
            <w:r w:rsidRPr="00ED4BE0">
              <w:rPr>
                <w:color w:val="000000"/>
              </w:rPr>
              <w:t>8</w:t>
            </w:r>
          </w:p>
        </w:tc>
        <w:tc>
          <w:tcPr>
            <w:tcW w:w="1429" w:type="dxa"/>
            <w:vAlign w:val="center"/>
          </w:tcPr>
          <w:p w:rsidR="007C4CD8" w:rsidRPr="00ED4BE0" w:rsidRDefault="000853BF" w:rsidP="002416D4">
            <w:pPr>
              <w:spacing w:line="360" w:lineRule="auto"/>
              <w:jc w:val="center"/>
            </w:pPr>
            <w:r w:rsidRPr="00ED4BE0">
              <w:rPr>
                <w:color w:val="000000"/>
              </w:rPr>
              <w:t>18</w:t>
            </w:r>
          </w:p>
        </w:tc>
        <w:tc>
          <w:tcPr>
            <w:tcW w:w="1747" w:type="dxa"/>
            <w:vAlign w:val="center"/>
          </w:tcPr>
          <w:p w:rsidR="007C4CD8" w:rsidRPr="00ED4BE0" w:rsidRDefault="000853BF" w:rsidP="002416D4">
            <w:pPr>
              <w:spacing w:line="360" w:lineRule="auto"/>
              <w:jc w:val="center"/>
            </w:pPr>
            <w:r w:rsidRPr="00ED4BE0">
              <w:rPr>
                <w:color w:val="000000"/>
              </w:rPr>
              <w:t>8.2</w:t>
            </w:r>
          </w:p>
        </w:tc>
      </w:tr>
      <w:tr w:rsidR="007C4CD8" w:rsidRPr="00ED4BE0" w:rsidTr="002416D4">
        <w:trPr>
          <w:trHeight w:val="412"/>
        </w:trPr>
        <w:tc>
          <w:tcPr>
            <w:tcW w:w="2064" w:type="dxa"/>
            <w:vAlign w:val="center"/>
          </w:tcPr>
          <w:p w:rsidR="007C4CD8" w:rsidRPr="00ED4BE0" w:rsidRDefault="000853BF" w:rsidP="002416D4">
            <w:pPr>
              <w:spacing w:line="360" w:lineRule="auto"/>
              <w:jc w:val="center"/>
            </w:pPr>
            <w:r w:rsidRPr="00ED4BE0">
              <w:rPr>
                <w:color w:val="000000"/>
              </w:rPr>
              <w:t>Total</w:t>
            </w:r>
          </w:p>
        </w:tc>
        <w:tc>
          <w:tcPr>
            <w:tcW w:w="1429" w:type="dxa"/>
            <w:vAlign w:val="center"/>
          </w:tcPr>
          <w:p w:rsidR="007C4CD8" w:rsidRPr="00ED4BE0" w:rsidRDefault="000853BF" w:rsidP="002416D4">
            <w:pPr>
              <w:spacing w:line="360" w:lineRule="auto"/>
              <w:jc w:val="center"/>
            </w:pPr>
            <w:r w:rsidRPr="00ED4BE0">
              <w:rPr>
                <w:color w:val="000000"/>
              </w:rPr>
              <w:t>121</w:t>
            </w:r>
          </w:p>
        </w:tc>
        <w:tc>
          <w:tcPr>
            <w:tcW w:w="1429" w:type="dxa"/>
            <w:vAlign w:val="center"/>
          </w:tcPr>
          <w:p w:rsidR="007C4CD8" w:rsidRPr="00ED4BE0" w:rsidRDefault="000853BF" w:rsidP="002416D4">
            <w:pPr>
              <w:spacing w:line="360" w:lineRule="auto"/>
              <w:jc w:val="center"/>
            </w:pPr>
            <w:r w:rsidRPr="00ED4BE0">
              <w:rPr>
                <w:color w:val="000000"/>
              </w:rPr>
              <w:t>99</w:t>
            </w:r>
          </w:p>
        </w:tc>
        <w:tc>
          <w:tcPr>
            <w:tcW w:w="1429" w:type="dxa"/>
            <w:vAlign w:val="center"/>
          </w:tcPr>
          <w:p w:rsidR="007C4CD8" w:rsidRPr="00ED4BE0" w:rsidRDefault="000853BF" w:rsidP="002416D4">
            <w:pPr>
              <w:spacing w:line="360" w:lineRule="auto"/>
              <w:jc w:val="center"/>
            </w:pPr>
            <w:r w:rsidRPr="00ED4BE0">
              <w:rPr>
                <w:color w:val="000000"/>
              </w:rPr>
              <w:t>220</w:t>
            </w:r>
          </w:p>
        </w:tc>
        <w:tc>
          <w:tcPr>
            <w:tcW w:w="1747" w:type="dxa"/>
            <w:vAlign w:val="center"/>
          </w:tcPr>
          <w:p w:rsidR="007C4CD8" w:rsidRPr="00ED4BE0" w:rsidRDefault="000853BF" w:rsidP="002416D4">
            <w:pPr>
              <w:spacing w:line="360" w:lineRule="auto"/>
              <w:jc w:val="center"/>
            </w:pPr>
            <w:r w:rsidRPr="00ED4BE0">
              <w:rPr>
                <w:color w:val="000000"/>
              </w:rPr>
              <w:t>100.0</w:t>
            </w:r>
          </w:p>
        </w:tc>
      </w:tr>
    </w:tbl>
    <w:p w:rsidR="007C4CD8" w:rsidRPr="00ED4BE0" w:rsidRDefault="007C4CD8" w:rsidP="00ED4BE0">
      <w:pPr>
        <w:spacing w:line="360" w:lineRule="auto"/>
        <w:jc w:val="both"/>
      </w:pPr>
    </w:p>
    <w:p w:rsidR="007C4CD8" w:rsidRPr="00ED4BE0" w:rsidRDefault="000853BF" w:rsidP="00ED4BE0">
      <w:pPr>
        <w:spacing w:line="360" w:lineRule="auto"/>
        <w:jc w:val="both"/>
      </w:pPr>
      <w:r w:rsidRPr="00ED4BE0">
        <w:rPr>
          <w:noProof/>
          <w:lang w:val="en-IN" w:eastAsia="en-IN"/>
        </w:rPr>
        <w:drawing>
          <wp:inline distT="0" distB="0" distL="0" distR="0" wp14:anchorId="07EEE6C7" wp14:editId="731824ED">
            <wp:extent cx="3836773" cy="24688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srcRect/>
                    <a:stretch>
                      <a:fillRect/>
                    </a:stretch>
                  </pic:blipFill>
                  <pic:spPr bwMode="auto">
                    <a:xfrm>
                      <a:off x="0" y="0"/>
                      <a:ext cx="3836773" cy="2468880"/>
                    </a:xfrm>
                    <a:prstGeom prst="rect">
                      <a:avLst/>
                    </a:prstGeom>
                  </pic:spPr>
                </pic:pic>
              </a:graphicData>
            </a:graphic>
          </wp:inline>
        </w:drawing>
      </w:r>
    </w:p>
    <w:p w:rsidR="007C4CD8" w:rsidRPr="00ED4BE0" w:rsidRDefault="000853BF" w:rsidP="00ED4BE0">
      <w:pPr>
        <w:spacing w:line="360" w:lineRule="auto"/>
        <w:jc w:val="both"/>
      </w:pPr>
      <w:r w:rsidRPr="00ED4BE0">
        <w:rPr>
          <w:color w:val="000000"/>
        </w:rPr>
        <w:t>Mean clinical and biochemical parameters are shown in Table 2.</w:t>
      </w:r>
    </w:p>
    <w:p w:rsidR="007C4CD8" w:rsidRPr="00ED4BE0" w:rsidRDefault="000853BF" w:rsidP="00ED4BE0">
      <w:pPr>
        <w:spacing w:line="360" w:lineRule="auto"/>
        <w:jc w:val="both"/>
      </w:pPr>
      <w:r w:rsidRPr="00ED4BE0">
        <w:rPr>
          <w:b/>
          <w:bCs/>
          <w:color w:val="000000"/>
        </w:rPr>
        <w:t>Table 2: Clinical and Biochemical Parameters of Study Participants</w:t>
      </w:r>
    </w:p>
    <w:tbl>
      <w:tblPr>
        <w:tblW w:w="8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38"/>
        <w:gridCol w:w="4075"/>
      </w:tblGrid>
      <w:tr w:rsidR="007C4CD8" w:rsidRPr="00ED4BE0" w:rsidTr="002416D4">
        <w:trPr>
          <w:trHeight w:val="376"/>
          <w:tblHeader/>
        </w:trPr>
        <w:tc>
          <w:tcPr>
            <w:tcW w:w="4238" w:type="dxa"/>
            <w:shd w:val="clear" w:color="auto" w:fill="E8E8E8"/>
            <w:vAlign w:val="center"/>
          </w:tcPr>
          <w:p w:rsidR="007C4CD8" w:rsidRPr="00ED4BE0" w:rsidRDefault="000853BF" w:rsidP="002416D4">
            <w:pPr>
              <w:spacing w:line="360" w:lineRule="auto"/>
              <w:jc w:val="center"/>
            </w:pPr>
            <w:r w:rsidRPr="00ED4BE0">
              <w:rPr>
                <w:b/>
                <w:bCs/>
                <w:color w:val="000000"/>
              </w:rPr>
              <w:t>Parameter</w:t>
            </w:r>
          </w:p>
        </w:tc>
        <w:tc>
          <w:tcPr>
            <w:tcW w:w="4075" w:type="dxa"/>
            <w:shd w:val="clear" w:color="auto" w:fill="E8E8E8"/>
            <w:vAlign w:val="center"/>
          </w:tcPr>
          <w:p w:rsidR="007C4CD8" w:rsidRPr="00ED4BE0" w:rsidRDefault="000853BF" w:rsidP="002416D4">
            <w:pPr>
              <w:spacing w:line="360" w:lineRule="auto"/>
              <w:jc w:val="center"/>
            </w:pPr>
            <w:r w:rsidRPr="00ED4BE0">
              <w:rPr>
                <w:b/>
                <w:bCs/>
                <w:color w:val="000000"/>
              </w:rPr>
              <w:t>Mean ± SD</w:t>
            </w:r>
          </w:p>
        </w:tc>
      </w:tr>
      <w:tr w:rsidR="007C4CD8" w:rsidRPr="00ED4BE0" w:rsidTr="002416D4">
        <w:trPr>
          <w:trHeight w:val="363"/>
        </w:trPr>
        <w:tc>
          <w:tcPr>
            <w:tcW w:w="4238" w:type="dxa"/>
            <w:vAlign w:val="center"/>
          </w:tcPr>
          <w:p w:rsidR="007C4CD8" w:rsidRPr="00ED4BE0" w:rsidRDefault="000853BF" w:rsidP="002416D4">
            <w:pPr>
              <w:spacing w:line="360" w:lineRule="auto"/>
              <w:jc w:val="center"/>
            </w:pPr>
            <w:r w:rsidRPr="00ED4BE0">
              <w:rPr>
                <w:color w:val="000000"/>
              </w:rPr>
              <w:t>Age (years)</w:t>
            </w:r>
          </w:p>
        </w:tc>
        <w:tc>
          <w:tcPr>
            <w:tcW w:w="4075" w:type="dxa"/>
            <w:vAlign w:val="center"/>
          </w:tcPr>
          <w:p w:rsidR="007C4CD8" w:rsidRPr="00ED4BE0" w:rsidRDefault="000853BF" w:rsidP="002416D4">
            <w:pPr>
              <w:spacing w:line="360" w:lineRule="auto"/>
              <w:jc w:val="center"/>
            </w:pPr>
            <w:r w:rsidRPr="00ED4BE0">
              <w:rPr>
                <w:color w:val="000000"/>
              </w:rPr>
              <w:t>53.1 ± 11.2</w:t>
            </w:r>
          </w:p>
        </w:tc>
      </w:tr>
      <w:tr w:rsidR="007C4CD8" w:rsidRPr="00ED4BE0" w:rsidTr="002416D4">
        <w:trPr>
          <w:trHeight w:val="376"/>
        </w:trPr>
        <w:tc>
          <w:tcPr>
            <w:tcW w:w="4238" w:type="dxa"/>
            <w:vAlign w:val="center"/>
          </w:tcPr>
          <w:p w:rsidR="007C4CD8" w:rsidRPr="00ED4BE0" w:rsidRDefault="000853BF" w:rsidP="002416D4">
            <w:pPr>
              <w:spacing w:line="360" w:lineRule="auto"/>
              <w:jc w:val="center"/>
            </w:pPr>
            <w:r w:rsidRPr="00ED4BE0">
              <w:rPr>
                <w:color w:val="000000"/>
              </w:rPr>
              <w:t>Duration of diabetes (years)</w:t>
            </w:r>
          </w:p>
        </w:tc>
        <w:tc>
          <w:tcPr>
            <w:tcW w:w="4075" w:type="dxa"/>
            <w:vAlign w:val="center"/>
          </w:tcPr>
          <w:p w:rsidR="007C4CD8" w:rsidRPr="00ED4BE0" w:rsidRDefault="000853BF" w:rsidP="002416D4">
            <w:pPr>
              <w:spacing w:line="360" w:lineRule="auto"/>
              <w:jc w:val="center"/>
            </w:pPr>
            <w:r w:rsidRPr="00ED4BE0">
              <w:rPr>
                <w:color w:val="000000"/>
              </w:rPr>
              <w:t>8.2 ± 5.9</w:t>
            </w:r>
          </w:p>
        </w:tc>
      </w:tr>
      <w:tr w:rsidR="007C4CD8" w:rsidRPr="00ED4BE0" w:rsidTr="002416D4">
        <w:trPr>
          <w:trHeight w:val="376"/>
        </w:trPr>
        <w:tc>
          <w:tcPr>
            <w:tcW w:w="4238" w:type="dxa"/>
            <w:vAlign w:val="center"/>
          </w:tcPr>
          <w:p w:rsidR="007C4CD8" w:rsidRPr="00ED4BE0" w:rsidRDefault="000853BF" w:rsidP="002416D4">
            <w:pPr>
              <w:spacing w:line="360" w:lineRule="auto"/>
              <w:jc w:val="center"/>
            </w:pPr>
            <w:r w:rsidRPr="00ED4BE0">
              <w:rPr>
                <w:color w:val="000000"/>
              </w:rPr>
              <w:t>Body mass index (kg/m²)</w:t>
            </w:r>
          </w:p>
        </w:tc>
        <w:tc>
          <w:tcPr>
            <w:tcW w:w="4075" w:type="dxa"/>
            <w:vAlign w:val="center"/>
          </w:tcPr>
          <w:p w:rsidR="007C4CD8" w:rsidRPr="00ED4BE0" w:rsidRDefault="000853BF" w:rsidP="002416D4">
            <w:pPr>
              <w:spacing w:line="360" w:lineRule="auto"/>
              <w:jc w:val="center"/>
            </w:pPr>
            <w:r w:rsidRPr="00ED4BE0">
              <w:rPr>
                <w:color w:val="000000"/>
              </w:rPr>
              <w:t>27.8 ± 4.4</w:t>
            </w:r>
          </w:p>
        </w:tc>
      </w:tr>
      <w:tr w:rsidR="007C4CD8" w:rsidRPr="00ED4BE0" w:rsidTr="002416D4">
        <w:trPr>
          <w:trHeight w:val="363"/>
        </w:trPr>
        <w:tc>
          <w:tcPr>
            <w:tcW w:w="4238" w:type="dxa"/>
            <w:vAlign w:val="center"/>
          </w:tcPr>
          <w:p w:rsidR="007C4CD8" w:rsidRPr="00ED4BE0" w:rsidRDefault="000853BF" w:rsidP="002416D4">
            <w:pPr>
              <w:spacing w:line="360" w:lineRule="auto"/>
              <w:jc w:val="center"/>
            </w:pPr>
            <w:r w:rsidRPr="00ED4BE0">
              <w:rPr>
                <w:color w:val="000000"/>
              </w:rPr>
              <w:t>HbA1c (%)</w:t>
            </w:r>
          </w:p>
        </w:tc>
        <w:tc>
          <w:tcPr>
            <w:tcW w:w="4075" w:type="dxa"/>
            <w:vAlign w:val="center"/>
          </w:tcPr>
          <w:p w:rsidR="007C4CD8" w:rsidRPr="00ED4BE0" w:rsidRDefault="000853BF" w:rsidP="002416D4">
            <w:pPr>
              <w:spacing w:line="360" w:lineRule="auto"/>
              <w:jc w:val="center"/>
            </w:pPr>
            <w:r w:rsidRPr="00ED4BE0">
              <w:rPr>
                <w:color w:val="000000"/>
              </w:rPr>
              <w:t>8.3 ± 1.7</w:t>
            </w:r>
          </w:p>
        </w:tc>
      </w:tr>
      <w:tr w:rsidR="007C4CD8" w:rsidRPr="00ED4BE0" w:rsidTr="002416D4">
        <w:trPr>
          <w:trHeight w:val="376"/>
        </w:trPr>
        <w:tc>
          <w:tcPr>
            <w:tcW w:w="4238" w:type="dxa"/>
            <w:vAlign w:val="center"/>
          </w:tcPr>
          <w:p w:rsidR="007C4CD8" w:rsidRPr="00ED4BE0" w:rsidRDefault="000853BF" w:rsidP="002416D4">
            <w:pPr>
              <w:spacing w:line="360" w:lineRule="auto"/>
              <w:jc w:val="center"/>
            </w:pPr>
            <w:r w:rsidRPr="00ED4BE0">
              <w:rPr>
                <w:color w:val="000000"/>
              </w:rPr>
              <w:t>Serum ALT (U/L)</w:t>
            </w:r>
          </w:p>
        </w:tc>
        <w:tc>
          <w:tcPr>
            <w:tcW w:w="4075" w:type="dxa"/>
            <w:vAlign w:val="center"/>
          </w:tcPr>
          <w:p w:rsidR="007C4CD8" w:rsidRPr="00ED4BE0" w:rsidRDefault="000853BF" w:rsidP="002416D4">
            <w:pPr>
              <w:spacing w:line="360" w:lineRule="auto"/>
              <w:jc w:val="center"/>
            </w:pPr>
            <w:r w:rsidRPr="00ED4BE0">
              <w:rPr>
                <w:color w:val="000000"/>
              </w:rPr>
              <w:t>42.6 ± 24.8</w:t>
            </w:r>
          </w:p>
        </w:tc>
      </w:tr>
      <w:tr w:rsidR="007C4CD8" w:rsidRPr="00ED4BE0" w:rsidTr="002416D4">
        <w:trPr>
          <w:trHeight w:val="376"/>
        </w:trPr>
        <w:tc>
          <w:tcPr>
            <w:tcW w:w="4238" w:type="dxa"/>
            <w:vAlign w:val="center"/>
          </w:tcPr>
          <w:p w:rsidR="007C4CD8" w:rsidRPr="00ED4BE0" w:rsidRDefault="000853BF" w:rsidP="002416D4">
            <w:pPr>
              <w:spacing w:line="360" w:lineRule="auto"/>
              <w:jc w:val="center"/>
            </w:pPr>
            <w:r w:rsidRPr="00ED4BE0">
              <w:rPr>
                <w:color w:val="000000"/>
              </w:rPr>
              <w:t>Serum triglycerides (mg/dL)</w:t>
            </w:r>
          </w:p>
        </w:tc>
        <w:tc>
          <w:tcPr>
            <w:tcW w:w="4075" w:type="dxa"/>
            <w:vAlign w:val="center"/>
          </w:tcPr>
          <w:p w:rsidR="007C4CD8" w:rsidRPr="00ED4BE0" w:rsidRDefault="000853BF" w:rsidP="002416D4">
            <w:pPr>
              <w:spacing w:line="360" w:lineRule="auto"/>
              <w:jc w:val="center"/>
            </w:pPr>
            <w:r w:rsidRPr="00ED4BE0">
              <w:rPr>
                <w:color w:val="000000"/>
              </w:rPr>
              <w:t>178.4 ± 68.2</w:t>
            </w:r>
          </w:p>
        </w:tc>
      </w:tr>
    </w:tbl>
    <w:p w:rsidR="007C4CD8" w:rsidRPr="00ED4BE0" w:rsidRDefault="007C4CD8" w:rsidP="00ED4BE0">
      <w:pPr>
        <w:spacing w:line="360" w:lineRule="auto"/>
        <w:jc w:val="both"/>
      </w:pPr>
    </w:p>
    <w:p w:rsidR="007C4CD8" w:rsidRPr="00ED4BE0" w:rsidRDefault="000853BF" w:rsidP="00ED4BE0">
      <w:pPr>
        <w:spacing w:line="360" w:lineRule="auto"/>
        <w:jc w:val="both"/>
      </w:pPr>
      <w:r w:rsidRPr="00ED4BE0">
        <w:rPr>
          <w:color w:val="000000"/>
        </w:rPr>
        <w:t>The overall prevalence of NAFLD on ultrasonography was 61.8% (136/220; 95% CI 55.2–68.1) (Table 3, Figure 2).</w:t>
      </w:r>
    </w:p>
    <w:p w:rsidR="007C4CD8" w:rsidRPr="00ED4BE0" w:rsidRDefault="000853BF" w:rsidP="00ED4BE0">
      <w:pPr>
        <w:spacing w:line="360" w:lineRule="auto"/>
        <w:jc w:val="both"/>
      </w:pPr>
      <w:r w:rsidRPr="00ED4BE0">
        <w:rPr>
          <w:b/>
          <w:bCs/>
          <w:color w:val="000000"/>
        </w:rPr>
        <w:t>Table 3: Prevalence of NAFLD Among Study Participants</w:t>
      </w:r>
    </w:p>
    <w:tbl>
      <w:tblPr>
        <w:tblW w:w="7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72"/>
        <w:gridCol w:w="1257"/>
        <w:gridCol w:w="1257"/>
        <w:gridCol w:w="1257"/>
      </w:tblGrid>
      <w:tr w:rsidR="007C4CD8" w:rsidRPr="00ED4BE0" w:rsidTr="002416D4">
        <w:trPr>
          <w:trHeight w:val="377"/>
          <w:tblHeader/>
        </w:trPr>
        <w:tc>
          <w:tcPr>
            <w:tcW w:w="3772" w:type="dxa"/>
            <w:shd w:val="clear" w:color="auto" w:fill="E8E8E8"/>
            <w:vAlign w:val="center"/>
          </w:tcPr>
          <w:p w:rsidR="007C4CD8" w:rsidRPr="00ED4BE0" w:rsidRDefault="000853BF" w:rsidP="002416D4">
            <w:pPr>
              <w:spacing w:line="360" w:lineRule="auto"/>
              <w:jc w:val="center"/>
            </w:pPr>
            <w:r w:rsidRPr="00ED4BE0">
              <w:rPr>
                <w:b/>
                <w:bCs/>
                <w:color w:val="000000"/>
              </w:rPr>
              <w:t>NAFLD Status (Ultrasound)</w:t>
            </w:r>
          </w:p>
        </w:tc>
        <w:tc>
          <w:tcPr>
            <w:tcW w:w="1257" w:type="dxa"/>
            <w:shd w:val="clear" w:color="auto" w:fill="E8E8E8"/>
            <w:vAlign w:val="center"/>
          </w:tcPr>
          <w:p w:rsidR="007C4CD8" w:rsidRPr="00ED4BE0" w:rsidRDefault="000853BF" w:rsidP="002416D4">
            <w:pPr>
              <w:spacing w:line="360" w:lineRule="auto"/>
              <w:jc w:val="center"/>
            </w:pPr>
            <w:r w:rsidRPr="00ED4BE0">
              <w:rPr>
                <w:b/>
                <w:bCs/>
                <w:color w:val="000000"/>
              </w:rPr>
              <w:t>n</w:t>
            </w:r>
          </w:p>
        </w:tc>
        <w:tc>
          <w:tcPr>
            <w:tcW w:w="1257" w:type="dxa"/>
            <w:shd w:val="clear" w:color="auto" w:fill="E8E8E8"/>
            <w:vAlign w:val="center"/>
          </w:tcPr>
          <w:p w:rsidR="007C4CD8" w:rsidRPr="00ED4BE0" w:rsidRDefault="000853BF" w:rsidP="002416D4">
            <w:pPr>
              <w:spacing w:line="360" w:lineRule="auto"/>
              <w:jc w:val="center"/>
            </w:pPr>
            <w:r w:rsidRPr="00ED4BE0">
              <w:rPr>
                <w:b/>
                <w:bCs/>
                <w:color w:val="000000"/>
              </w:rPr>
              <w:t>Percentage</w:t>
            </w:r>
          </w:p>
        </w:tc>
        <w:tc>
          <w:tcPr>
            <w:tcW w:w="1257" w:type="dxa"/>
            <w:shd w:val="clear" w:color="auto" w:fill="E8E8E8"/>
            <w:vAlign w:val="center"/>
          </w:tcPr>
          <w:p w:rsidR="007C4CD8" w:rsidRPr="00ED4BE0" w:rsidRDefault="000853BF" w:rsidP="002416D4">
            <w:pPr>
              <w:spacing w:line="360" w:lineRule="auto"/>
              <w:jc w:val="center"/>
            </w:pPr>
            <w:r w:rsidRPr="00ED4BE0">
              <w:rPr>
                <w:b/>
                <w:bCs/>
                <w:color w:val="000000"/>
              </w:rPr>
              <w:t>95% CI</w:t>
            </w:r>
          </w:p>
        </w:tc>
      </w:tr>
      <w:tr w:rsidR="007C4CD8" w:rsidRPr="00ED4BE0" w:rsidTr="002416D4">
        <w:trPr>
          <w:trHeight w:val="364"/>
        </w:trPr>
        <w:tc>
          <w:tcPr>
            <w:tcW w:w="3772" w:type="dxa"/>
            <w:vAlign w:val="center"/>
          </w:tcPr>
          <w:p w:rsidR="007C4CD8" w:rsidRPr="00ED4BE0" w:rsidRDefault="000853BF" w:rsidP="002416D4">
            <w:pPr>
              <w:spacing w:line="360" w:lineRule="auto"/>
              <w:jc w:val="center"/>
            </w:pPr>
            <w:r w:rsidRPr="00ED4BE0">
              <w:rPr>
                <w:color w:val="000000"/>
              </w:rPr>
              <w:t>Present</w:t>
            </w:r>
          </w:p>
        </w:tc>
        <w:tc>
          <w:tcPr>
            <w:tcW w:w="1257" w:type="dxa"/>
            <w:vAlign w:val="center"/>
          </w:tcPr>
          <w:p w:rsidR="007C4CD8" w:rsidRPr="00ED4BE0" w:rsidRDefault="000853BF" w:rsidP="002416D4">
            <w:pPr>
              <w:spacing w:line="360" w:lineRule="auto"/>
              <w:jc w:val="center"/>
            </w:pPr>
            <w:r w:rsidRPr="00ED4BE0">
              <w:rPr>
                <w:color w:val="000000"/>
              </w:rPr>
              <w:t>136</w:t>
            </w:r>
          </w:p>
        </w:tc>
        <w:tc>
          <w:tcPr>
            <w:tcW w:w="1257" w:type="dxa"/>
            <w:vAlign w:val="center"/>
          </w:tcPr>
          <w:p w:rsidR="007C4CD8" w:rsidRPr="00ED4BE0" w:rsidRDefault="000853BF" w:rsidP="002416D4">
            <w:pPr>
              <w:spacing w:line="360" w:lineRule="auto"/>
              <w:jc w:val="center"/>
            </w:pPr>
            <w:r w:rsidRPr="00ED4BE0">
              <w:rPr>
                <w:color w:val="000000"/>
              </w:rPr>
              <w:t>61.8%</w:t>
            </w:r>
          </w:p>
        </w:tc>
        <w:tc>
          <w:tcPr>
            <w:tcW w:w="1257" w:type="dxa"/>
            <w:vAlign w:val="center"/>
          </w:tcPr>
          <w:p w:rsidR="007C4CD8" w:rsidRPr="00ED4BE0" w:rsidRDefault="000853BF" w:rsidP="002416D4">
            <w:pPr>
              <w:spacing w:line="360" w:lineRule="auto"/>
              <w:jc w:val="center"/>
            </w:pPr>
            <w:r w:rsidRPr="00ED4BE0">
              <w:rPr>
                <w:color w:val="000000"/>
              </w:rPr>
              <w:t>55.2 – 68.1</w:t>
            </w:r>
          </w:p>
        </w:tc>
      </w:tr>
      <w:tr w:rsidR="007C4CD8" w:rsidRPr="00ED4BE0" w:rsidTr="002416D4">
        <w:trPr>
          <w:trHeight w:val="377"/>
        </w:trPr>
        <w:tc>
          <w:tcPr>
            <w:tcW w:w="3772" w:type="dxa"/>
            <w:vAlign w:val="center"/>
          </w:tcPr>
          <w:p w:rsidR="007C4CD8" w:rsidRPr="00ED4BE0" w:rsidRDefault="000853BF" w:rsidP="002416D4">
            <w:pPr>
              <w:spacing w:line="360" w:lineRule="auto"/>
              <w:jc w:val="center"/>
            </w:pPr>
            <w:r w:rsidRPr="00ED4BE0">
              <w:rPr>
                <w:color w:val="000000"/>
              </w:rPr>
              <w:t>Absent</w:t>
            </w:r>
          </w:p>
        </w:tc>
        <w:tc>
          <w:tcPr>
            <w:tcW w:w="1257" w:type="dxa"/>
            <w:vAlign w:val="center"/>
          </w:tcPr>
          <w:p w:rsidR="007C4CD8" w:rsidRPr="00ED4BE0" w:rsidRDefault="000853BF" w:rsidP="002416D4">
            <w:pPr>
              <w:spacing w:line="360" w:lineRule="auto"/>
              <w:jc w:val="center"/>
            </w:pPr>
            <w:r w:rsidRPr="00ED4BE0">
              <w:rPr>
                <w:color w:val="000000"/>
              </w:rPr>
              <w:t>84</w:t>
            </w:r>
          </w:p>
        </w:tc>
        <w:tc>
          <w:tcPr>
            <w:tcW w:w="1257" w:type="dxa"/>
            <w:vAlign w:val="center"/>
          </w:tcPr>
          <w:p w:rsidR="007C4CD8" w:rsidRPr="00ED4BE0" w:rsidRDefault="000853BF" w:rsidP="002416D4">
            <w:pPr>
              <w:spacing w:line="360" w:lineRule="auto"/>
              <w:jc w:val="center"/>
            </w:pPr>
            <w:r w:rsidRPr="00ED4BE0">
              <w:rPr>
                <w:color w:val="000000"/>
              </w:rPr>
              <w:t>38.2%</w:t>
            </w:r>
          </w:p>
        </w:tc>
        <w:tc>
          <w:tcPr>
            <w:tcW w:w="1257" w:type="dxa"/>
            <w:vAlign w:val="center"/>
          </w:tcPr>
          <w:p w:rsidR="007C4CD8" w:rsidRPr="00ED4BE0" w:rsidRDefault="000853BF" w:rsidP="002416D4">
            <w:pPr>
              <w:spacing w:line="360" w:lineRule="auto"/>
              <w:jc w:val="center"/>
            </w:pPr>
            <w:r w:rsidRPr="00ED4BE0">
              <w:rPr>
                <w:color w:val="000000"/>
              </w:rPr>
              <w:t>31.9 – 44.8</w:t>
            </w:r>
          </w:p>
        </w:tc>
      </w:tr>
      <w:tr w:rsidR="007C4CD8" w:rsidRPr="00ED4BE0" w:rsidTr="002416D4">
        <w:trPr>
          <w:trHeight w:val="377"/>
        </w:trPr>
        <w:tc>
          <w:tcPr>
            <w:tcW w:w="3772" w:type="dxa"/>
            <w:vAlign w:val="center"/>
          </w:tcPr>
          <w:p w:rsidR="007C4CD8" w:rsidRPr="00ED4BE0" w:rsidRDefault="000853BF" w:rsidP="002416D4">
            <w:pPr>
              <w:spacing w:line="360" w:lineRule="auto"/>
              <w:jc w:val="center"/>
            </w:pPr>
            <w:r w:rsidRPr="00ED4BE0">
              <w:rPr>
                <w:color w:val="000000"/>
              </w:rPr>
              <w:t>Total</w:t>
            </w:r>
          </w:p>
        </w:tc>
        <w:tc>
          <w:tcPr>
            <w:tcW w:w="1257" w:type="dxa"/>
            <w:vAlign w:val="center"/>
          </w:tcPr>
          <w:p w:rsidR="007C4CD8" w:rsidRPr="00ED4BE0" w:rsidRDefault="000853BF" w:rsidP="002416D4">
            <w:pPr>
              <w:spacing w:line="360" w:lineRule="auto"/>
              <w:jc w:val="center"/>
            </w:pPr>
            <w:r w:rsidRPr="00ED4BE0">
              <w:rPr>
                <w:color w:val="000000"/>
              </w:rPr>
              <w:t>220</w:t>
            </w:r>
          </w:p>
        </w:tc>
        <w:tc>
          <w:tcPr>
            <w:tcW w:w="1257" w:type="dxa"/>
            <w:vAlign w:val="center"/>
          </w:tcPr>
          <w:p w:rsidR="007C4CD8" w:rsidRPr="00ED4BE0" w:rsidRDefault="000853BF" w:rsidP="002416D4">
            <w:pPr>
              <w:spacing w:line="360" w:lineRule="auto"/>
              <w:jc w:val="center"/>
            </w:pPr>
            <w:r w:rsidRPr="00ED4BE0">
              <w:rPr>
                <w:color w:val="000000"/>
              </w:rPr>
              <w:t>100.0%</w:t>
            </w:r>
          </w:p>
        </w:tc>
        <w:tc>
          <w:tcPr>
            <w:tcW w:w="1257" w:type="dxa"/>
            <w:vAlign w:val="center"/>
          </w:tcPr>
          <w:p w:rsidR="007C4CD8" w:rsidRPr="00ED4BE0" w:rsidRDefault="000853BF" w:rsidP="002416D4">
            <w:pPr>
              <w:spacing w:line="360" w:lineRule="auto"/>
              <w:jc w:val="center"/>
            </w:pPr>
            <w:r w:rsidRPr="00ED4BE0">
              <w:rPr>
                <w:color w:val="000000"/>
              </w:rPr>
              <w:t>—</w:t>
            </w:r>
          </w:p>
        </w:tc>
      </w:tr>
    </w:tbl>
    <w:p w:rsidR="007C4CD8" w:rsidRPr="00ED4BE0" w:rsidRDefault="007C4CD8" w:rsidP="00ED4BE0">
      <w:pPr>
        <w:spacing w:line="360" w:lineRule="auto"/>
        <w:jc w:val="both"/>
      </w:pPr>
    </w:p>
    <w:p w:rsidR="007C4CD8" w:rsidRPr="00ED4BE0" w:rsidRDefault="000853BF" w:rsidP="00ED4BE0">
      <w:pPr>
        <w:spacing w:line="360" w:lineRule="auto"/>
        <w:jc w:val="both"/>
      </w:pPr>
      <w:r w:rsidRPr="00ED4BE0">
        <w:rPr>
          <w:noProof/>
          <w:lang w:val="en-IN" w:eastAsia="en-IN"/>
        </w:rPr>
        <w:drawing>
          <wp:inline distT="0" distB="0" distL="0" distR="0" wp14:anchorId="004D80A0" wp14:editId="384C3C96">
            <wp:extent cx="2859974" cy="22021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srcRect/>
                    <a:stretch>
                      <a:fillRect/>
                    </a:stretch>
                  </pic:blipFill>
                  <pic:spPr bwMode="auto">
                    <a:xfrm>
                      <a:off x="0" y="0"/>
                      <a:ext cx="2859974" cy="2202180"/>
                    </a:xfrm>
                    <a:prstGeom prst="rect">
                      <a:avLst/>
                    </a:prstGeom>
                  </pic:spPr>
                </pic:pic>
              </a:graphicData>
            </a:graphic>
          </wp:inline>
        </w:drawing>
      </w:r>
    </w:p>
    <w:p w:rsidR="007C4CD8" w:rsidRPr="00ED4BE0" w:rsidRDefault="000853BF" w:rsidP="00ED4BE0">
      <w:pPr>
        <w:spacing w:line="360" w:lineRule="auto"/>
        <w:jc w:val="both"/>
      </w:pPr>
      <w:r w:rsidRPr="00ED4BE0">
        <w:rPr>
          <w:color w:val="000000"/>
        </w:rPr>
        <w:t>Grade I (mild) steatosis was the most common finding among NAFLD-positive patients (52.9%), followed by Grade II (33.8%) and Grade III (13.2%) (Table 4, Figure 3).</w:t>
      </w:r>
    </w:p>
    <w:p w:rsidR="007C4CD8" w:rsidRPr="00ED4BE0" w:rsidRDefault="000853BF" w:rsidP="00ED4BE0">
      <w:pPr>
        <w:spacing w:line="360" w:lineRule="auto"/>
        <w:jc w:val="both"/>
      </w:pPr>
      <w:r w:rsidRPr="00ED4BE0">
        <w:rPr>
          <w:b/>
          <w:bCs/>
          <w:color w:val="000000"/>
        </w:rPr>
        <w:t>Table 4: Grade of Hepatic Steatosis Among NAFLD-Positive Patients (n = 136)</w:t>
      </w:r>
    </w:p>
    <w:tbl>
      <w:tblPr>
        <w:tblW w:w="7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89"/>
        <w:gridCol w:w="1720"/>
        <w:gridCol w:w="1720"/>
      </w:tblGrid>
      <w:tr w:rsidR="007C4CD8" w:rsidRPr="00ED4BE0" w:rsidTr="002416D4">
        <w:trPr>
          <w:trHeight w:val="688"/>
          <w:tblHeader/>
        </w:trPr>
        <w:tc>
          <w:tcPr>
            <w:tcW w:w="4189" w:type="dxa"/>
            <w:shd w:val="clear" w:color="auto" w:fill="E8E8E8"/>
            <w:vAlign w:val="center"/>
          </w:tcPr>
          <w:p w:rsidR="007C4CD8" w:rsidRPr="00ED4BE0" w:rsidRDefault="000853BF" w:rsidP="002416D4">
            <w:pPr>
              <w:spacing w:line="360" w:lineRule="auto"/>
              <w:jc w:val="center"/>
            </w:pPr>
            <w:r w:rsidRPr="00ED4BE0">
              <w:rPr>
                <w:b/>
                <w:bCs/>
                <w:color w:val="000000"/>
              </w:rPr>
              <w:t>Grade of Hepatic Steatosis</w:t>
            </w:r>
          </w:p>
        </w:tc>
        <w:tc>
          <w:tcPr>
            <w:tcW w:w="1720" w:type="dxa"/>
            <w:shd w:val="clear" w:color="auto" w:fill="E8E8E8"/>
            <w:vAlign w:val="center"/>
          </w:tcPr>
          <w:p w:rsidR="007C4CD8" w:rsidRPr="00ED4BE0" w:rsidRDefault="000853BF" w:rsidP="002416D4">
            <w:pPr>
              <w:spacing w:line="360" w:lineRule="auto"/>
              <w:jc w:val="center"/>
            </w:pPr>
            <w:r w:rsidRPr="00ED4BE0">
              <w:rPr>
                <w:b/>
                <w:bCs/>
                <w:color w:val="000000"/>
              </w:rPr>
              <w:t>n</w:t>
            </w:r>
          </w:p>
        </w:tc>
        <w:tc>
          <w:tcPr>
            <w:tcW w:w="1720" w:type="dxa"/>
            <w:shd w:val="clear" w:color="auto" w:fill="E8E8E8"/>
            <w:vAlign w:val="center"/>
          </w:tcPr>
          <w:p w:rsidR="007C4CD8" w:rsidRPr="00ED4BE0" w:rsidRDefault="000853BF" w:rsidP="002416D4">
            <w:pPr>
              <w:spacing w:line="360" w:lineRule="auto"/>
              <w:jc w:val="center"/>
            </w:pPr>
            <w:r w:rsidRPr="00ED4BE0">
              <w:rPr>
                <w:b/>
                <w:bCs/>
                <w:color w:val="000000"/>
              </w:rPr>
              <w:t>Percentage of NAFLD Cases (%)</w:t>
            </w:r>
          </w:p>
        </w:tc>
      </w:tr>
      <w:tr w:rsidR="007C4CD8" w:rsidRPr="00ED4BE0" w:rsidTr="002416D4">
        <w:trPr>
          <w:trHeight w:val="338"/>
        </w:trPr>
        <w:tc>
          <w:tcPr>
            <w:tcW w:w="4189" w:type="dxa"/>
            <w:vAlign w:val="center"/>
          </w:tcPr>
          <w:p w:rsidR="007C4CD8" w:rsidRPr="00ED4BE0" w:rsidRDefault="000853BF" w:rsidP="002416D4">
            <w:pPr>
              <w:spacing w:line="360" w:lineRule="auto"/>
              <w:jc w:val="center"/>
            </w:pPr>
            <w:r w:rsidRPr="00ED4BE0">
              <w:rPr>
                <w:color w:val="000000"/>
              </w:rPr>
              <w:t>Grade I (Mild)</w:t>
            </w:r>
          </w:p>
        </w:tc>
        <w:tc>
          <w:tcPr>
            <w:tcW w:w="1720" w:type="dxa"/>
            <w:vAlign w:val="center"/>
          </w:tcPr>
          <w:p w:rsidR="007C4CD8" w:rsidRPr="00ED4BE0" w:rsidRDefault="000853BF" w:rsidP="002416D4">
            <w:pPr>
              <w:spacing w:line="360" w:lineRule="auto"/>
              <w:jc w:val="center"/>
            </w:pPr>
            <w:r w:rsidRPr="00ED4BE0">
              <w:rPr>
                <w:color w:val="000000"/>
              </w:rPr>
              <w:t>72</w:t>
            </w:r>
          </w:p>
        </w:tc>
        <w:tc>
          <w:tcPr>
            <w:tcW w:w="1720" w:type="dxa"/>
            <w:vAlign w:val="center"/>
          </w:tcPr>
          <w:p w:rsidR="007C4CD8" w:rsidRPr="00ED4BE0" w:rsidRDefault="000853BF" w:rsidP="002416D4">
            <w:pPr>
              <w:spacing w:line="360" w:lineRule="auto"/>
              <w:jc w:val="center"/>
            </w:pPr>
            <w:r w:rsidRPr="00ED4BE0">
              <w:rPr>
                <w:color w:val="000000"/>
              </w:rPr>
              <w:t>52.9</w:t>
            </w:r>
          </w:p>
        </w:tc>
      </w:tr>
      <w:tr w:rsidR="007C4CD8" w:rsidRPr="00ED4BE0" w:rsidTr="002416D4">
        <w:trPr>
          <w:trHeight w:val="350"/>
        </w:trPr>
        <w:tc>
          <w:tcPr>
            <w:tcW w:w="4189" w:type="dxa"/>
            <w:vAlign w:val="center"/>
          </w:tcPr>
          <w:p w:rsidR="007C4CD8" w:rsidRPr="00ED4BE0" w:rsidRDefault="000853BF" w:rsidP="002416D4">
            <w:pPr>
              <w:spacing w:line="360" w:lineRule="auto"/>
              <w:jc w:val="center"/>
            </w:pPr>
            <w:r w:rsidRPr="00ED4BE0">
              <w:rPr>
                <w:color w:val="000000"/>
              </w:rPr>
              <w:t>Grade II (Moderate)</w:t>
            </w:r>
          </w:p>
        </w:tc>
        <w:tc>
          <w:tcPr>
            <w:tcW w:w="1720" w:type="dxa"/>
            <w:vAlign w:val="center"/>
          </w:tcPr>
          <w:p w:rsidR="007C4CD8" w:rsidRPr="00ED4BE0" w:rsidRDefault="000853BF" w:rsidP="002416D4">
            <w:pPr>
              <w:spacing w:line="360" w:lineRule="auto"/>
              <w:jc w:val="center"/>
            </w:pPr>
            <w:r w:rsidRPr="00ED4BE0">
              <w:rPr>
                <w:color w:val="000000"/>
              </w:rPr>
              <w:t>46</w:t>
            </w:r>
          </w:p>
        </w:tc>
        <w:tc>
          <w:tcPr>
            <w:tcW w:w="1720" w:type="dxa"/>
            <w:vAlign w:val="center"/>
          </w:tcPr>
          <w:p w:rsidR="007C4CD8" w:rsidRPr="00ED4BE0" w:rsidRDefault="000853BF" w:rsidP="002416D4">
            <w:pPr>
              <w:spacing w:line="360" w:lineRule="auto"/>
              <w:jc w:val="center"/>
            </w:pPr>
            <w:r w:rsidRPr="00ED4BE0">
              <w:rPr>
                <w:color w:val="000000"/>
              </w:rPr>
              <w:t>33.8</w:t>
            </w:r>
          </w:p>
        </w:tc>
      </w:tr>
      <w:tr w:rsidR="007C4CD8" w:rsidRPr="00ED4BE0" w:rsidTr="002416D4">
        <w:trPr>
          <w:trHeight w:val="350"/>
        </w:trPr>
        <w:tc>
          <w:tcPr>
            <w:tcW w:w="4189" w:type="dxa"/>
            <w:vAlign w:val="center"/>
          </w:tcPr>
          <w:p w:rsidR="007C4CD8" w:rsidRPr="00ED4BE0" w:rsidRDefault="000853BF" w:rsidP="002416D4">
            <w:pPr>
              <w:spacing w:line="360" w:lineRule="auto"/>
              <w:jc w:val="center"/>
            </w:pPr>
            <w:r w:rsidRPr="00ED4BE0">
              <w:rPr>
                <w:color w:val="000000"/>
              </w:rPr>
              <w:t>Grade III (Severe)</w:t>
            </w:r>
          </w:p>
        </w:tc>
        <w:tc>
          <w:tcPr>
            <w:tcW w:w="1720" w:type="dxa"/>
            <w:vAlign w:val="center"/>
          </w:tcPr>
          <w:p w:rsidR="007C4CD8" w:rsidRPr="00ED4BE0" w:rsidRDefault="000853BF" w:rsidP="002416D4">
            <w:pPr>
              <w:spacing w:line="360" w:lineRule="auto"/>
              <w:jc w:val="center"/>
            </w:pPr>
            <w:r w:rsidRPr="00ED4BE0">
              <w:rPr>
                <w:color w:val="000000"/>
              </w:rPr>
              <w:t>18</w:t>
            </w:r>
          </w:p>
        </w:tc>
        <w:tc>
          <w:tcPr>
            <w:tcW w:w="1720" w:type="dxa"/>
            <w:vAlign w:val="center"/>
          </w:tcPr>
          <w:p w:rsidR="007C4CD8" w:rsidRPr="00ED4BE0" w:rsidRDefault="000853BF" w:rsidP="002416D4">
            <w:pPr>
              <w:spacing w:line="360" w:lineRule="auto"/>
              <w:jc w:val="center"/>
            </w:pPr>
            <w:r w:rsidRPr="00ED4BE0">
              <w:rPr>
                <w:color w:val="000000"/>
              </w:rPr>
              <w:t>13.2</w:t>
            </w:r>
          </w:p>
        </w:tc>
      </w:tr>
      <w:tr w:rsidR="007C4CD8" w:rsidRPr="00ED4BE0" w:rsidTr="002416D4">
        <w:trPr>
          <w:trHeight w:val="350"/>
        </w:trPr>
        <w:tc>
          <w:tcPr>
            <w:tcW w:w="4189" w:type="dxa"/>
            <w:vAlign w:val="center"/>
          </w:tcPr>
          <w:p w:rsidR="007C4CD8" w:rsidRPr="00ED4BE0" w:rsidRDefault="000853BF" w:rsidP="002416D4">
            <w:pPr>
              <w:spacing w:line="360" w:lineRule="auto"/>
              <w:jc w:val="center"/>
            </w:pPr>
            <w:r w:rsidRPr="00ED4BE0">
              <w:rPr>
                <w:color w:val="000000"/>
              </w:rPr>
              <w:t>Total</w:t>
            </w:r>
          </w:p>
        </w:tc>
        <w:tc>
          <w:tcPr>
            <w:tcW w:w="1720" w:type="dxa"/>
            <w:vAlign w:val="center"/>
          </w:tcPr>
          <w:p w:rsidR="007C4CD8" w:rsidRPr="00ED4BE0" w:rsidRDefault="000853BF" w:rsidP="002416D4">
            <w:pPr>
              <w:spacing w:line="360" w:lineRule="auto"/>
              <w:jc w:val="center"/>
            </w:pPr>
            <w:r w:rsidRPr="00ED4BE0">
              <w:rPr>
                <w:color w:val="000000"/>
              </w:rPr>
              <w:t>136</w:t>
            </w:r>
          </w:p>
        </w:tc>
        <w:tc>
          <w:tcPr>
            <w:tcW w:w="1720" w:type="dxa"/>
            <w:vAlign w:val="center"/>
          </w:tcPr>
          <w:p w:rsidR="007C4CD8" w:rsidRPr="00ED4BE0" w:rsidRDefault="000853BF" w:rsidP="002416D4">
            <w:pPr>
              <w:spacing w:line="360" w:lineRule="auto"/>
              <w:jc w:val="center"/>
            </w:pPr>
            <w:r w:rsidRPr="00ED4BE0">
              <w:rPr>
                <w:color w:val="000000"/>
              </w:rPr>
              <w:t>100.0</w:t>
            </w:r>
          </w:p>
        </w:tc>
      </w:tr>
    </w:tbl>
    <w:p w:rsidR="007C4CD8" w:rsidRPr="00ED4BE0" w:rsidRDefault="007C4CD8" w:rsidP="00ED4BE0">
      <w:pPr>
        <w:spacing w:line="360" w:lineRule="auto"/>
        <w:jc w:val="both"/>
      </w:pPr>
    </w:p>
    <w:p w:rsidR="007C4CD8" w:rsidRPr="00ED4BE0" w:rsidRDefault="000853BF" w:rsidP="00ED4BE0">
      <w:pPr>
        <w:spacing w:line="360" w:lineRule="auto"/>
        <w:jc w:val="both"/>
      </w:pPr>
      <w:r w:rsidRPr="00ED4BE0">
        <w:rPr>
          <w:noProof/>
          <w:lang w:val="en-IN" w:eastAsia="en-IN"/>
        </w:rPr>
        <w:drawing>
          <wp:inline distT="0" distB="0" distL="0" distR="0" wp14:anchorId="5FBD24C0" wp14:editId="7637D54E">
            <wp:extent cx="3352800" cy="21945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srcRect/>
                    <a:stretch>
                      <a:fillRect/>
                    </a:stretch>
                  </pic:blipFill>
                  <pic:spPr bwMode="auto">
                    <a:xfrm>
                      <a:off x="0" y="0"/>
                      <a:ext cx="3352800" cy="2194560"/>
                    </a:xfrm>
                    <a:prstGeom prst="rect">
                      <a:avLst/>
                    </a:prstGeom>
                  </pic:spPr>
                </pic:pic>
              </a:graphicData>
            </a:graphic>
          </wp:inline>
        </w:drawing>
      </w:r>
    </w:p>
    <w:p w:rsidR="007C4CD8" w:rsidRPr="00ED4BE0" w:rsidRDefault="000853BF" w:rsidP="00ED4BE0">
      <w:pPr>
        <w:spacing w:line="360" w:lineRule="auto"/>
        <w:jc w:val="both"/>
      </w:pPr>
      <w:r w:rsidRPr="00ED4BE0">
        <w:rPr>
          <w:color w:val="000000"/>
        </w:rPr>
        <w:t>NAFLD prevalence increased markedly with BMI category, from 41.7% among patients with BMI below 25 kg/m² to 73.0% among those with BMI 30 kg/m² or above (Figure 4).</w:t>
      </w:r>
    </w:p>
    <w:p w:rsidR="007C4CD8" w:rsidRPr="00ED4BE0" w:rsidRDefault="000853BF" w:rsidP="00ED4BE0">
      <w:pPr>
        <w:spacing w:line="360" w:lineRule="auto"/>
        <w:jc w:val="both"/>
      </w:pPr>
      <w:r w:rsidRPr="00ED4BE0">
        <w:rPr>
          <w:noProof/>
          <w:lang w:val="en-IN" w:eastAsia="en-IN"/>
        </w:rPr>
        <w:drawing>
          <wp:inline distT="0" distB="0" distL="0" distR="0" wp14:anchorId="56FEFF54" wp14:editId="0F962C3C">
            <wp:extent cx="3589020" cy="23094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srcRect/>
                    <a:stretch>
                      <a:fillRect/>
                    </a:stretch>
                  </pic:blipFill>
                  <pic:spPr bwMode="auto">
                    <a:xfrm>
                      <a:off x="0" y="0"/>
                      <a:ext cx="3589020" cy="2309456"/>
                    </a:xfrm>
                    <a:prstGeom prst="rect">
                      <a:avLst/>
                    </a:prstGeom>
                  </pic:spPr>
                </pic:pic>
              </a:graphicData>
            </a:graphic>
          </wp:inline>
        </w:drawing>
      </w:r>
    </w:p>
    <w:p w:rsidR="007C4CD8" w:rsidRPr="00ED4BE0" w:rsidRDefault="000853BF" w:rsidP="00ED4BE0">
      <w:pPr>
        <w:spacing w:line="360" w:lineRule="auto"/>
        <w:jc w:val="both"/>
      </w:pPr>
      <w:r w:rsidRPr="00ED4BE0">
        <w:rPr>
          <w:color w:val="000000"/>
        </w:rPr>
        <w:t>On univariate analysis, BMI ≥30 kg/m², HbA1c ≥9%, diabetes duration exceeding 10 years, and dyslipidaemia were significantly associated with NAFLD (Table 5).</w:t>
      </w:r>
    </w:p>
    <w:p w:rsidR="007C4CD8" w:rsidRPr="00ED4BE0" w:rsidRDefault="000853BF" w:rsidP="00ED4BE0">
      <w:pPr>
        <w:spacing w:line="360" w:lineRule="auto"/>
        <w:jc w:val="both"/>
      </w:pPr>
      <w:r w:rsidRPr="00ED4BE0">
        <w:rPr>
          <w:b/>
          <w:bCs/>
          <w:color w:val="000000"/>
        </w:rPr>
        <w:t>Table 5: Univariate Analysis of Factors Associated with NAFLD</w:t>
      </w:r>
    </w:p>
    <w:tbl>
      <w:tblPr>
        <w:tblW w:w="8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16"/>
        <w:gridCol w:w="2116"/>
        <w:gridCol w:w="1139"/>
        <w:gridCol w:w="1465"/>
        <w:gridCol w:w="1465"/>
      </w:tblGrid>
      <w:tr w:rsidR="007C4CD8" w:rsidRPr="00ED4BE0" w:rsidTr="002416D4">
        <w:trPr>
          <w:trHeight w:val="364"/>
          <w:tblHeader/>
        </w:trPr>
        <w:tc>
          <w:tcPr>
            <w:tcW w:w="2116" w:type="dxa"/>
            <w:shd w:val="clear" w:color="auto" w:fill="E8E8E8"/>
            <w:vAlign w:val="center"/>
          </w:tcPr>
          <w:p w:rsidR="007C4CD8" w:rsidRPr="00ED4BE0" w:rsidRDefault="000853BF" w:rsidP="002416D4">
            <w:pPr>
              <w:spacing w:line="360" w:lineRule="auto"/>
              <w:jc w:val="center"/>
            </w:pPr>
            <w:r w:rsidRPr="00ED4BE0">
              <w:rPr>
                <w:b/>
                <w:bCs/>
                <w:color w:val="000000"/>
              </w:rPr>
              <w:t>Variable</w:t>
            </w:r>
          </w:p>
        </w:tc>
        <w:tc>
          <w:tcPr>
            <w:tcW w:w="2116" w:type="dxa"/>
            <w:shd w:val="clear" w:color="auto" w:fill="E8E8E8"/>
            <w:vAlign w:val="center"/>
          </w:tcPr>
          <w:p w:rsidR="007C4CD8" w:rsidRPr="00ED4BE0" w:rsidRDefault="000853BF" w:rsidP="002416D4">
            <w:pPr>
              <w:spacing w:line="360" w:lineRule="auto"/>
              <w:jc w:val="center"/>
            </w:pPr>
            <w:r w:rsidRPr="00ED4BE0">
              <w:rPr>
                <w:b/>
                <w:bCs/>
                <w:color w:val="000000"/>
              </w:rPr>
              <w:t>Category</w:t>
            </w:r>
          </w:p>
        </w:tc>
        <w:tc>
          <w:tcPr>
            <w:tcW w:w="1139" w:type="dxa"/>
            <w:shd w:val="clear" w:color="auto" w:fill="E8E8E8"/>
            <w:vAlign w:val="center"/>
          </w:tcPr>
          <w:p w:rsidR="007C4CD8" w:rsidRPr="00ED4BE0" w:rsidRDefault="000853BF" w:rsidP="002416D4">
            <w:pPr>
              <w:spacing w:line="360" w:lineRule="auto"/>
              <w:jc w:val="center"/>
            </w:pPr>
            <w:r w:rsidRPr="00ED4BE0">
              <w:rPr>
                <w:b/>
                <w:bCs/>
                <w:color w:val="000000"/>
              </w:rPr>
              <w:t>OR</w:t>
            </w:r>
          </w:p>
        </w:tc>
        <w:tc>
          <w:tcPr>
            <w:tcW w:w="1465" w:type="dxa"/>
            <w:shd w:val="clear" w:color="auto" w:fill="E8E8E8"/>
            <w:vAlign w:val="center"/>
          </w:tcPr>
          <w:p w:rsidR="007C4CD8" w:rsidRPr="00ED4BE0" w:rsidRDefault="000853BF" w:rsidP="002416D4">
            <w:pPr>
              <w:spacing w:line="360" w:lineRule="auto"/>
              <w:jc w:val="center"/>
            </w:pPr>
            <w:r w:rsidRPr="00ED4BE0">
              <w:rPr>
                <w:b/>
                <w:bCs/>
                <w:color w:val="000000"/>
              </w:rPr>
              <w:t>95% CI</w:t>
            </w:r>
          </w:p>
        </w:tc>
        <w:tc>
          <w:tcPr>
            <w:tcW w:w="1465" w:type="dxa"/>
            <w:shd w:val="clear" w:color="auto" w:fill="E8E8E8"/>
            <w:vAlign w:val="center"/>
          </w:tcPr>
          <w:p w:rsidR="007C4CD8" w:rsidRPr="00ED4BE0" w:rsidRDefault="000853BF" w:rsidP="002416D4">
            <w:pPr>
              <w:spacing w:line="360" w:lineRule="auto"/>
              <w:jc w:val="center"/>
            </w:pPr>
            <w:r w:rsidRPr="00ED4BE0">
              <w:rPr>
                <w:b/>
                <w:bCs/>
                <w:color w:val="000000"/>
              </w:rPr>
              <w:t>P-value</w:t>
            </w:r>
          </w:p>
        </w:tc>
      </w:tr>
      <w:tr w:rsidR="007C4CD8" w:rsidRPr="00ED4BE0" w:rsidTr="002416D4">
        <w:trPr>
          <w:trHeight w:val="377"/>
        </w:trPr>
        <w:tc>
          <w:tcPr>
            <w:tcW w:w="2116" w:type="dxa"/>
            <w:vAlign w:val="center"/>
          </w:tcPr>
          <w:p w:rsidR="007C4CD8" w:rsidRPr="00ED4BE0" w:rsidRDefault="000853BF" w:rsidP="002416D4">
            <w:pPr>
              <w:spacing w:line="360" w:lineRule="auto"/>
              <w:jc w:val="center"/>
            </w:pPr>
            <w:r w:rsidRPr="00ED4BE0">
              <w:rPr>
                <w:color w:val="000000"/>
              </w:rPr>
              <w:t>Body mass index</w:t>
            </w:r>
          </w:p>
        </w:tc>
        <w:tc>
          <w:tcPr>
            <w:tcW w:w="2116" w:type="dxa"/>
            <w:vAlign w:val="center"/>
          </w:tcPr>
          <w:p w:rsidR="007C4CD8" w:rsidRPr="00ED4BE0" w:rsidRDefault="000853BF" w:rsidP="002416D4">
            <w:pPr>
              <w:spacing w:line="360" w:lineRule="auto"/>
              <w:jc w:val="center"/>
            </w:pPr>
            <w:r w:rsidRPr="00ED4BE0">
              <w:rPr>
                <w:color w:val="000000"/>
              </w:rPr>
              <w:t>≥30 vs &lt;25 kg/m²</w:t>
            </w:r>
          </w:p>
        </w:tc>
        <w:tc>
          <w:tcPr>
            <w:tcW w:w="1139" w:type="dxa"/>
            <w:vAlign w:val="center"/>
          </w:tcPr>
          <w:p w:rsidR="007C4CD8" w:rsidRPr="00ED4BE0" w:rsidRDefault="000853BF" w:rsidP="002416D4">
            <w:pPr>
              <w:spacing w:line="360" w:lineRule="auto"/>
              <w:jc w:val="center"/>
            </w:pPr>
            <w:r w:rsidRPr="00ED4BE0">
              <w:rPr>
                <w:color w:val="000000"/>
              </w:rPr>
              <w:t>3.87</w:t>
            </w:r>
          </w:p>
        </w:tc>
        <w:tc>
          <w:tcPr>
            <w:tcW w:w="1465" w:type="dxa"/>
            <w:vAlign w:val="center"/>
          </w:tcPr>
          <w:p w:rsidR="007C4CD8" w:rsidRPr="00ED4BE0" w:rsidRDefault="000853BF" w:rsidP="002416D4">
            <w:pPr>
              <w:spacing w:line="360" w:lineRule="auto"/>
              <w:jc w:val="center"/>
            </w:pPr>
            <w:r w:rsidRPr="00ED4BE0">
              <w:rPr>
                <w:color w:val="000000"/>
              </w:rPr>
              <w:t>1.79 – 8.36</w:t>
            </w:r>
          </w:p>
        </w:tc>
        <w:tc>
          <w:tcPr>
            <w:tcW w:w="1465" w:type="dxa"/>
            <w:vAlign w:val="center"/>
          </w:tcPr>
          <w:p w:rsidR="007C4CD8" w:rsidRPr="00ED4BE0" w:rsidRDefault="000853BF" w:rsidP="002416D4">
            <w:pPr>
              <w:spacing w:line="360" w:lineRule="auto"/>
              <w:jc w:val="center"/>
            </w:pPr>
            <w:r w:rsidRPr="00ED4BE0">
              <w:rPr>
                <w:color w:val="000000"/>
              </w:rPr>
              <w:t>&lt;0.001</w:t>
            </w:r>
          </w:p>
        </w:tc>
      </w:tr>
      <w:tr w:rsidR="007C4CD8" w:rsidRPr="00ED4BE0" w:rsidTr="002416D4">
        <w:trPr>
          <w:trHeight w:val="377"/>
        </w:trPr>
        <w:tc>
          <w:tcPr>
            <w:tcW w:w="2116" w:type="dxa"/>
            <w:vAlign w:val="center"/>
          </w:tcPr>
          <w:p w:rsidR="007C4CD8" w:rsidRPr="00ED4BE0" w:rsidRDefault="000853BF" w:rsidP="002416D4">
            <w:pPr>
              <w:spacing w:line="360" w:lineRule="auto"/>
              <w:jc w:val="center"/>
            </w:pPr>
            <w:r w:rsidRPr="00ED4BE0">
              <w:rPr>
                <w:color w:val="000000"/>
              </w:rPr>
              <w:t>Glycaemic control</w:t>
            </w:r>
          </w:p>
        </w:tc>
        <w:tc>
          <w:tcPr>
            <w:tcW w:w="2116" w:type="dxa"/>
            <w:vAlign w:val="center"/>
          </w:tcPr>
          <w:p w:rsidR="007C4CD8" w:rsidRPr="00ED4BE0" w:rsidRDefault="000853BF" w:rsidP="002416D4">
            <w:pPr>
              <w:spacing w:line="360" w:lineRule="auto"/>
              <w:jc w:val="center"/>
            </w:pPr>
            <w:r w:rsidRPr="00ED4BE0">
              <w:rPr>
                <w:color w:val="000000"/>
              </w:rPr>
              <w:t>HbA1c ≥9% vs &lt;7%</w:t>
            </w:r>
          </w:p>
        </w:tc>
        <w:tc>
          <w:tcPr>
            <w:tcW w:w="1139" w:type="dxa"/>
            <w:vAlign w:val="center"/>
          </w:tcPr>
          <w:p w:rsidR="007C4CD8" w:rsidRPr="00ED4BE0" w:rsidRDefault="000853BF" w:rsidP="002416D4">
            <w:pPr>
              <w:spacing w:line="360" w:lineRule="auto"/>
              <w:jc w:val="center"/>
            </w:pPr>
            <w:r w:rsidRPr="00ED4BE0">
              <w:rPr>
                <w:color w:val="000000"/>
              </w:rPr>
              <w:t>2.64</w:t>
            </w:r>
          </w:p>
        </w:tc>
        <w:tc>
          <w:tcPr>
            <w:tcW w:w="1465" w:type="dxa"/>
            <w:vAlign w:val="center"/>
          </w:tcPr>
          <w:p w:rsidR="007C4CD8" w:rsidRPr="00ED4BE0" w:rsidRDefault="000853BF" w:rsidP="002416D4">
            <w:pPr>
              <w:spacing w:line="360" w:lineRule="auto"/>
              <w:jc w:val="center"/>
            </w:pPr>
            <w:r w:rsidRPr="00ED4BE0">
              <w:rPr>
                <w:color w:val="000000"/>
              </w:rPr>
              <w:t>1.31 – 5.32</w:t>
            </w:r>
          </w:p>
        </w:tc>
        <w:tc>
          <w:tcPr>
            <w:tcW w:w="1465" w:type="dxa"/>
            <w:vAlign w:val="center"/>
          </w:tcPr>
          <w:p w:rsidR="007C4CD8" w:rsidRPr="00ED4BE0" w:rsidRDefault="000853BF" w:rsidP="002416D4">
            <w:pPr>
              <w:spacing w:line="360" w:lineRule="auto"/>
              <w:jc w:val="center"/>
            </w:pPr>
            <w:r w:rsidRPr="00ED4BE0">
              <w:rPr>
                <w:color w:val="000000"/>
              </w:rPr>
              <w:t>0.007</w:t>
            </w:r>
          </w:p>
        </w:tc>
      </w:tr>
      <w:tr w:rsidR="007C4CD8" w:rsidRPr="00ED4BE0" w:rsidTr="002416D4">
        <w:trPr>
          <w:trHeight w:val="364"/>
        </w:trPr>
        <w:tc>
          <w:tcPr>
            <w:tcW w:w="2116" w:type="dxa"/>
            <w:vAlign w:val="center"/>
          </w:tcPr>
          <w:p w:rsidR="007C4CD8" w:rsidRPr="00ED4BE0" w:rsidRDefault="000853BF" w:rsidP="002416D4">
            <w:pPr>
              <w:spacing w:line="360" w:lineRule="auto"/>
              <w:jc w:val="center"/>
            </w:pPr>
            <w:r w:rsidRPr="00ED4BE0">
              <w:rPr>
                <w:color w:val="000000"/>
              </w:rPr>
              <w:t>Duration of diabetes</w:t>
            </w:r>
          </w:p>
        </w:tc>
        <w:tc>
          <w:tcPr>
            <w:tcW w:w="2116" w:type="dxa"/>
            <w:vAlign w:val="center"/>
          </w:tcPr>
          <w:p w:rsidR="007C4CD8" w:rsidRPr="00ED4BE0" w:rsidRDefault="000853BF" w:rsidP="002416D4">
            <w:pPr>
              <w:spacing w:line="360" w:lineRule="auto"/>
              <w:jc w:val="center"/>
            </w:pPr>
            <w:r w:rsidRPr="00ED4BE0">
              <w:rPr>
                <w:color w:val="000000"/>
              </w:rPr>
              <w:t>&gt;10 vs ≤10 years</w:t>
            </w:r>
          </w:p>
        </w:tc>
        <w:tc>
          <w:tcPr>
            <w:tcW w:w="1139" w:type="dxa"/>
            <w:vAlign w:val="center"/>
          </w:tcPr>
          <w:p w:rsidR="007C4CD8" w:rsidRPr="00ED4BE0" w:rsidRDefault="000853BF" w:rsidP="002416D4">
            <w:pPr>
              <w:spacing w:line="360" w:lineRule="auto"/>
              <w:jc w:val="center"/>
            </w:pPr>
            <w:r w:rsidRPr="00ED4BE0">
              <w:rPr>
                <w:color w:val="000000"/>
              </w:rPr>
              <w:t>1.98</w:t>
            </w:r>
          </w:p>
        </w:tc>
        <w:tc>
          <w:tcPr>
            <w:tcW w:w="1465" w:type="dxa"/>
            <w:vAlign w:val="center"/>
          </w:tcPr>
          <w:p w:rsidR="007C4CD8" w:rsidRPr="00ED4BE0" w:rsidRDefault="000853BF" w:rsidP="002416D4">
            <w:pPr>
              <w:spacing w:line="360" w:lineRule="auto"/>
              <w:jc w:val="center"/>
            </w:pPr>
            <w:r w:rsidRPr="00ED4BE0">
              <w:rPr>
                <w:color w:val="000000"/>
              </w:rPr>
              <w:t>1.09 – 3.60</w:t>
            </w:r>
          </w:p>
        </w:tc>
        <w:tc>
          <w:tcPr>
            <w:tcW w:w="1465" w:type="dxa"/>
            <w:vAlign w:val="center"/>
          </w:tcPr>
          <w:p w:rsidR="007C4CD8" w:rsidRPr="00ED4BE0" w:rsidRDefault="000853BF" w:rsidP="002416D4">
            <w:pPr>
              <w:spacing w:line="360" w:lineRule="auto"/>
              <w:jc w:val="center"/>
            </w:pPr>
            <w:r w:rsidRPr="00ED4BE0">
              <w:rPr>
                <w:color w:val="000000"/>
              </w:rPr>
              <w:t>0.025</w:t>
            </w:r>
          </w:p>
        </w:tc>
      </w:tr>
      <w:tr w:rsidR="007C4CD8" w:rsidRPr="00ED4BE0" w:rsidTr="002416D4">
        <w:trPr>
          <w:trHeight w:val="377"/>
        </w:trPr>
        <w:tc>
          <w:tcPr>
            <w:tcW w:w="2116" w:type="dxa"/>
            <w:vAlign w:val="center"/>
          </w:tcPr>
          <w:p w:rsidR="007C4CD8" w:rsidRPr="00ED4BE0" w:rsidRDefault="000853BF" w:rsidP="002416D4">
            <w:pPr>
              <w:spacing w:line="360" w:lineRule="auto"/>
              <w:jc w:val="center"/>
            </w:pPr>
            <w:r w:rsidRPr="00ED4BE0">
              <w:rPr>
                <w:color w:val="000000"/>
              </w:rPr>
              <w:t>Dyslipidaemia</w:t>
            </w:r>
          </w:p>
        </w:tc>
        <w:tc>
          <w:tcPr>
            <w:tcW w:w="2116" w:type="dxa"/>
            <w:vAlign w:val="center"/>
          </w:tcPr>
          <w:p w:rsidR="007C4CD8" w:rsidRPr="00ED4BE0" w:rsidRDefault="000853BF" w:rsidP="002416D4">
            <w:pPr>
              <w:spacing w:line="360" w:lineRule="auto"/>
              <w:jc w:val="center"/>
            </w:pPr>
            <w:r w:rsidRPr="00ED4BE0">
              <w:rPr>
                <w:color w:val="000000"/>
              </w:rPr>
              <w:t>Present vs absent</w:t>
            </w:r>
          </w:p>
        </w:tc>
        <w:tc>
          <w:tcPr>
            <w:tcW w:w="1139" w:type="dxa"/>
            <w:vAlign w:val="center"/>
          </w:tcPr>
          <w:p w:rsidR="007C4CD8" w:rsidRPr="00ED4BE0" w:rsidRDefault="000853BF" w:rsidP="002416D4">
            <w:pPr>
              <w:spacing w:line="360" w:lineRule="auto"/>
              <w:jc w:val="center"/>
            </w:pPr>
            <w:r w:rsidRPr="00ED4BE0">
              <w:rPr>
                <w:color w:val="000000"/>
              </w:rPr>
              <w:t>2.41</w:t>
            </w:r>
          </w:p>
        </w:tc>
        <w:tc>
          <w:tcPr>
            <w:tcW w:w="1465" w:type="dxa"/>
            <w:vAlign w:val="center"/>
          </w:tcPr>
          <w:p w:rsidR="007C4CD8" w:rsidRPr="00ED4BE0" w:rsidRDefault="000853BF" w:rsidP="002416D4">
            <w:pPr>
              <w:spacing w:line="360" w:lineRule="auto"/>
              <w:jc w:val="center"/>
            </w:pPr>
            <w:r w:rsidRPr="00ED4BE0">
              <w:rPr>
                <w:color w:val="000000"/>
              </w:rPr>
              <w:t>1.34 – 4.34</w:t>
            </w:r>
          </w:p>
        </w:tc>
        <w:tc>
          <w:tcPr>
            <w:tcW w:w="1465" w:type="dxa"/>
            <w:vAlign w:val="center"/>
          </w:tcPr>
          <w:p w:rsidR="007C4CD8" w:rsidRPr="00ED4BE0" w:rsidRDefault="000853BF" w:rsidP="002416D4">
            <w:pPr>
              <w:spacing w:line="360" w:lineRule="auto"/>
              <w:jc w:val="center"/>
            </w:pPr>
            <w:r w:rsidRPr="00ED4BE0">
              <w:rPr>
                <w:color w:val="000000"/>
              </w:rPr>
              <w:t>0.003</w:t>
            </w:r>
          </w:p>
        </w:tc>
      </w:tr>
      <w:tr w:rsidR="007C4CD8" w:rsidRPr="00ED4BE0" w:rsidTr="002416D4">
        <w:trPr>
          <w:trHeight w:val="377"/>
        </w:trPr>
        <w:tc>
          <w:tcPr>
            <w:tcW w:w="2116" w:type="dxa"/>
            <w:vAlign w:val="center"/>
          </w:tcPr>
          <w:p w:rsidR="007C4CD8" w:rsidRPr="00ED4BE0" w:rsidRDefault="000853BF" w:rsidP="002416D4">
            <w:pPr>
              <w:spacing w:line="360" w:lineRule="auto"/>
              <w:jc w:val="center"/>
            </w:pPr>
            <w:r w:rsidRPr="00ED4BE0">
              <w:rPr>
                <w:color w:val="000000"/>
              </w:rPr>
              <w:t>Sex</w:t>
            </w:r>
          </w:p>
        </w:tc>
        <w:tc>
          <w:tcPr>
            <w:tcW w:w="2116" w:type="dxa"/>
            <w:vAlign w:val="center"/>
          </w:tcPr>
          <w:p w:rsidR="007C4CD8" w:rsidRPr="00ED4BE0" w:rsidRDefault="000853BF" w:rsidP="002416D4">
            <w:pPr>
              <w:spacing w:line="360" w:lineRule="auto"/>
              <w:jc w:val="center"/>
            </w:pPr>
            <w:r w:rsidRPr="00ED4BE0">
              <w:rPr>
                <w:color w:val="000000"/>
              </w:rPr>
              <w:t>Male vs female</w:t>
            </w:r>
          </w:p>
        </w:tc>
        <w:tc>
          <w:tcPr>
            <w:tcW w:w="1139" w:type="dxa"/>
            <w:vAlign w:val="center"/>
          </w:tcPr>
          <w:p w:rsidR="007C4CD8" w:rsidRPr="00ED4BE0" w:rsidRDefault="000853BF" w:rsidP="002416D4">
            <w:pPr>
              <w:spacing w:line="360" w:lineRule="auto"/>
              <w:jc w:val="center"/>
            </w:pPr>
            <w:r w:rsidRPr="00ED4BE0">
              <w:rPr>
                <w:color w:val="000000"/>
              </w:rPr>
              <w:t>1.16</w:t>
            </w:r>
          </w:p>
        </w:tc>
        <w:tc>
          <w:tcPr>
            <w:tcW w:w="1465" w:type="dxa"/>
            <w:vAlign w:val="center"/>
          </w:tcPr>
          <w:p w:rsidR="007C4CD8" w:rsidRPr="00ED4BE0" w:rsidRDefault="000853BF" w:rsidP="002416D4">
            <w:pPr>
              <w:spacing w:line="360" w:lineRule="auto"/>
              <w:jc w:val="center"/>
            </w:pPr>
            <w:r w:rsidRPr="00ED4BE0">
              <w:rPr>
                <w:color w:val="000000"/>
              </w:rPr>
              <w:t>0.67 – 2.01</w:t>
            </w:r>
          </w:p>
        </w:tc>
        <w:tc>
          <w:tcPr>
            <w:tcW w:w="1465" w:type="dxa"/>
            <w:vAlign w:val="center"/>
          </w:tcPr>
          <w:p w:rsidR="007C4CD8" w:rsidRPr="00ED4BE0" w:rsidRDefault="000853BF" w:rsidP="002416D4">
            <w:pPr>
              <w:spacing w:line="360" w:lineRule="auto"/>
              <w:jc w:val="center"/>
            </w:pPr>
            <w:r w:rsidRPr="00ED4BE0">
              <w:rPr>
                <w:color w:val="000000"/>
              </w:rPr>
              <w:t>0.598</w:t>
            </w:r>
          </w:p>
        </w:tc>
      </w:tr>
    </w:tbl>
    <w:p w:rsidR="007C4CD8" w:rsidRPr="00ED4BE0" w:rsidRDefault="007C4CD8" w:rsidP="002416D4">
      <w:pPr>
        <w:spacing w:line="360" w:lineRule="auto"/>
        <w:jc w:val="center"/>
      </w:pPr>
    </w:p>
    <w:p w:rsidR="007C4CD8" w:rsidRPr="00ED4BE0" w:rsidRDefault="000853BF" w:rsidP="00ED4BE0">
      <w:pPr>
        <w:spacing w:line="360" w:lineRule="auto"/>
        <w:jc w:val="both"/>
      </w:pPr>
      <w:r w:rsidRPr="00ED4BE0">
        <w:rPr>
          <w:color w:val="000000"/>
        </w:rPr>
        <w:t>On multivariate analysis, BMI ≥30 kg/m² (adjusted OR 3.02, 95% CI 1.34–6.79, p=0.008) and dyslipidaemia (adjusted OR 2.09, 95% CI 1.11–3.94, p=0.023) remained independently associated with NAFLD (Table 6).</w:t>
      </w:r>
    </w:p>
    <w:p w:rsidR="007C4CD8" w:rsidRPr="00ED4BE0" w:rsidRDefault="000853BF" w:rsidP="00ED4BE0">
      <w:pPr>
        <w:spacing w:line="360" w:lineRule="auto"/>
        <w:jc w:val="both"/>
      </w:pPr>
      <w:r w:rsidRPr="00ED4BE0">
        <w:rPr>
          <w:b/>
          <w:bCs/>
          <w:color w:val="000000"/>
        </w:rPr>
        <w:t>Table 6: Multivariate Logistic Regression Analysis of Independent Predictors of NAFLD</w:t>
      </w:r>
    </w:p>
    <w:tbl>
      <w:tblPr>
        <w:tblW w:w="7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1"/>
        <w:gridCol w:w="1481"/>
        <w:gridCol w:w="1481"/>
        <w:gridCol w:w="1346"/>
      </w:tblGrid>
      <w:tr w:rsidR="007C4CD8" w:rsidRPr="00ED4BE0" w:rsidTr="002416D4">
        <w:trPr>
          <w:trHeight w:val="487"/>
          <w:tblHeader/>
        </w:trPr>
        <w:tc>
          <w:tcPr>
            <w:tcW w:w="3231" w:type="dxa"/>
            <w:shd w:val="clear" w:color="auto" w:fill="E8E8E8"/>
            <w:vAlign w:val="center"/>
          </w:tcPr>
          <w:p w:rsidR="007C4CD8" w:rsidRPr="00ED4BE0" w:rsidRDefault="000853BF" w:rsidP="002416D4">
            <w:pPr>
              <w:spacing w:line="360" w:lineRule="auto"/>
              <w:jc w:val="center"/>
            </w:pPr>
            <w:r w:rsidRPr="00ED4BE0">
              <w:rPr>
                <w:b/>
                <w:bCs/>
                <w:color w:val="000000"/>
              </w:rPr>
              <w:t>Variable</w:t>
            </w:r>
          </w:p>
        </w:tc>
        <w:tc>
          <w:tcPr>
            <w:tcW w:w="1481" w:type="dxa"/>
            <w:shd w:val="clear" w:color="auto" w:fill="E8E8E8"/>
            <w:vAlign w:val="center"/>
          </w:tcPr>
          <w:p w:rsidR="007C4CD8" w:rsidRPr="00ED4BE0" w:rsidRDefault="000853BF" w:rsidP="002416D4">
            <w:pPr>
              <w:spacing w:line="360" w:lineRule="auto"/>
              <w:jc w:val="center"/>
            </w:pPr>
            <w:r w:rsidRPr="00ED4BE0">
              <w:rPr>
                <w:b/>
                <w:bCs/>
                <w:color w:val="000000"/>
              </w:rPr>
              <w:t>Adjusted OR</w:t>
            </w:r>
          </w:p>
        </w:tc>
        <w:tc>
          <w:tcPr>
            <w:tcW w:w="1481" w:type="dxa"/>
            <w:shd w:val="clear" w:color="auto" w:fill="E8E8E8"/>
            <w:vAlign w:val="center"/>
          </w:tcPr>
          <w:p w:rsidR="007C4CD8" w:rsidRPr="00ED4BE0" w:rsidRDefault="000853BF" w:rsidP="002416D4">
            <w:pPr>
              <w:spacing w:line="360" w:lineRule="auto"/>
              <w:jc w:val="center"/>
            </w:pPr>
            <w:r w:rsidRPr="00ED4BE0">
              <w:rPr>
                <w:b/>
                <w:bCs/>
                <w:color w:val="000000"/>
              </w:rPr>
              <w:t>95% CI</w:t>
            </w:r>
          </w:p>
        </w:tc>
        <w:tc>
          <w:tcPr>
            <w:tcW w:w="1346" w:type="dxa"/>
            <w:shd w:val="clear" w:color="auto" w:fill="E8E8E8"/>
            <w:vAlign w:val="center"/>
          </w:tcPr>
          <w:p w:rsidR="007C4CD8" w:rsidRPr="00ED4BE0" w:rsidRDefault="000853BF" w:rsidP="002416D4">
            <w:pPr>
              <w:spacing w:line="360" w:lineRule="auto"/>
              <w:jc w:val="center"/>
            </w:pPr>
            <w:r w:rsidRPr="00ED4BE0">
              <w:rPr>
                <w:b/>
                <w:bCs/>
                <w:color w:val="000000"/>
              </w:rPr>
              <w:t>P-value</w:t>
            </w:r>
          </w:p>
        </w:tc>
      </w:tr>
      <w:tr w:rsidR="007C4CD8" w:rsidRPr="00ED4BE0" w:rsidTr="002416D4">
        <w:trPr>
          <w:trHeight w:val="470"/>
        </w:trPr>
        <w:tc>
          <w:tcPr>
            <w:tcW w:w="3231" w:type="dxa"/>
            <w:vAlign w:val="center"/>
          </w:tcPr>
          <w:p w:rsidR="007C4CD8" w:rsidRPr="00ED4BE0" w:rsidRDefault="000853BF" w:rsidP="002416D4">
            <w:pPr>
              <w:spacing w:line="360" w:lineRule="auto"/>
              <w:jc w:val="center"/>
            </w:pPr>
            <w:r w:rsidRPr="00ED4BE0">
              <w:rPr>
                <w:color w:val="000000"/>
              </w:rPr>
              <w:t>BMI ≥30 kg/m²</w:t>
            </w:r>
          </w:p>
        </w:tc>
        <w:tc>
          <w:tcPr>
            <w:tcW w:w="1481" w:type="dxa"/>
            <w:vAlign w:val="center"/>
          </w:tcPr>
          <w:p w:rsidR="007C4CD8" w:rsidRPr="00ED4BE0" w:rsidRDefault="000853BF" w:rsidP="002416D4">
            <w:pPr>
              <w:spacing w:line="360" w:lineRule="auto"/>
              <w:jc w:val="center"/>
            </w:pPr>
            <w:r w:rsidRPr="00ED4BE0">
              <w:rPr>
                <w:color w:val="000000"/>
              </w:rPr>
              <w:t>3.02</w:t>
            </w:r>
          </w:p>
        </w:tc>
        <w:tc>
          <w:tcPr>
            <w:tcW w:w="1481" w:type="dxa"/>
            <w:vAlign w:val="center"/>
          </w:tcPr>
          <w:p w:rsidR="007C4CD8" w:rsidRPr="00ED4BE0" w:rsidRDefault="000853BF" w:rsidP="002416D4">
            <w:pPr>
              <w:spacing w:line="360" w:lineRule="auto"/>
              <w:jc w:val="center"/>
            </w:pPr>
            <w:r w:rsidRPr="00ED4BE0">
              <w:rPr>
                <w:color w:val="000000"/>
              </w:rPr>
              <w:t>1.34 – 6.79</w:t>
            </w:r>
          </w:p>
        </w:tc>
        <w:tc>
          <w:tcPr>
            <w:tcW w:w="1346" w:type="dxa"/>
            <w:vAlign w:val="center"/>
          </w:tcPr>
          <w:p w:rsidR="007C4CD8" w:rsidRPr="00ED4BE0" w:rsidRDefault="000853BF" w:rsidP="002416D4">
            <w:pPr>
              <w:spacing w:line="360" w:lineRule="auto"/>
              <w:jc w:val="center"/>
            </w:pPr>
            <w:r w:rsidRPr="00ED4BE0">
              <w:rPr>
                <w:color w:val="000000"/>
              </w:rPr>
              <w:t>0.008</w:t>
            </w:r>
          </w:p>
        </w:tc>
      </w:tr>
      <w:tr w:rsidR="007C4CD8" w:rsidRPr="00ED4BE0" w:rsidTr="002416D4">
        <w:trPr>
          <w:trHeight w:val="487"/>
        </w:trPr>
        <w:tc>
          <w:tcPr>
            <w:tcW w:w="3231" w:type="dxa"/>
            <w:vAlign w:val="center"/>
          </w:tcPr>
          <w:p w:rsidR="007C4CD8" w:rsidRPr="00ED4BE0" w:rsidRDefault="000853BF" w:rsidP="002416D4">
            <w:pPr>
              <w:spacing w:line="360" w:lineRule="auto"/>
              <w:jc w:val="center"/>
            </w:pPr>
            <w:r w:rsidRPr="00ED4BE0">
              <w:rPr>
                <w:color w:val="000000"/>
              </w:rPr>
              <w:t>Dyslipidaemia present</w:t>
            </w:r>
          </w:p>
        </w:tc>
        <w:tc>
          <w:tcPr>
            <w:tcW w:w="1481" w:type="dxa"/>
            <w:vAlign w:val="center"/>
          </w:tcPr>
          <w:p w:rsidR="007C4CD8" w:rsidRPr="00ED4BE0" w:rsidRDefault="000853BF" w:rsidP="002416D4">
            <w:pPr>
              <w:spacing w:line="360" w:lineRule="auto"/>
              <w:jc w:val="center"/>
            </w:pPr>
            <w:r w:rsidRPr="00ED4BE0">
              <w:rPr>
                <w:color w:val="000000"/>
              </w:rPr>
              <w:t>2.09</w:t>
            </w:r>
          </w:p>
        </w:tc>
        <w:tc>
          <w:tcPr>
            <w:tcW w:w="1481" w:type="dxa"/>
            <w:vAlign w:val="center"/>
          </w:tcPr>
          <w:p w:rsidR="007C4CD8" w:rsidRPr="00ED4BE0" w:rsidRDefault="000853BF" w:rsidP="002416D4">
            <w:pPr>
              <w:spacing w:line="360" w:lineRule="auto"/>
              <w:jc w:val="center"/>
            </w:pPr>
            <w:r w:rsidRPr="00ED4BE0">
              <w:rPr>
                <w:color w:val="000000"/>
              </w:rPr>
              <w:t>1.11 – 3.94</w:t>
            </w:r>
          </w:p>
        </w:tc>
        <w:tc>
          <w:tcPr>
            <w:tcW w:w="1346" w:type="dxa"/>
            <w:vAlign w:val="center"/>
          </w:tcPr>
          <w:p w:rsidR="007C4CD8" w:rsidRPr="00ED4BE0" w:rsidRDefault="000853BF" w:rsidP="002416D4">
            <w:pPr>
              <w:spacing w:line="360" w:lineRule="auto"/>
              <w:jc w:val="center"/>
            </w:pPr>
            <w:r w:rsidRPr="00ED4BE0">
              <w:rPr>
                <w:color w:val="000000"/>
              </w:rPr>
              <w:t>0.023</w:t>
            </w:r>
          </w:p>
        </w:tc>
      </w:tr>
      <w:tr w:rsidR="007C4CD8" w:rsidRPr="00ED4BE0" w:rsidTr="002416D4">
        <w:trPr>
          <w:trHeight w:val="487"/>
        </w:trPr>
        <w:tc>
          <w:tcPr>
            <w:tcW w:w="3231" w:type="dxa"/>
            <w:vAlign w:val="center"/>
          </w:tcPr>
          <w:p w:rsidR="007C4CD8" w:rsidRPr="00ED4BE0" w:rsidRDefault="000853BF" w:rsidP="002416D4">
            <w:pPr>
              <w:spacing w:line="360" w:lineRule="auto"/>
              <w:jc w:val="center"/>
            </w:pPr>
            <w:r w:rsidRPr="00ED4BE0">
              <w:rPr>
                <w:color w:val="000000"/>
              </w:rPr>
              <w:t>HbA1c ≥9%</w:t>
            </w:r>
          </w:p>
        </w:tc>
        <w:tc>
          <w:tcPr>
            <w:tcW w:w="1481" w:type="dxa"/>
            <w:vAlign w:val="center"/>
          </w:tcPr>
          <w:p w:rsidR="007C4CD8" w:rsidRPr="00ED4BE0" w:rsidRDefault="000853BF" w:rsidP="002416D4">
            <w:pPr>
              <w:spacing w:line="360" w:lineRule="auto"/>
              <w:jc w:val="center"/>
            </w:pPr>
            <w:r w:rsidRPr="00ED4BE0">
              <w:rPr>
                <w:color w:val="000000"/>
              </w:rPr>
              <w:t>1.94</w:t>
            </w:r>
          </w:p>
        </w:tc>
        <w:tc>
          <w:tcPr>
            <w:tcW w:w="1481" w:type="dxa"/>
            <w:vAlign w:val="center"/>
          </w:tcPr>
          <w:p w:rsidR="007C4CD8" w:rsidRPr="00ED4BE0" w:rsidRDefault="000853BF" w:rsidP="002416D4">
            <w:pPr>
              <w:spacing w:line="360" w:lineRule="auto"/>
              <w:jc w:val="center"/>
            </w:pPr>
            <w:r w:rsidRPr="00ED4BE0">
              <w:rPr>
                <w:color w:val="000000"/>
              </w:rPr>
              <w:t>0.93 – 4.05</w:t>
            </w:r>
          </w:p>
        </w:tc>
        <w:tc>
          <w:tcPr>
            <w:tcW w:w="1346" w:type="dxa"/>
            <w:vAlign w:val="center"/>
          </w:tcPr>
          <w:p w:rsidR="007C4CD8" w:rsidRPr="00ED4BE0" w:rsidRDefault="000853BF" w:rsidP="002416D4">
            <w:pPr>
              <w:spacing w:line="360" w:lineRule="auto"/>
              <w:jc w:val="center"/>
            </w:pPr>
            <w:r w:rsidRPr="00ED4BE0">
              <w:rPr>
                <w:color w:val="000000"/>
              </w:rPr>
              <w:t>0.077</w:t>
            </w:r>
          </w:p>
        </w:tc>
      </w:tr>
    </w:tbl>
    <w:p w:rsidR="007C4CD8" w:rsidRPr="00ED4BE0" w:rsidRDefault="007C4CD8" w:rsidP="00ED4BE0">
      <w:pPr>
        <w:spacing w:line="360" w:lineRule="auto"/>
        <w:jc w:val="both"/>
      </w:pPr>
    </w:p>
    <w:p w:rsidR="007C4CD8" w:rsidRPr="00ED4BE0" w:rsidRDefault="000853BF" w:rsidP="002416D4">
      <w:pPr>
        <w:spacing w:line="360" w:lineRule="auto"/>
        <w:jc w:val="center"/>
      </w:pPr>
      <w:r w:rsidRPr="00ED4BE0">
        <w:rPr>
          <w:noProof/>
          <w:lang w:val="en-IN" w:eastAsia="en-IN"/>
        </w:rPr>
        <w:drawing>
          <wp:inline distT="0" distB="0" distL="0" distR="0" wp14:anchorId="0F2BB0CC" wp14:editId="1A2A4207">
            <wp:extent cx="3332480" cy="24993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cstate="print"/>
                    <a:srcRect/>
                    <a:stretch>
                      <a:fillRect/>
                    </a:stretch>
                  </pic:blipFill>
                  <pic:spPr bwMode="auto">
                    <a:xfrm>
                      <a:off x="0" y="0"/>
                      <a:ext cx="3334413" cy="2500810"/>
                    </a:xfrm>
                    <a:prstGeom prst="rect">
                      <a:avLst/>
                    </a:prstGeom>
                  </pic:spPr>
                </pic:pic>
              </a:graphicData>
            </a:graphic>
          </wp:inline>
        </w:drawing>
      </w:r>
    </w:p>
    <w:p w:rsidR="007C4CD8" w:rsidRPr="00ED4BE0" w:rsidRDefault="000853BF" w:rsidP="00ED4BE0">
      <w:pPr>
        <w:spacing w:line="360" w:lineRule="auto"/>
        <w:jc w:val="both"/>
      </w:pPr>
      <w:r w:rsidRPr="00ED4BE0">
        <w:rPr>
          <w:color w:val="000000"/>
        </w:rPr>
        <w:t>Figure 5: Schematic illustration of the pathogenesis of non-alcoholic fatty liver disease in insulin resistance.</w:t>
      </w:r>
    </w:p>
    <w:p w:rsidR="002416D4" w:rsidRDefault="002416D4" w:rsidP="00ED4BE0">
      <w:pPr>
        <w:pStyle w:val="Heading1"/>
        <w:spacing w:line="360" w:lineRule="auto"/>
        <w:jc w:val="both"/>
        <w:rPr>
          <w:b/>
          <w:bCs/>
          <w:color w:val="000000"/>
          <w:sz w:val="20"/>
          <w:szCs w:val="20"/>
        </w:rPr>
      </w:pPr>
    </w:p>
    <w:p w:rsidR="007C4CD8" w:rsidRPr="00ED4BE0" w:rsidRDefault="000853BF" w:rsidP="00ED4BE0">
      <w:pPr>
        <w:pStyle w:val="Heading1"/>
        <w:spacing w:line="360" w:lineRule="auto"/>
        <w:jc w:val="both"/>
        <w:rPr>
          <w:sz w:val="20"/>
          <w:szCs w:val="20"/>
        </w:rPr>
      </w:pPr>
      <w:r w:rsidRPr="00ED4BE0">
        <w:rPr>
          <w:b/>
          <w:bCs/>
          <w:color w:val="000000"/>
          <w:sz w:val="20"/>
          <w:szCs w:val="20"/>
        </w:rPr>
        <w:t>Discussion</w:t>
      </w:r>
    </w:p>
    <w:p w:rsidR="007C4CD8" w:rsidRPr="00ED4BE0" w:rsidRDefault="000853BF" w:rsidP="00ED4BE0">
      <w:pPr>
        <w:spacing w:line="360" w:lineRule="auto"/>
        <w:jc w:val="both"/>
      </w:pPr>
      <w:r w:rsidRPr="00ED4BE0">
        <w:rPr>
          <w:color w:val="000000"/>
        </w:rPr>
        <w:t>The prevalence of NAFLD observed in this study (61.8%) is consistent with, though at the higher end of, the range reported in other studies of diabetic populations, reflecting the well-established close relationship between insulin resistance and hepatic steatosis first characterised by Marchesini and colleagues in their description of NAFLD as a hepatic feature of the metabolic syndrome.</w:t>
      </w:r>
      <w:r w:rsidRPr="00ED4BE0">
        <w:rPr>
          <w:color w:val="000000"/>
          <w:vertAlign w:val="superscript"/>
        </w:rPr>
        <w:t>3</w:t>
      </w:r>
      <w:r w:rsidRPr="00ED4BE0">
        <w:rPr>
          <w:color w:val="000000"/>
        </w:rPr>
        <w:t xml:space="preserve"> This prevalence substantially exceeds general population estimates reported in the Dionysos study by Bellentani and colleagues, consistent with the markedly elevated NAFLD risk conferred by underlying insulin resistance in the diabetic population.</w:t>
      </w:r>
      <w:r w:rsidRPr="00ED4BE0">
        <w:rPr>
          <w:color w:val="000000"/>
          <w:vertAlign w:val="superscript"/>
        </w:rPr>
        <w:t>2</w:t>
      </w:r>
    </w:p>
    <w:p w:rsidR="007C4CD8" w:rsidRPr="00ED4BE0" w:rsidRDefault="000853BF" w:rsidP="00ED4BE0">
      <w:pPr>
        <w:spacing w:line="360" w:lineRule="auto"/>
        <w:jc w:val="both"/>
      </w:pPr>
      <w:r w:rsidRPr="00ED4BE0">
        <w:rPr>
          <w:color w:val="000000"/>
        </w:rPr>
        <w:t>The predominance of mild (Grade I) steatosis among NAFLD-positive patients in this study is a generally reassuring finding, as this grade is typically associated with a more favourable natural history compared with more advanced steatosis, although progression to steatohepatitis and fibrosis remains a recognised concern requiring ongoing surveillance, as reviewed by Angulo.</w:t>
      </w:r>
      <w:r w:rsidRPr="00ED4BE0">
        <w:rPr>
          <w:color w:val="000000"/>
          <w:vertAlign w:val="superscript"/>
        </w:rPr>
        <w:t>4</w:t>
      </w:r>
      <w:r w:rsidRPr="00ED4BE0">
        <w:rPr>
          <w:color w:val="000000"/>
        </w:rPr>
        <w:t xml:space="preserve"> The strong, graded relationship observed between BMI category and NAFLD prevalence in this study reinforces the central role of obesity-related insulin resistance in NAFLD pathogenesis, consistent with population-based data from Browning and colleagues demonstrating a strong association between adiposity and hepatic steatosis burden.</w:t>
      </w:r>
      <w:r w:rsidRPr="00ED4BE0">
        <w:rPr>
          <w:color w:val="000000"/>
          <w:vertAlign w:val="superscript"/>
        </w:rPr>
        <w:t>6</w:t>
      </w:r>
    </w:p>
    <w:p w:rsidR="007C4CD8" w:rsidRPr="00ED4BE0" w:rsidRDefault="000853BF" w:rsidP="00ED4BE0">
      <w:pPr>
        <w:spacing w:line="360" w:lineRule="auto"/>
        <w:jc w:val="both"/>
      </w:pPr>
      <w:r w:rsidRPr="00ED4BE0">
        <w:rPr>
          <w:color w:val="000000"/>
        </w:rPr>
        <w:t>The independent association observed between dyslipidaemia and NAFLD in this study is consistent with the shared pathophysiological substrate of insulin resistance underlying both conditions, and reinforces the cardiometabolic risk clustering described by Targher and colleagues, who demonstrated a significant association between NAFLD and cardiovascular disease among patients with T2DM.</w:t>
      </w:r>
      <w:r w:rsidRPr="00ED4BE0">
        <w:rPr>
          <w:color w:val="000000"/>
          <w:vertAlign w:val="superscript"/>
        </w:rPr>
        <w:t>8</w:t>
      </w:r>
      <w:r w:rsidRPr="00ED4BE0">
        <w:rPr>
          <w:color w:val="000000"/>
        </w:rPr>
        <w:t xml:space="preserve"> These findings collectively support the incorporation of routine hepatic ultrasonographic screening into standard diabetes care, particularly for patients with obesity or dyslipidaemia, given the substantial and likely underappreciated burden of NAFLD in this population, as highlighted by Leite and colleagues.</w:t>
      </w:r>
      <w:r w:rsidRPr="00ED4BE0">
        <w:rPr>
          <w:color w:val="000000"/>
          <w:vertAlign w:val="superscript"/>
        </w:rPr>
        <w:t>9</w:t>
      </w:r>
    </w:p>
    <w:p w:rsidR="007C4CD8" w:rsidRPr="00ED4BE0" w:rsidRDefault="000853BF" w:rsidP="00ED4BE0">
      <w:pPr>
        <w:pStyle w:val="Heading1"/>
        <w:spacing w:line="360" w:lineRule="auto"/>
        <w:jc w:val="both"/>
        <w:rPr>
          <w:sz w:val="20"/>
          <w:szCs w:val="20"/>
        </w:rPr>
      </w:pPr>
      <w:r w:rsidRPr="00ED4BE0">
        <w:rPr>
          <w:b/>
          <w:bCs/>
          <w:color w:val="000000"/>
          <w:sz w:val="20"/>
          <w:szCs w:val="20"/>
        </w:rPr>
        <w:t>Strengths and Limitations</w:t>
      </w:r>
    </w:p>
    <w:p w:rsidR="007C4CD8" w:rsidRPr="00ED4BE0" w:rsidRDefault="000853BF" w:rsidP="00ED4BE0">
      <w:pPr>
        <w:spacing w:line="360" w:lineRule="auto"/>
        <w:jc w:val="both"/>
      </w:pPr>
      <w:r w:rsidRPr="00ED4BE0">
        <w:rPr>
          <w:color w:val="000000"/>
        </w:rPr>
        <w:t>This study's strengths include ultrasonographic assessment of hepatic steatosis in all participants with formal grading, rather than reliance on biochemical markers alone, given the recognised limitation that liver enzymes may remain normal despite significant steatosis.</w:t>
      </w:r>
      <w:r w:rsidRPr="00ED4BE0">
        <w:rPr>
          <w:color w:val="000000"/>
          <w:vertAlign w:val="superscript"/>
        </w:rPr>
        <w:t>5,7</w:t>
      </w:r>
      <w:r w:rsidRPr="00ED4BE0">
        <w:rPr>
          <w:color w:val="000000"/>
        </w:rPr>
        <w:t xml:space="preserve"> Limitations include the single-centre, cross-sectional design, which limits generalisability and precludes causal inference; the use of ultrasonography rather than liver biopsy or magnetic resonance spectroscopy, which may underestimate milder degrees of steatosis; and the absence of assessment for steatohepatitis or fibrosis, which would require more advanced non-invasive or histological evaluation.</w:t>
      </w:r>
    </w:p>
    <w:p w:rsidR="007C4CD8" w:rsidRPr="00ED4BE0" w:rsidRDefault="000853BF" w:rsidP="00ED4BE0">
      <w:pPr>
        <w:pStyle w:val="Heading1"/>
        <w:spacing w:line="360" w:lineRule="auto"/>
        <w:jc w:val="both"/>
        <w:rPr>
          <w:sz w:val="20"/>
          <w:szCs w:val="20"/>
        </w:rPr>
      </w:pPr>
      <w:r w:rsidRPr="00ED4BE0">
        <w:rPr>
          <w:b/>
          <w:bCs/>
          <w:color w:val="000000"/>
          <w:sz w:val="20"/>
          <w:szCs w:val="20"/>
        </w:rPr>
        <w:t>Conclusion</w:t>
      </w:r>
    </w:p>
    <w:p w:rsidR="007C4CD8" w:rsidRPr="00ED4BE0" w:rsidRDefault="000853BF" w:rsidP="00ED4BE0">
      <w:pPr>
        <w:spacing w:line="360" w:lineRule="auto"/>
        <w:jc w:val="both"/>
      </w:pPr>
      <w:r w:rsidRPr="00ED4BE0">
        <w:rPr>
          <w:color w:val="000000"/>
        </w:rPr>
        <w:t>Non-alcoholic fatty liver disease is highly prevalent among patients with type 2 diabetes mellitus attending this tertiary care hospital and correlates strongly with obesity and dyslipidaemia. These findings support routine hepatic ultrasonographic screening as an integral component of comprehensive diabetes care, particularly for patients with these identified risk factors.</w:t>
      </w:r>
    </w:p>
    <w:p w:rsidR="002416D4" w:rsidRDefault="002416D4" w:rsidP="00ED4BE0">
      <w:pPr>
        <w:pStyle w:val="Heading1"/>
        <w:spacing w:line="360" w:lineRule="auto"/>
        <w:jc w:val="both"/>
        <w:rPr>
          <w:b/>
          <w:bCs/>
          <w:color w:val="000000"/>
          <w:sz w:val="20"/>
          <w:szCs w:val="20"/>
        </w:rPr>
      </w:pPr>
    </w:p>
    <w:p w:rsidR="007C4CD8" w:rsidRDefault="000853BF" w:rsidP="00ED4BE0">
      <w:pPr>
        <w:pStyle w:val="Heading1"/>
        <w:spacing w:line="360" w:lineRule="auto"/>
        <w:jc w:val="both"/>
        <w:rPr>
          <w:b/>
          <w:bCs/>
          <w:color w:val="000000"/>
          <w:sz w:val="20"/>
          <w:szCs w:val="20"/>
        </w:rPr>
      </w:pPr>
      <w:r w:rsidRPr="00ED4BE0">
        <w:rPr>
          <w:b/>
          <w:bCs/>
          <w:color w:val="000000"/>
          <w:sz w:val="20"/>
          <w:szCs w:val="20"/>
        </w:rPr>
        <w:t>References</w:t>
      </w:r>
    </w:p>
    <w:p w:rsidR="002416D4" w:rsidRPr="00ED4BE0" w:rsidRDefault="002416D4" w:rsidP="00ED4BE0">
      <w:pPr>
        <w:pStyle w:val="Heading1"/>
        <w:spacing w:line="360" w:lineRule="auto"/>
        <w:jc w:val="both"/>
        <w:rPr>
          <w:sz w:val="20"/>
          <w:szCs w:val="20"/>
        </w:rPr>
      </w:pPr>
    </w:p>
    <w:p w:rsidR="007C4CD8" w:rsidRPr="00ED4BE0" w:rsidRDefault="000853BF" w:rsidP="00ED4BE0">
      <w:pPr>
        <w:spacing w:line="360" w:lineRule="auto"/>
        <w:ind w:left="400" w:hanging="400"/>
        <w:jc w:val="both"/>
      </w:pPr>
      <w:r w:rsidRPr="00ED4BE0">
        <w:rPr>
          <w:color w:val="000000"/>
        </w:rPr>
        <w:t>1. Ludwig J, Viggiano TR, McGill DB, Oh BJ. Nonalcoholic steatohepatitis: Mayo Clinic experiences with a hitherto unnamed disease. Mayo Clin Proc. 1980;55(7):434-8.</w:t>
      </w:r>
    </w:p>
    <w:p w:rsidR="007C4CD8" w:rsidRPr="00ED4BE0" w:rsidRDefault="000853BF" w:rsidP="00ED4BE0">
      <w:pPr>
        <w:spacing w:line="360" w:lineRule="auto"/>
        <w:ind w:left="400" w:hanging="400"/>
        <w:jc w:val="both"/>
      </w:pPr>
      <w:r w:rsidRPr="00ED4BE0">
        <w:rPr>
          <w:color w:val="000000"/>
        </w:rPr>
        <w:t>2. Bellentani S, Saccoccio G, Masutti F, et al. Prevalence of and risk factors for hepatic steatosis in Northern Italy. Ann Intern Med. 2000;132(2):112-7.</w:t>
      </w:r>
    </w:p>
    <w:p w:rsidR="007C4CD8" w:rsidRPr="00ED4BE0" w:rsidRDefault="000853BF" w:rsidP="00ED4BE0">
      <w:pPr>
        <w:spacing w:line="360" w:lineRule="auto"/>
        <w:ind w:left="400" w:hanging="400"/>
        <w:jc w:val="both"/>
      </w:pPr>
      <w:r w:rsidRPr="00ED4BE0">
        <w:rPr>
          <w:color w:val="000000"/>
        </w:rPr>
        <w:t>3. Marchesini G, Brizi M, Bianchi G, et al. Nonalcoholic fatty liver disease: a feature of the metabolic syndrome. Diabetes. 2001;50(8):1844-50.</w:t>
      </w:r>
    </w:p>
    <w:p w:rsidR="007C4CD8" w:rsidRPr="00ED4BE0" w:rsidRDefault="000853BF" w:rsidP="00ED4BE0">
      <w:pPr>
        <w:spacing w:line="360" w:lineRule="auto"/>
        <w:ind w:left="400" w:hanging="400"/>
        <w:jc w:val="both"/>
      </w:pPr>
      <w:r w:rsidRPr="00ED4BE0">
        <w:rPr>
          <w:color w:val="000000"/>
        </w:rPr>
        <w:t>4. Angulo P. Nonalcoholic fatty liver disease. N Engl J Med. 2002;346(16):1221-31.</w:t>
      </w:r>
    </w:p>
    <w:p w:rsidR="007C4CD8" w:rsidRPr="00ED4BE0" w:rsidRDefault="000853BF" w:rsidP="00ED4BE0">
      <w:pPr>
        <w:spacing w:line="360" w:lineRule="auto"/>
        <w:ind w:left="400" w:hanging="400"/>
        <w:jc w:val="both"/>
      </w:pPr>
      <w:r w:rsidRPr="00ED4BE0">
        <w:rPr>
          <w:color w:val="000000"/>
        </w:rPr>
        <w:t>5. Clark JM, Brancati FL, Diehl AM. The prevalence and etiology of elevated aminotransferase levels in the United States. Am J Gastroenterol. 2003;98(5):960-7.</w:t>
      </w:r>
    </w:p>
    <w:p w:rsidR="007C4CD8" w:rsidRPr="00ED4BE0" w:rsidRDefault="000853BF" w:rsidP="00ED4BE0">
      <w:pPr>
        <w:spacing w:line="360" w:lineRule="auto"/>
        <w:ind w:left="400" w:hanging="400"/>
        <w:jc w:val="both"/>
      </w:pPr>
      <w:r w:rsidRPr="00ED4BE0">
        <w:rPr>
          <w:color w:val="000000"/>
        </w:rPr>
        <w:t>6. Browning JD, Szczepaniak LS, Dobbins R, et al. Prevalence of hepatic steatosis in an urban population in the United States: impact of ethnicity. Hepatology. 2004;40(6):1387-95.</w:t>
      </w:r>
    </w:p>
    <w:p w:rsidR="007C4CD8" w:rsidRPr="00ED4BE0" w:rsidRDefault="000853BF" w:rsidP="00ED4BE0">
      <w:pPr>
        <w:spacing w:line="360" w:lineRule="auto"/>
        <w:ind w:left="400" w:hanging="400"/>
        <w:jc w:val="both"/>
      </w:pPr>
      <w:r w:rsidRPr="00ED4BE0">
        <w:rPr>
          <w:color w:val="000000"/>
        </w:rPr>
        <w:t>7. Szczepaniak LS, Nurenberg P, Leonard D, et al. Magnetic resonance spectroscopy to measure hepatic triglyceride content: prevalence of hepatic steatosis in the general population. Am J Physiol Endocrinol Metab. 2005;288(2):E462-8.</w:t>
      </w:r>
    </w:p>
    <w:p w:rsidR="007C4CD8" w:rsidRPr="00ED4BE0" w:rsidRDefault="000853BF" w:rsidP="00ED4BE0">
      <w:pPr>
        <w:spacing w:line="360" w:lineRule="auto"/>
        <w:ind w:left="400" w:hanging="400"/>
        <w:jc w:val="both"/>
      </w:pPr>
      <w:r w:rsidRPr="00ED4BE0">
        <w:rPr>
          <w:color w:val="000000"/>
        </w:rPr>
        <w:t>8. Targher G, Bertolini L, Padovani R, et al. Prevalence of nonalcoholic fatty liver disease and its association with cardiovascular disease among type 2 diabetic patients. Diabetes Care. 2007;30(5):1212-8.</w:t>
      </w:r>
    </w:p>
    <w:p w:rsidR="007C4CD8" w:rsidRPr="00ED4BE0" w:rsidRDefault="000853BF" w:rsidP="00ED4BE0">
      <w:pPr>
        <w:spacing w:line="360" w:lineRule="auto"/>
        <w:ind w:left="400" w:hanging="400"/>
        <w:jc w:val="both"/>
      </w:pPr>
      <w:r w:rsidRPr="00ED4BE0">
        <w:rPr>
          <w:color w:val="000000"/>
        </w:rPr>
        <w:t>9. Leite NC, Salles GF, Araujo AL, Villela-Nogueira CA, Cardoso CR. Prevalence and associated factors of non-alcoholic fatty liver disease in patients with type-2 diabetes mellitus. Liver Int. 2009;29(1):113-9.</w:t>
      </w:r>
    </w:p>
    <w:p w:rsidR="007C4CD8" w:rsidRPr="00ED4BE0" w:rsidRDefault="000853BF" w:rsidP="00ED4BE0">
      <w:pPr>
        <w:spacing w:line="360" w:lineRule="auto"/>
        <w:ind w:left="400" w:hanging="400"/>
        <w:jc w:val="both"/>
      </w:pPr>
      <w:r w:rsidRPr="00ED4BE0">
        <w:rPr>
          <w:color w:val="000000"/>
        </w:rPr>
        <w:t>10. Wild S, Roglic G, Green A, Sicree R, King H. Global prevalence of diabetes: estimates for the year 2000 and projections for 2030. Diabetes Care. 2004;27(5):1047-53.</w:t>
      </w:r>
    </w:p>
    <w:p w:rsidR="007C4CD8" w:rsidRPr="00ED4BE0" w:rsidRDefault="000853BF" w:rsidP="00ED4BE0">
      <w:pPr>
        <w:spacing w:line="360" w:lineRule="auto"/>
        <w:ind w:left="400" w:hanging="400"/>
        <w:jc w:val="both"/>
      </w:pPr>
      <w:r w:rsidRPr="00ED4BE0">
        <w:rPr>
          <w:color w:val="000000"/>
        </w:rPr>
        <w:t>11. Misra A, Khurana L. Obesity and the metabolic syndrome in developing countries. J Clin Endocrinol Metab. 2008;93(11 Suppl 1):S9-30.</w:t>
      </w:r>
    </w:p>
    <w:sectPr w:rsidR="007C4CD8" w:rsidRPr="00ED4BE0" w:rsidSect="00ED4BE0">
      <w:headerReference w:type="default" r:id="rId13"/>
      <w:footerReference w:type="default" r:id="rId14"/>
      <w:pgSz w:w="11906" w:h="16838"/>
      <w:pgMar w:top="1440" w:right="1440" w:bottom="1440" w:left="1440" w:header="708" w:footer="708" w:gutter="0"/>
      <w:pgNumType w:start="55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5C9" w:rsidRDefault="00D975C9" w:rsidP="00ED4BE0">
      <w:r>
        <w:separator/>
      </w:r>
    </w:p>
  </w:endnote>
  <w:endnote w:type="continuationSeparator" w:id="0">
    <w:p w:rsidR="00D975C9" w:rsidRDefault="00D975C9" w:rsidP="00ED4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1991415"/>
      <w:docPartObj>
        <w:docPartGallery w:val="Page Numbers (Bottom of Page)"/>
        <w:docPartUnique/>
      </w:docPartObj>
    </w:sdtPr>
    <w:sdtEndPr>
      <w:rPr>
        <w:noProof/>
      </w:rPr>
    </w:sdtEndPr>
    <w:sdtContent>
      <w:p w:rsidR="00ED4BE0" w:rsidRDefault="00ED4BE0">
        <w:pPr>
          <w:pStyle w:val="Footer"/>
          <w:jc w:val="right"/>
        </w:pPr>
        <w:r>
          <w:fldChar w:fldCharType="begin"/>
        </w:r>
        <w:r>
          <w:instrText xml:space="preserve"> PAGE   \* MERGEFORMAT </w:instrText>
        </w:r>
        <w:r>
          <w:fldChar w:fldCharType="separate"/>
        </w:r>
        <w:r w:rsidR="00D975C9">
          <w:rPr>
            <w:noProof/>
          </w:rPr>
          <w:t>557</w:t>
        </w:r>
        <w:r>
          <w:rPr>
            <w:noProof/>
          </w:rPr>
          <w:fldChar w:fldCharType="end"/>
        </w:r>
      </w:p>
    </w:sdtContent>
  </w:sdt>
  <w:p w:rsidR="00ED4BE0" w:rsidRPr="00ED4BE0" w:rsidRDefault="00ED4BE0" w:rsidP="00ED4BE0">
    <w:pPr>
      <w:tabs>
        <w:tab w:val="center" w:pos="4680"/>
        <w:tab w:val="right" w:pos="9360"/>
      </w:tabs>
      <w:jc w:val="center"/>
    </w:pPr>
    <w:r w:rsidRPr="00ED4BE0">
      <w:t>www.ijbamr.com</w:t>
    </w:r>
  </w:p>
  <w:p w:rsidR="00ED4BE0" w:rsidRDefault="00ED4B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5C9" w:rsidRDefault="00D975C9" w:rsidP="00ED4BE0">
      <w:r>
        <w:separator/>
      </w:r>
    </w:p>
  </w:footnote>
  <w:footnote w:type="continuationSeparator" w:id="0">
    <w:p w:rsidR="00D975C9" w:rsidRDefault="00D975C9" w:rsidP="00ED4B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BE0" w:rsidRPr="00ED4BE0" w:rsidRDefault="00ED4BE0" w:rsidP="00ED4BE0">
    <w:pPr>
      <w:tabs>
        <w:tab w:val="center" w:pos="4513"/>
        <w:tab w:val="right" w:pos="9026"/>
      </w:tabs>
      <w:jc w:val="center"/>
      <w:rPr>
        <w:rFonts w:ascii="Cambria" w:eastAsia="Calibri" w:hAnsi="Cambria"/>
        <w:lang w:val="en-IN"/>
      </w:rPr>
    </w:pPr>
    <w:r w:rsidRPr="00ED4BE0">
      <w:rPr>
        <w:rFonts w:ascii="Cambria" w:eastAsia="Calibri" w:hAnsi="Cambria"/>
        <w:lang w:val="en-IN"/>
      </w:rPr>
      <w:t xml:space="preserve">Indian Journal of Basic &amp; Applied Medical Research; December 2012: Issue-5, Vol.-2, P. </w:t>
    </w:r>
    <w:r w:rsidR="002416D4">
      <w:rPr>
        <w:rFonts w:ascii="Cambria" w:eastAsia="Calibri" w:hAnsi="Cambria"/>
        <w:lang w:val="en-IN"/>
      </w:rPr>
      <w:t>557 - 563</w:t>
    </w:r>
  </w:p>
  <w:p w:rsidR="00ED4BE0" w:rsidRDefault="00ED4B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20AED"/>
    <w:multiLevelType w:val="hybridMultilevel"/>
    <w:tmpl w:val="B4747CF2"/>
    <w:lvl w:ilvl="0" w:tplc="CF185BBC">
      <w:start w:val="1"/>
      <w:numFmt w:val="bullet"/>
      <w:lvlText w:val="●"/>
      <w:lvlJc w:val="left"/>
      <w:pPr>
        <w:ind w:left="720" w:hanging="360"/>
      </w:pPr>
    </w:lvl>
    <w:lvl w:ilvl="1" w:tplc="9822E736">
      <w:start w:val="1"/>
      <w:numFmt w:val="bullet"/>
      <w:lvlText w:val="○"/>
      <w:lvlJc w:val="left"/>
      <w:pPr>
        <w:ind w:left="1440" w:hanging="360"/>
      </w:pPr>
    </w:lvl>
    <w:lvl w:ilvl="2" w:tplc="B1A6BEBA">
      <w:start w:val="1"/>
      <w:numFmt w:val="bullet"/>
      <w:lvlText w:val="■"/>
      <w:lvlJc w:val="left"/>
      <w:pPr>
        <w:ind w:left="2160" w:hanging="360"/>
      </w:pPr>
    </w:lvl>
    <w:lvl w:ilvl="3" w:tplc="7BB8B4C6">
      <w:start w:val="1"/>
      <w:numFmt w:val="bullet"/>
      <w:lvlText w:val="●"/>
      <w:lvlJc w:val="left"/>
      <w:pPr>
        <w:ind w:left="2880" w:hanging="360"/>
      </w:pPr>
    </w:lvl>
    <w:lvl w:ilvl="4" w:tplc="91702400">
      <w:start w:val="1"/>
      <w:numFmt w:val="bullet"/>
      <w:lvlText w:val="○"/>
      <w:lvlJc w:val="left"/>
      <w:pPr>
        <w:ind w:left="3600" w:hanging="360"/>
      </w:pPr>
    </w:lvl>
    <w:lvl w:ilvl="5" w:tplc="6EAE845C">
      <w:start w:val="1"/>
      <w:numFmt w:val="bullet"/>
      <w:lvlText w:val="■"/>
      <w:lvlJc w:val="left"/>
      <w:pPr>
        <w:ind w:left="4320" w:hanging="360"/>
      </w:pPr>
    </w:lvl>
    <w:lvl w:ilvl="6" w:tplc="1F988EF0">
      <w:start w:val="1"/>
      <w:numFmt w:val="bullet"/>
      <w:lvlText w:val="●"/>
      <w:lvlJc w:val="left"/>
      <w:pPr>
        <w:ind w:left="5040" w:hanging="360"/>
      </w:pPr>
    </w:lvl>
    <w:lvl w:ilvl="7" w:tplc="06C6555E">
      <w:start w:val="1"/>
      <w:numFmt w:val="bullet"/>
      <w:lvlText w:val="●"/>
      <w:lvlJc w:val="left"/>
      <w:pPr>
        <w:ind w:left="5760" w:hanging="360"/>
      </w:pPr>
    </w:lvl>
    <w:lvl w:ilvl="8" w:tplc="7C4E35A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7C4CD8"/>
    <w:rsid w:val="000853BF"/>
    <w:rsid w:val="002416D4"/>
    <w:rsid w:val="0032751A"/>
    <w:rsid w:val="007C4CD8"/>
    <w:rsid w:val="007D50BF"/>
    <w:rsid w:val="009046D5"/>
    <w:rsid w:val="009B7F98"/>
    <w:rsid w:val="00A36655"/>
    <w:rsid w:val="00A719A1"/>
    <w:rsid w:val="00A95DA2"/>
    <w:rsid w:val="00D11CD6"/>
    <w:rsid w:val="00D975C9"/>
    <w:rsid w:val="00ED4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0BF"/>
  </w:style>
  <w:style w:type="paragraph" w:styleId="Heading1">
    <w:name w:val="heading 1"/>
    <w:qFormat/>
    <w:rsid w:val="007C4CD8"/>
    <w:pPr>
      <w:outlineLvl w:val="0"/>
    </w:pPr>
    <w:rPr>
      <w:color w:val="2E74B5"/>
      <w:sz w:val="32"/>
      <w:szCs w:val="32"/>
    </w:rPr>
  </w:style>
  <w:style w:type="paragraph" w:styleId="Heading2">
    <w:name w:val="heading 2"/>
    <w:qFormat/>
    <w:rsid w:val="007C4CD8"/>
    <w:pPr>
      <w:outlineLvl w:val="1"/>
    </w:pPr>
    <w:rPr>
      <w:color w:val="2E74B5"/>
      <w:sz w:val="26"/>
      <w:szCs w:val="26"/>
    </w:rPr>
  </w:style>
  <w:style w:type="paragraph" w:styleId="Heading3">
    <w:name w:val="heading 3"/>
    <w:qFormat/>
    <w:rsid w:val="007C4CD8"/>
    <w:pPr>
      <w:outlineLvl w:val="2"/>
    </w:pPr>
    <w:rPr>
      <w:color w:val="1F4D78"/>
      <w:sz w:val="24"/>
      <w:szCs w:val="24"/>
    </w:rPr>
  </w:style>
  <w:style w:type="paragraph" w:styleId="Heading4">
    <w:name w:val="heading 4"/>
    <w:qFormat/>
    <w:rsid w:val="007C4CD8"/>
    <w:pPr>
      <w:outlineLvl w:val="3"/>
    </w:pPr>
    <w:rPr>
      <w:i/>
      <w:iCs/>
      <w:color w:val="2E74B5"/>
    </w:rPr>
  </w:style>
  <w:style w:type="paragraph" w:styleId="Heading5">
    <w:name w:val="heading 5"/>
    <w:qFormat/>
    <w:rsid w:val="007C4CD8"/>
    <w:pPr>
      <w:outlineLvl w:val="4"/>
    </w:pPr>
    <w:rPr>
      <w:color w:val="2E74B5"/>
    </w:rPr>
  </w:style>
  <w:style w:type="paragraph" w:styleId="Heading6">
    <w:name w:val="heading 6"/>
    <w:qFormat/>
    <w:rsid w:val="007C4CD8"/>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7C4CD8"/>
    <w:rPr>
      <w:sz w:val="56"/>
      <w:szCs w:val="56"/>
    </w:rPr>
  </w:style>
  <w:style w:type="paragraph" w:customStyle="1" w:styleId="Strong1">
    <w:name w:val="Strong1"/>
    <w:qFormat/>
    <w:rsid w:val="007C4CD8"/>
    <w:rPr>
      <w:b/>
      <w:bCs/>
    </w:rPr>
  </w:style>
  <w:style w:type="paragraph" w:styleId="ListParagraph">
    <w:name w:val="List Paragraph"/>
    <w:qFormat/>
    <w:rsid w:val="007C4CD8"/>
  </w:style>
  <w:style w:type="character" w:styleId="Hyperlink">
    <w:name w:val="Hyperlink"/>
    <w:uiPriority w:val="99"/>
    <w:unhideWhenUsed/>
    <w:rsid w:val="007C4CD8"/>
    <w:rPr>
      <w:color w:val="0563C1"/>
      <w:u w:val="single"/>
    </w:rPr>
  </w:style>
  <w:style w:type="character" w:styleId="FootnoteReference">
    <w:name w:val="footnote reference"/>
    <w:uiPriority w:val="99"/>
    <w:semiHidden/>
    <w:unhideWhenUsed/>
    <w:rsid w:val="007C4CD8"/>
    <w:rPr>
      <w:vertAlign w:val="superscript"/>
    </w:rPr>
  </w:style>
  <w:style w:type="paragraph" w:styleId="FootnoteText">
    <w:name w:val="footnote text"/>
    <w:link w:val="FootnoteTextChar"/>
    <w:uiPriority w:val="99"/>
    <w:semiHidden/>
    <w:unhideWhenUsed/>
    <w:rsid w:val="007C4CD8"/>
  </w:style>
  <w:style w:type="character" w:customStyle="1" w:styleId="FootnoteTextChar">
    <w:name w:val="Footnote Text Char"/>
    <w:link w:val="FootnoteText"/>
    <w:uiPriority w:val="99"/>
    <w:semiHidden/>
    <w:unhideWhenUsed/>
    <w:rsid w:val="007C4CD8"/>
    <w:rPr>
      <w:sz w:val="20"/>
      <w:szCs w:val="20"/>
    </w:rPr>
  </w:style>
  <w:style w:type="character" w:styleId="EndnoteReference">
    <w:name w:val="endnote reference"/>
    <w:uiPriority w:val="99"/>
    <w:semiHidden/>
    <w:unhideWhenUsed/>
    <w:rsid w:val="007C4CD8"/>
    <w:rPr>
      <w:vertAlign w:val="superscript"/>
    </w:rPr>
  </w:style>
  <w:style w:type="paragraph" w:styleId="EndnoteText">
    <w:name w:val="endnote text"/>
    <w:link w:val="EndnoteTextChar"/>
    <w:uiPriority w:val="99"/>
    <w:semiHidden/>
    <w:unhideWhenUsed/>
    <w:rsid w:val="007C4CD8"/>
  </w:style>
  <w:style w:type="character" w:customStyle="1" w:styleId="EndnoteTextChar">
    <w:name w:val="Endnote Text Char"/>
    <w:link w:val="EndnoteText"/>
    <w:uiPriority w:val="99"/>
    <w:semiHidden/>
    <w:unhideWhenUsed/>
    <w:rsid w:val="007C4CD8"/>
    <w:rPr>
      <w:sz w:val="20"/>
      <w:szCs w:val="20"/>
    </w:rPr>
  </w:style>
  <w:style w:type="paragraph" w:styleId="Header">
    <w:name w:val="header"/>
    <w:basedOn w:val="Normal"/>
    <w:link w:val="HeaderChar"/>
    <w:uiPriority w:val="99"/>
    <w:unhideWhenUsed/>
    <w:rsid w:val="00ED4BE0"/>
    <w:pPr>
      <w:tabs>
        <w:tab w:val="center" w:pos="4513"/>
        <w:tab w:val="right" w:pos="9026"/>
      </w:tabs>
    </w:pPr>
  </w:style>
  <w:style w:type="character" w:customStyle="1" w:styleId="HeaderChar">
    <w:name w:val="Header Char"/>
    <w:basedOn w:val="DefaultParagraphFont"/>
    <w:link w:val="Header"/>
    <w:uiPriority w:val="99"/>
    <w:rsid w:val="00ED4BE0"/>
  </w:style>
  <w:style w:type="paragraph" w:styleId="Footer">
    <w:name w:val="footer"/>
    <w:basedOn w:val="Normal"/>
    <w:link w:val="FooterChar"/>
    <w:uiPriority w:val="99"/>
    <w:unhideWhenUsed/>
    <w:rsid w:val="00ED4BE0"/>
    <w:pPr>
      <w:tabs>
        <w:tab w:val="center" w:pos="4513"/>
        <w:tab w:val="right" w:pos="9026"/>
      </w:tabs>
    </w:pPr>
  </w:style>
  <w:style w:type="character" w:customStyle="1" w:styleId="FooterChar">
    <w:name w:val="Footer Char"/>
    <w:basedOn w:val="DefaultParagraphFont"/>
    <w:link w:val="Footer"/>
    <w:uiPriority w:val="99"/>
    <w:rsid w:val="00ED4BE0"/>
  </w:style>
  <w:style w:type="paragraph" w:styleId="BalloonText">
    <w:name w:val="Balloon Text"/>
    <w:basedOn w:val="Normal"/>
    <w:link w:val="BalloonTextChar"/>
    <w:uiPriority w:val="99"/>
    <w:semiHidden/>
    <w:unhideWhenUsed/>
    <w:rsid w:val="00ED4BE0"/>
    <w:rPr>
      <w:rFonts w:ascii="Tahoma" w:hAnsi="Tahoma" w:cs="Tahoma"/>
      <w:sz w:val="16"/>
      <w:szCs w:val="16"/>
    </w:rPr>
  </w:style>
  <w:style w:type="character" w:customStyle="1" w:styleId="BalloonTextChar">
    <w:name w:val="Balloon Text Char"/>
    <w:basedOn w:val="DefaultParagraphFont"/>
    <w:link w:val="BalloonText"/>
    <w:uiPriority w:val="99"/>
    <w:semiHidden/>
    <w:rsid w:val="00ED4B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1943</Words>
  <Characters>11078</Characters>
  <Application>Microsoft Office Word</Application>
  <DocSecurity>0</DocSecurity>
  <Lines>92</Lines>
  <Paragraphs>25</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Abstract</vt:lpstr>
      <vt:lpstr/>
      <vt:lpstr>Introduction</vt:lpstr>
      <vt:lpstr/>
      <vt:lpstr>Materials and Methods</vt:lpstr>
      <vt:lpstr>    Study Design and Setting</vt:lpstr>
      <vt:lpstr>    Study Population</vt:lpstr>
      <vt:lpstr>    Inclusion and Exclusion Criteria</vt:lpstr>
      <vt:lpstr>    Data Collection</vt:lpstr>
      <vt:lpstr>    Statistical Analysis</vt:lpstr>
      <vt:lpstr/>
      <vt:lpstr>Results</vt:lpstr>
      <vt:lpstr/>
      <vt:lpstr>Discussion</vt:lpstr>
      <vt:lpstr>Strengths and Limitations</vt:lpstr>
      <vt:lpstr>Conclusion</vt:lpstr>
      <vt:lpstr/>
      <vt:lpstr>References</vt:lpstr>
      <vt:lpstr/>
    </vt:vector>
  </TitlesOfParts>
  <Company/>
  <LinksUpToDate>false</LinksUpToDate>
  <CharactersWithSpaces>12996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RDRL</cp:lastModifiedBy>
  <cp:revision>6</cp:revision>
  <cp:lastPrinted>2026-07-24T04:33:00Z</cp:lastPrinted>
  <dcterms:created xsi:type="dcterms:W3CDTF">2026-07-23T07:53:00Z</dcterms:created>
  <dcterms:modified xsi:type="dcterms:W3CDTF">2026-07-24T04:34:00Z</dcterms:modified>
</cp:coreProperties>
</file>