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4D" w:rsidRPr="004F634D" w:rsidRDefault="004F634D" w:rsidP="004F634D">
      <w:pPr>
        <w:spacing w:after="0" w:line="360" w:lineRule="auto"/>
        <w:jc w:val="both"/>
        <w:rPr>
          <w:rFonts w:ascii="Cambria" w:hAnsi="Cambria" w:cs="Times New Roman"/>
          <w:b/>
          <w:sz w:val="24"/>
          <w:szCs w:val="24"/>
        </w:rPr>
      </w:pPr>
      <w:r w:rsidRPr="004F634D">
        <w:rPr>
          <w:rFonts w:ascii="Cambria" w:hAnsi="Cambria" w:cs="Times New Roman"/>
          <w:b/>
          <w:sz w:val="24"/>
          <w:szCs w:val="24"/>
          <w:highlight w:val="lightGray"/>
        </w:rPr>
        <w:t>Original article:</w:t>
      </w:r>
    </w:p>
    <w:p w:rsidR="008D5B13" w:rsidRPr="004F634D" w:rsidRDefault="008D5B13" w:rsidP="004F634D">
      <w:pPr>
        <w:spacing w:after="0" w:line="360" w:lineRule="auto"/>
        <w:jc w:val="both"/>
        <w:rPr>
          <w:rFonts w:ascii="Cambria" w:hAnsi="Cambria" w:cs="Times New Roman"/>
          <w:b/>
          <w:color w:val="0070C0"/>
          <w:sz w:val="28"/>
          <w:szCs w:val="28"/>
        </w:rPr>
      </w:pPr>
      <w:r w:rsidRPr="004F634D">
        <w:rPr>
          <w:rFonts w:ascii="Cambria" w:hAnsi="Cambria" w:cs="Times New Roman"/>
          <w:b/>
          <w:color w:val="0070C0"/>
          <w:sz w:val="28"/>
          <w:szCs w:val="28"/>
        </w:rPr>
        <w:t>Assessment of serum electrolytes in preeclampsia</w:t>
      </w:r>
    </w:p>
    <w:p w:rsidR="008D5B13" w:rsidRPr="004D7028" w:rsidRDefault="008D5B13" w:rsidP="004F634D">
      <w:pPr>
        <w:spacing w:after="0" w:line="360" w:lineRule="auto"/>
        <w:jc w:val="both"/>
        <w:rPr>
          <w:rFonts w:ascii="Cambria" w:hAnsi="Cambria"/>
          <w:b/>
          <w:sz w:val="20"/>
          <w:szCs w:val="20"/>
        </w:rPr>
      </w:pPr>
      <w:r w:rsidRPr="004D7028">
        <w:rPr>
          <w:rFonts w:ascii="Cambria" w:hAnsi="Cambria"/>
          <w:b/>
          <w:sz w:val="20"/>
          <w:szCs w:val="20"/>
          <w:vertAlign w:val="superscript"/>
        </w:rPr>
        <w:t>1</w:t>
      </w:r>
      <w:r w:rsidRPr="004D7028">
        <w:rPr>
          <w:rFonts w:ascii="Cambria" w:hAnsi="Cambria"/>
          <w:b/>
          <w:sz w:val="20"/>
          <w:szCs w:val="20"/>
        </w:rPr>
        <w:t xml:space="preserve"> Bholanath Maji,</w:t>
      </w:r>
      <w:r w:rsidRPr="004D7028">
        <w:rPr>
          <w:rFonts w:ascii="Cambria" w:hAnsi="Cambria"/>
          <w:b/>
          <w:sz w:val="20"/>
          <w:szCs w:val="20"/>
          <w:vertAlign w:val="superscript"/>
        </w:rPr>
        <w:t xml:space="preserve"> 2 </w:t>
      </w:r>
      <w:r w:rsidRPr="004D7028">
        <w:rPr>
          <w:rFonts w:ascii="Cambria" w:hAnsi="Cambria"/>
          <w:b/>
          <w:sz w:val="20"/>
          <w:szCs w:val="20"/>
        </w:rPr>
        <w:t>Satyendra Nath Saha</w:t>
      </w:r>
    </w:p>
    <w:p w:rsidR="008D5B13" w:rsidRPr="004D7028" w:rsidRDefault="008D5B13" w:rsidP="004F634D">
      <w:pPr>
        <w:spacing w:after="0" w:line="360" w:lineRule="auto"/>
        <w:jc w:val="both"/>
        <w:rPr>
          <w:rFonts w:ascii="Cambria" w:hAnsi="Cambria"/>
          <w:sz w:val="20"/>
          <w:szCs w:val="20"/>
        </w:rPr>
      </w:pPr>
    </w:p>
    <w:p w:rsidR="008D5B13" w:rsidRPr="004D7028" w:rsidRDefault="008D5B13" w:rsidP="004F634D">
      <w:pPr>
        <w:spacing w:after="0" w:line="360" w:lineRule="auto"/>
        <w:jc w:val="both"/>
        <w:rPr>
          <w:rFonts w:ascii="Cambria" w:hAnsi="Cambria"/>
          <w:sz w:val="20"/>
          <w:szCs w:val="20"/>
        </w:rPr>
      </w:pPr>
      <w:r w:rsidRPr="004D7028">
        <w:rPr>
          <w:rFonts w:ascii="Cambria" w:hAnsi="Cambria"/>
          <w:sz w:val="20"/>
          <w:szCs w:val="20"/>
          <w:vertAlign w:val="superscript"/>
        </w:rPr>
        <w:t>1</w:t>
      </w:r>
      <w:r w:rsidRPr="004D7028">
        <w:rPr>
          <w:rFonts w:ascii="Cambria" w:hAnsi="Cambria"/>
          <w:sz w:val="20"/>
          <w:szCs w:val="20"/>
        </w:rPr>
        <w:t>Assistant Professor, Department of Biochemistry, Burdwan medical college and hospital, Burdwan</w:t>
      </w:r>
    </w:p>
    <w:p w:rsidR="008D5B13" w:rsidRPr="004D7028" w:rsidRDefault="008D5B13" w:rsidP="004F634D">
      <w:pPr>
        <w:spacing w:after="0" w:line="360" w:lineRule="auto"/>
        <w:jc w:val="both"/>
        <w:rPr>
          <w:rFonts w:ascii="Cambria" w:hAnsi="Cambria"/>
          <w:sz w:val="20"/>
          <w:szCs w:val="20"/>
        </w:rPr>
      </w:pPr>
      <w:r w:rsidRPr="004D7028">
        <w:rPr>
          <w:rFonts w:ascii="Cambria" w:hAnsi="Cambria"/>
          <w:sz w:val="20"/>
          <w:szCs w:val="20"/>
          <w:vertAlign w:val="superscript"/>
        </w:rPr>
        <w:t>2</w:t>
      </w:r>
      <w:r w:rsidRPr="004D7028">
        <w:rPr>
          <w:rFonts w:ascii="Cambria" w:hAnsi="Cambria"/>
          <w:sz w:val="20"/>
          <w:szCs w:val="20"/>
        </w:rPr>
        <w:t>Assistant Professor, Department of General medicine, Burdwan medical college and hospital, Burdwan</w:t>
      </w:r>
    </w:p>
    <w:p w:rsidR="008D5B13" w:rsidRPr="004D7028" w:rsidRDefault="008D5B13" w:rsidP="004F634D">
      <w:pPr>
        <w:spacing w:after="0" w:line="360" w:lineRule="auto"/>
        <w:jc w:val="both"/>
        <w:rPr>
          <w:rFonts w:ascii="Cambria" w:hAnsi="Cambria"/>
          <w:sz w:val="20"/>
          <w:szCs w:val="20"/>
        </w:rPr>
      </w:pPr>
      <w:r w:rsidRPr="004D7028">
        <w:rPr>
          <w:rFonts w:ascii="Cambria" w:hAnsi="Cambria"/>
          <w:sz w:val="20"/>
          <w:szCs w:val="20"/>
        </w:rPr>
        <w:t>Corresponding author : Satyendra Nath Saha</w:t>
      </w:r>
    </w:p>
    <w:p w:rsidR="004F634D" w:rsidRDefault="004F634D" w:rsidP="004F634D">
      <w:pPr>
        <w:spacing w:after="0" w:line="360" w:lineRule="auto"/>
        <w:jc w:val="both"/>
        <w:rPr>
          <w:sz w:val="28"/>
          <w:szCs w:val="28"/>
        </w:rPr>
      </w:pPr>
    </w:p>
    <w:p w:rsidR="008D5B13" w:rsidRPr="00467D08" w:rsidRDefault="008D5B13" w:rsidP="004F634D">
      <w:pPr>
        <w:spacing w:after="0" w:line="360" w:lineRule="auto"/>
        <w:jc w:val="both"/>
        <w:rPr>
          <w:rFonts w:ascii="Times New Roman" w:eastAsia="Calibri" w:hAnsi="Times New Roman" w:cs="Times New Roman"/>
          <w:b/>
          <w:sz w:val="20"/>
          <w:szCs w:val="20"/>
        </w:rPr>
      </w:pPr>
      <w:r w:rsidRPr="00467D08">
        <w:rPr>
          <w:rFonts w:ascii="Times New Roman" w:eastAsia="Calibri" w:hAnsi="Times New Roman" w:cs="Times New Roman"/>
          <w:b/>
          <w:sz w:val="20"/>
          <w:szCs w:val="20"/>
        </w:rPr>
        <w:t xml:space="preserve">Abstract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67D08">
        <w:rPr>
          <w:rFonts w:ascii="Times New Roman" w:eastAsia="Calibri" w:hAnsi="Times New Roman" w:cs="Times New Roman"/>
          <w:sz w:val="20"/>
          <w:szCs w:val="20"/>
        </w:rPr>
        <w:t>Preeclampsia is an important and potentially dangerous disease in pregnancy. This can cause altered levels of different blood parameters. In turn</w:t>
      </w:r>
      <w:r w:rsidRPr="004F634D">
        <w:rPr>
          <w:rFonts w:ascii="Times New Roman" w:eastAsia="Calibri" w:hAnsi="Times New Roman" w:cs="Times New Roman"/>
          <w:sz w:val="20"/>
          <w:szCs w:val="20"/>
        </w:rPr>
        <w:t>, the mother can suffer. This study assessed the change in electrolytes in preeclampsia. 46 preeclampsia patients and 43 normal pregnant females were enrolled for study of serum potassium and sodium. With respect to patients, controls had lower sodium and higher potassium levels. The implications of this study are that sodium and potassium monitoring may help in detecting preeclampsia cases early.</w:t>
      </w:r>
    </w:p>
    <w:p w:rsidR="004F634D" w:rsidRDefault="004F634D" w:rsidP="004F634D">
      <w:pPr>
        <w:spacing w:after="0" w:line="360" w:lineRule="auto"/>
        <w:jc w:val="both"/>
        <w:rPr>
          <w:rFonts w:ascii="Times New Roman" w:eastAsia="Calibri" w:hAnsi="Times New Roman" w:cs="Times New Roman"/>
          <w:sz w:val="20"/>
          <w:szCs w:val="20"/>
          <w:u w:val="single"/>
        </w:rPr>
      </w:pPr>
    </w:p>
    <w:p w:rsidR="008D5B13" w:rsidRPr="004F634D" w:rsidRDefault="008D5B13" w:rsidP="004F634D">
      <w:pPr>
        <w:spacing w:after="0" w:line="360" w:lineRule="auto"/>
        <w:jc w:val="both"/>
        <w:rPr>
          <w:rFonts w:ascii="Times New Roman" w:eastAsia="Calibri" w:hAnsi="Times New Roman" w:cs="Times New Roman"/>
          <w:b/>
          <w:sz w:val="20"/>
          <w:szCs w:val="20"/>
        </w:rPr>
      </w:pPr>
      <w:r w:rsidRPr="004F634D">
        <w:rPr>
          <w:rFonts w:ascii="Times New Roman" w:eastAsia="Calibri" w:hAnsi="Times New Roman" w:cs="Times New Roman"/>
          <w:b/>
          <w:sz w:val="20"/>
          <w:szCs w:val="20"/>
        </w:rPr>
        <w:t xml:space="preserve">Introduction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In pregnancy, preeclampsia can lead to serious problems (1). Preeclampsia involves multiple systems of the body (2). Proteinuria, edema and hypertension are important indicators of preeclampsia. To diagnose preeclampsia, edema after 20 weeks, daily proteinuria more than 300 mg/dl and BP more than 140/90 are required.</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In the early phase of preeclampsia it is thought that blood flow to tissues is decreased. This can lead to stimulation of the rennin-angiotensin-aldosterone axis, causing altered levels of serum leading to hypertension(4, 5). As sodium and potassium also are important regulators of hypertension, our study aimed to analyse the pathophysiology of preeclampsia with electrolytes in the background.</w:t>
      </w:r>
    </w:p>
    <w:p w:rsidR="008D5B13" w:rsidRPr="004F634D" w:rsidRDefault="008D5B13" w:rsidP="004F634D">
      <w:pPr>
        <w:spacing w:after="0" w:line="360" w:lineRule="auto"/>
        <w:jc w:val="both"/>
        <w:rPr>
          <w:rFonts w:ascii="Times New Roman" w:eastAsia="Calibri" w:hAnsi="Times New Roman" w:cs="Times New Roman"/>
          <w:b/>
          <w:sz w:val="20"/>
          <w:szCs w:val="20"/>
        </w:rPr>
      </w:pPr>
      <w:r w:rsidRPr="004F634D">
        <w:rPr>
          <w:rFonts w:ascii="Times New Roman" w:eastAsia="Calibri" w:hAnsi="Times New Roman" w:cs="Times New Roman"/>
          <w:sz w:val="20"/>
          <w:szCs w:val="20"/>
        </w:rPr>
        <w:t xml:space="preserve"> </w:t>
      </w:r>
      <w:r w:rsidRPr="004F634D">
        <w:rPr>
          <w:rFonts w:ascii="Times New Roman" w:eastAsia="Calibri" w:hAnsi="Times New Roman" w:cs="Times New Roman"/>
          <w:b/>
          <w:sz w:val="20"/>
          <w:szCs w:val="20"/>
        </w:rPr>
        <w:t xml:space="preserve">Materials and methods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The study was undertaken in a tertiary care hospital of eastern India. 46 preeclamptic patients and 46 healthy age-matched normotensive nonproteinuric pregnant controls were selected. All subjects were primigravida and were randomly selected by a non-biased investigator from the patients of the Obstetrics OPD or IPD. Careful history and examination was performed to include or exclude su</w:t>
      </w:r>
      <w:bookmarkStart w:id="0" w:name="_GoBack"/>
      <w:bookmarkEnd w:id="0"/>
      <w:r w:rsidRPr="004F634D">
        <w:rPr>
          <w:rFonts w:ascii="Times New Roman" w:eastAsia="Calibri" w:hAnsi="Times New Roman" w:cs="Times New Roman"/>
          <w:sz w:val="20"/>
          <w:szCs w:val="20"/>
        </w:rPr>
        <w:t xml:space="preserve">bjects for the study. Informed consent was taken from all subjects. The institutional ethical committee approved the study. Exclusion criteria were multiple pregnancy, chronic hypertension, renal diseases, concomitant disease, addictions (smoking, alcoholism), history of abortion. 5 ml of venous blood was collected from the patients after overnight fasting. Sodium and potassium levels were estimated by ion selective electrolyte analyzer.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Statistical analysis was done by students unpaired t test using SPSS software. </w:t>
      </w:r>
    </w:p>
    <w:p w:rsidR="008D5B13" w:rsidRPr="004F634D" w:rsidRDefault="008D5B13" w:rsidP="004F634D">
      <w:pPr>
        <w:spacing w:after="0" w:line="360" w:lineRule="auto"/>
        <w:jc w:val="both"/>
        <w:rPr>
          <w:rFonts w:ascii="Times New Roman" w:eastAsia="Calibri" w:hAnsi="Times New Roman" w:cs="Times New Roman"/>
          <w:b/>
          <w:sz w:val="20"/>
          <w:szCs w:val="20"/>
        </w:rPr>
      </w:pPr>
      <w:r w:rsidRPr="004F634D">
        <w:rPr>
          <w:rFonts w:ascii="Times New Roman" w:eastAsia="Calibri" w:hAnsi="Times New Roman" w:cs="Times New Roman"/>
          <w:b/>
          <w:sz w:val="20"/>
          <w:szCs w:val="20"/>
        </w:rPr>
        <w:t xml:space="preserve">Results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46 subjects were enrolled in each group, but 3 controls dropped out later during the study. So, the ultimate number of controls came down to 43. Age of patients ranged from 21 to 28, whereas that of controls ranged from 20 to 29. Gestational period ranged from 22 to 36 weeks.</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lastRenderedPageBreak/>
        <w:t xml:space="preserve">Table 1. Serum sodium and potassium levels (mean + SD) in patients and controls </w:t>
      </w:r>
    </w:p>
    <w:p w:rsidR="008D5B13" w:rsidRPr="004F634D" w:rsidRDefault="008D5B13" w:rsidP="004F634D">
      <w:pPr>
        <w:spacing w:after="0" w:line="360" w:lineRule="auto"/>
        <w:ind w:left="1440" w:firstLine="720"/>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Sodium (meq/l) </w:t>
      </w:r>
      <w:r w:rsidRPr="004F634D">
        <w:rPr>
          <w:rFonts w:ascii="Times New Roman" w:eastAsia="Calibri" w:hAnsi="Times New Roman" w:cs="Times New Roman"/>
          <w:sz w:val="20"/>
          <w:szCs w:val="20"/>
        </w:rPr>
        <w:tab/>
        <w:t>Potassium (meq/l)</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Patients (n=46) </w:t>
      </w:r>
      <w:r w:rsidRPr="004F634D">
        <w:rPr>
          <w:rFonts w:ascii="Times New Roman" w:eastAsia="Calibri" w:hAnsi="Times New Roman" w:cs="Times New Roman"/>
          <w:sz w:val="20"/>
          <w:szCs w:val="20"/>
        </w:rPr>
        <w:tab/>
        <w:t xml:space="preserve">143 + 12.3 </w:t>
      </w:r>
      <w:r w:rsidRPr="004F634D">
        <w:rPr>
          <w:rFonts w:ascii="Times New Roman" w:eastAsia="Calibri" w:hAnsi="Times New Roman" w:cs="Times New Roman"/>
          <w:sz w:val="20"/>
          <w:szCs w:val="20"/>
        </w:rPr>
        <w:tab/>
      </w:r>
      <w:r w:rsidRPr="004F634D">
        <w:rPr>
          <w:rFonts w:ascii="Times New Roman" w:eastAsia="Calibri" w:hAnsi="Times New Roman" w:cs="Times New Roman"/>
          <w:sz w:val="20"/>
          <w:szCs w:val="20"/>
        </w:rPr>
        <w:tab/>
        <w:t xml:space="preserve">4.7 + 0.6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Controls (n=43)</w:t>
      </w:r>
      <w:r w:rsidRPr="004F634D">
        <w:rPr>
          <w:rFonts w:ascii="Times New Roman" w:eastAsia="Calibri" w:hAnsi="Times New Roman" w:cs="Times New Roman"/>
          <w:sz w:val="20"/>
          <w:szCs w:val="20"/>
        </w:rPr>
        <w:tab/>
        <w:t xml:space="preserve">134 + 9.8 </w:t>
      </w:r>
      <w:r w:rsidRPr="004F634D">
        <w:rPr>
          <w:rFonts w:ascii="Times New Roman" w:eastAsia="Calibri" w:hAnsi="Times New Roman" w:cs="Times New Roman"/>
          <w:sz w:val="20"/>
          <w:szCs w:val="20"/>
        </w:rPr>
        <w:tab/>
      </w:r>
      <w:r w:rsidRPr="004F634D">
        <w:rPr>
          <w:rFonts w:ascii="Times New Roman" w:eastAsia="Calibri" w:hAnsi="Times New Roman" w:cs="Times New Roman"/>
          <w:sz w:val="20"/>
          <w:szCs w:val="20"/>
        </w:rPr>
        <w:tab/>
        <w:t>3.6 + 0.2</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For comparison of serum sodium between 2 groups: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The two-tailed P value equals 0.0003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By conventional criteria, this difference is considered to be extremely statistically significant.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Confidence interval: The mean of Group One minus Group Two equals 9.000</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95% confidence interval of this difference: From 4.293 to 13.707</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Intermediate values used in calculations:</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t = 3.8008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df = 87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standard error of difference = 2.368</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For comparison of serum potassium between 2 groups:</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P value and statistical significance: The two-tailed P value equals 0.0405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By conventional criteria, this difference is considered to be statistically significant.</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Confidence interval: The mean of Group One minus Group Two equals 0.200</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95% confidence interval of this difference: From 0.009 to 0.391</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Intermediate values used in calculations:</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t = 2.0798</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df = 87</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standard error of difference = 0.096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Serum sodium was highly significantly increased in patients with respect to controls. Serum potassium was significantly decreased in the patient group compared to the control group.</w:t>
      </w:r>
    </w:p>
    <w:p w:rsidR="008D5B13" w:rsidRPr="004F634D" w:rsidRDefault="008D5B13" w:rsidP="004F634D">
      <w:pPr>
        <w:spacing w:after="0" w:line="360" w:lineRule="auto"/>
        <w:jc w:val="both"/>
        <w:rPr>
          <w:rFonts w:ascii="Times New Roman" w:eastAsia="Calibri" w:hAnsi="Times New Roman" w:cs="Times New Roman"/>
          <w:b/>
          <w:sz w:val="20"/>
          <w:szCs w:val="20"/>
        </w:rPr>
      </w:pPr>
      <w:r w:rsidRPr="004F634D">
        <w:rPr>
          <w:rFonts w:ascii="Times New Roman" w:eastAsia="Calibri" w:hAnsi="Times New Roman" w:cs="Times New Roman"/>
          <w:b/>
          <w:sz w:val="20"/>
          <w:szCs w:val="20"/>
        </w:rPr>
        <w:t xml:space="preserve">Discussion </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Preeclampsia is a pregnancy-specific disorder which is unique, both in its pathophysiology as well as management. On one hand, preeclampsia causes eclampsia, maternal mortality and morbidity; on the other hand preeclampsia leads to fetal problems like growth retardation and prematurity.</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 xml:space="preserve"> Some workers have shown significantly raised serum sodium levels in preeclampsia, but other studies have demonstrated normal sodium levels.[5] In our study, we found that serum sodium was highly significantly increased in patients with respect to controls. In preeclampsia there is reduced intrarenal production of cyclic GMP, endothelin and PGE2 ; this may be important in the the vasospasm, intrarenal thrombosis, sodium retention, and hypertension of preeclampsia(6). The “peripheral arterial vasodilation hypothesis” of sodium and water retention in pregnancy states that with increased endothelial damage, sodium retention and increased sensitivity to angiotensin lead to hypertension, oedema and proteinuria in preeclampsia-eclampsia (7,8).</w:t>
      </w:r>
    </w:p>
    <w:p w:rsidR="008D5B13" w:rsidRPr="004F634D" w:rsidRDefault="008D5B13" w:rsidP="004F634D">
      <w:pPr>
        <w:spacing w:after="0" w:line="360" w:lineRule="auto"/>
        <w:jc w:val="both"/>
        <w:rPr>
          <w:rFonts w:ascii="Times New Roman" w:eastAsia="Calibri" w:hAnsi="Times New Roman" w:cs="Times New Roman"/>
          <w:sz w:val="20"/>
          <w:szCs w:val="20"/>
        </w:rPr>
      </w:pPr>
      <w:r w:rsidRPr="004F634D">
        <w:rPr>
          <w:rFonts w:ascii="Times New Roman" w:eastAsia="Calibri" w:hAnsi="Times New Roman" w:cs="Times New Roman"/>
          <w:sz w:val="20"/>
          <w:szCs w:val="20"/>
        </w:rPr>
        <w:t>So, it is not final that increased sodium levels has a definite role in the pathophysiology of preeclampsia, but the findings suggest a possible role, either as a predisposing or risk factor in already predisposed persons . This has to be proved, and there are still areas for further research. A longitudinal study in this regard may be helpful (9). On the other hand, potassium is thought to play a small role in the development of hypertension. But, a lot of evidence points in the direction that potassium deficit has an important role in hypertension and its problems (10,11). In a clinical study, a diet low in potassium (10 to 16 mmol per day) coupled with the participants’ usual sodium intake (120 to 200 mmol per day) caused sodium retention and an elevation of blood pressure; on average, systolic pressure increased by 6 mm Hg and diastolic pressure by 4 mm Hg in normotensive subjects, and systolic pressure increased by 7 mm Hg and diastolic pressure by 6 mm Hg in hypertensive subjects (12). In normal pregnancy hypokalemia may be due to increased aldosterone and other mineralocorticoid levels in plasma (13). Inadequate conservation of potassium by kidney and alimentary canal lead to potassium deficit;, fecal potassium losses can be more than urinary losses (14). Chronic potassium loading is a potent stimulus to aldosterone production in a number of mammals (15). In arterioles, the sodium potassium balance is crucial to maintain normal blood pressure. So, if there are problems with this mechanism, it can lead to hypertension. The extrusion of Na and uptake of K appear to be mediated by a system having the properties of a Na,K-dependent adenosine triphosphatase(16). Varying sodium and potassium levels have been found by various workers(17- 20). In our study, we found that serum potassium was significantly decreased in the patient group compared to the control group.</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b/>
          <w:sz w:val="20"/>
          <w:szCs w:val="20"/>
        </w:rPr>
        <w:t xml:space="preserve"> Conclusion</w:t>
      </w:r>
      <w:r w:rsidRPr="004F634D">
        <w:rPr>
          <w:rFonts w:ascii="Times New Roman" w:eastAsia="Calibri" w:hAnsi="Times New Roman" w:cs="Times New Roman"/>
          <w:sz w:val="20"/>
          <w:szCs w:val="20"/>
        </w:rPr>
        <w:t xml:space="preserve">: </w:t>
      </w:r>
    </w:p>
    <w:p w:rsidR="008D5B13" w:rsidRPr="004F634D" w:rsidRDefault="008D5B13" w:rsidP="004F634D">
      <w:pPr>
        <w:spacing w:after="0" w:line="360" w:lineRule="auto"/>
        <w:rPr>
          <w:rFonts w:ascii="Times New Roman" w:eastAsia="Calibri" w:hAnsi="Times New Roman" w:cs="Times New Roman"/>
          <w:sz w:val="20"/>
          <w:szCs w:val="20"/>
        </w:rPr>
      </w:pPr>
      <w:r w:rsidRPr="004F634D">
        <w:rPr>
          <w:rFonts w:ascii="Times New Roman" w:eastAsia="Calibri" w:hAnsi="Times New Roman" w:cs="Times New Roman"/>
          <w:sz w:val="20"/>
          <w:szCs w:val="20"/>
        </w:rPr>
        <w:t>Thus, we conclude that electrolyte levels in pregnancy might be important early indicators of preeclampsia, and this might aid early detection and treatment.</w:t>
      </w:r>
    </w:p>
    <w:p w:rsidR="004F634D" w:rsidRDefault="004F634D" w:rsidP="004F634D">
      <w:pPr>
        <w:spacing w:after="0" w:line="360" w:lineRule="auto"/>
        <w:rPr>
          <w:rFonts w:ascii="Times New Roman" w:eastAsia="Calibri" w:hAnsi="Times New Roman" w:cs="Times New Roman"/>
          <w:sz w:val="20"/>
          <w:szCs w:val="20"/>
        </w:rPr>
      </w:pPr>
    </w:p>
    <w:p w:rsidR="004F634D" w:rsidRDefault="004F634D" w:rsidP="004F634D">
      <w:pPr>
        <w:spacing w:after="0" w:line="360" w:lineRule="auto"/>
        <w:rPr>
          <w:rFonts w:ascii="Times New Roman" w:eastAsia="Calibri" w:hAnsi="Times New Roman" w:cs="Times New Roman"/>
          <w:sz w:val="20"/>
          <w:szCs w:val="20"/>
        </w:rPr>
      </w:pPr>
    </w:p>
    <w:p w:rsidR="008D5B13" w:rsidRPr="004F634D" w:rsidRDefault="008D5B13" w:rsidP="004F634D">
      <w:pPr>
        <w:spacing w:after="0" w:line="360" w:lineRule="auto"/>
        <w:rPr>
          <w:rFonts w:ascii="Times New Roman" w:eastAsia="Calibri" w:hAnsi="Times New Roman" w:cs="Times New Roman"/>
          <w:b/>
          <w:sz w:val="20"/>
          <w:szCs w:val="20"/>
        </w:rPr>
      </w:pPr>
      <w:r w:rsidRPr="004F634D">
        <w:rPr>
          <w:rFonts w:ascii="Times New Roman" w:eastAsia="Calibri" w:hAnsi="Times New Roman" w:cs="Times New Roman"/>
          <w:b/>
          <w:sz w:val="20"/>
          <w:szCs w:val="20"/>
        </w:rPr>
        <w:t xml:space="preserve">References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1. Pregnancy-related mortality from preeclampsia and eclampsia , PMacKay A, JBerg C, KAtrash H. Obstetrics &amp; Gynecology. Vol 97, Issue 4,2001, pp 533-538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2. Interleukins in preeclampsia. Olusi SO , Diejomaoh M , Omu A , Abdulaziz A , Prabha, K , George S Annals of Saudi Medicine 2000, 20(1):4-7</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3. Genetics of hypertension in pregnancy: possible single gene control of pre‐eclampsia and eclampsia in the descendants of eclamptic women Chesley LC, Cooper DW. BJOG Vol 93, Issue9 1986 pp 898-908</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4. Longitudinal study of the renin-angiotensin-aldosterone system in hypertensive pregnant women: Deviations related to the development of superimposed preeclampsia August P, Lenz T, et al. AJOG 1990 Vol 163, Issue 5, part 1, pp 1612–1621</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5. Maternal ethnicity, paternal ethnicity, and parental ethnic discordance: Predictors of preeclampsia. Caughey AB, Stotland NE, Washington AE, Escobar GJ. Obstet Gynecol 2005;106:156-61.</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6. Urinary Cyclic GMP, Endothelin, and Prostaglandin E2 in Normal Pregnancy and Preeclampsia, B. A. Clark1 , J. Ludmir2 et al Amer J Perinatol 1997; 14(9): 559-562</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7. Peripheral arterial vasodilation hypothesis: A proposal for the initiation of renal sodium and water retention in cirrhosis Schrier RW, .Arroyo V, Bernardi M, et al Hepatology Vol 8, Issue5 1988 pp 1151-1157</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8. Vascular mechanisms of increased arterial pressure in preeclampsia: lessons from animal models Khalil RA, Granger JP, Am Jr Physiol , Vol 283 Issue 1 2002 pp R29-R45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9. Serum sodium, potassium, calcium and magnesium in women with pregnancy induced hypertension and preeclampsia in Oredo local Government, Benin Metropolis: A pilot study. Adewolu OF. Afr J Med Health Sci 2013;12:1-5.</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10. Sodium and Potassium in the Pathogenesis of Hypertension. Horacio J. Adrogué, Nicolaos E. Madias, N Engl J Med 2007; 356:1966-1978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11. Influence of dietary potassium and sodium/potassium molar ratios on the development of salt hypertension. Dahl LK, Leitl G, Heine M. J Exp Med. 1972; 136(2): 318–330.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12. Potassium depletion exacerbates essential hypertension. Krishna GG, Kapoor SC. Ann Intern Med 1991; 115: 77-83.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13. Vascular Na+/Ca2+ exchanger: implications for the pathogenesis and therapy of saltdependent hypertension. Iwamoto T. Am J Physiol Regul Integr Comp Physiol 2006; 290: 536-545.</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14. Estimation of serum zinc, sodium and potassium in normotensive and hypertensive primigravida pregnant women. Yussif MN, Salih MR, Sami AZ, Mossa MM. Tikrit Med J. 2009; 15, 1: 13-18.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15. Role of potassium in the control of aldosterone secretion in the rat. Boyd, J. E., W. P. Palmore, P. J. Mulrow. Endocrinology. 1971. 88:556.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16. Vascular smooth muscle. I. Normal structure, pathology, biochemistry, and biophysics. Somlyo, A. P., Somlyo AV. Pharmacol. Rev. 1968. 20:197.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17. Low potassium level during the first half of pregnancy is associated with lower risk for the development of gestational diabetes mellitus and severe pre-eclampsia Wolak T,Sergienko R,Wiznitzer A. Jr Maternal-Fetal Neonatal Med Vol 23, 2010 Issue 9</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18. Pharmacokinetics of ionized versus total magnesium in subjects with preterm labor and preeclampsia Taber EB, Tan L AJOG 2002 Vol 186, Issue 5, pp 1017–1021</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 xml:space="preserve"> 19. Fetal ionized magnesium levels parallel maternal levels during magnesium sulfate therapy for preeclampsia BAMason, Standley CA, Whitty JE, Cotton DB, AJOG 1996Vol 175, Issue 1, pp 213–217 </w:t>
      </w:r>
    </w:p>
    <w:p w:rsidR="008D5B13" w:rsidRPr="004F634D" w:rsidRDefault="008D5B13" w:rsidP="004F634D">
      <w:pPr>
        <w:spacing w:after="0" w:line="360" w:lineRule="auto"/>
        <w:rPr>
          <w:rFonts w:ascii="Times New Roman" w:eastAsia="Calibri" w:hAnsi="Times New Roman" w:cs="Times New Roman"/>
          <w:sz w:val="18"/>
          <w:szCs w:val="18"/>
        </w:rPr>
      </w:pPr>
      <w:r w:rsidRPr="004F634D">
        <w:rPr>
          <w:rFonts w:ascii="Times New Roman" w:eastAsia="Calibri" w:hAnsi="Times New Roman" w:cs="Times New Roman"/>
          <w:sz w:val="18"/>
          <w:szCs w:val="18"/>
        </w:rPr>
        <w:t>20. Sodium excretion in normal and hypertensive pregnancy: A prospective study BrownMA,*GalleryEDM, Ross MR, et al N AJOG Vol 159, Issue 2, 1988,pp 297-307</w:t>
      </w:r>
    </w:p>
    <w:p w:rsidR="008D5B13" w:rsidRPr="004F634D" w:rsidRDefault="008D5B13" w:rsidP="004F634D">
      <w:pPr>
        <w:spacing w:after="0" w:line="360" w:lineRule="auto"/>
        <w:rPr>
          <w:rFonts w:ascii="Times New Roman" w:eastAsia="Calibri" w:hAnsi="Times New Roman" w:cs="Times New Roman"/>
          <w:sz w:val="18"/>
          <w:szCs w:val="18"/>
        </w:rPr>
      </w:pPr>
    </w:p>
    <w:p w:rsidR="008D5B13" w:rsidRPr="004F634D" w:rsidRDefault="008D5B13" w:rsidP="004F634D">
      <w:pPr>
        <w:spacing w:after="0" w:line="360" w:lineRule="auto"/>
        <w:rPr>
          <w:rFonts w:ascii="Times New Roman" w:eastAsia="Calibri" w:hAnsi="Times New Roman" w:cs="Times New Roman"/>
          <w:sz w:val="18"/>
          <w:szCs w:val="18"/>
        </w:rPr>
      </w:pPr>
    </w:p>
    <w:p w:rsidR="008D5B13" w:rsidRPr="004F634D" w:rsidRDefault="008D5B13" w:rsidP="004F634D">
      <w:pPr>
        <w:spacing w:after="0" w:line="360" w:lineRule="auto"/>
        <w:rPr>
          <w:rFonts w:ascii="Times New Roman" w:eastAsia="Calibri" w:hAnsi="Times New Roman" w:cs="Times New Roman"/>
          <w:sz w:val="20"/>
          <w:szCs w:val="20"/>
        </w:rPr>
      </w:pPr>
    </w:p>
    <w:p w:rsidR="00F550CA" w:rsidRPr="004F634D" w:rsidRDefault="00F550CA" w:rsidP="004F634D">
      <w:pPr>
        <w:spacing w:after="0" w:line="360" w:lineRule="auto"/>
        <w:rPr>
          <w:rFonts w:ascii="Times New Roman" w:hAnsi="Times New Roman" w:cs="Times New Roman"/>
          <w:sz w:val="20"/>
          <w:szCs w:val="20"/>
        </w:rPr>
      </w:pPr>
    </w:p>
    <w:sectPr w:rsidR="00F550CA" w:rsidRPr="004F634D" w:rsidSect="00467D08">
      <w:headerReference w:type="default" r:id="rId7"/>
      <w:footerReference w:type="default" r:id="rId8"/>
      <w:pgSz w:w="11906" w:h="16838"/>
      <w:pgMar w:top="1440" w:right="1440" w:bottom="1440" w:left="1440" w:header="708" w:footer="708" w:gutter="0"/>
      <w:pgNumType w:start="4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62" w:rsidRDefault="006E1062" w:rsidP="00467D08">
      <w:pPr>
        <w:spacing w:after="0" w:line="240" w:lineRule="auto"/>
      </w:pPr>
      <w:r>
        <w:separator/>
      </w:r>
    </w:p>
  </w:endnote>
  <w:endnote w:type="continuationSeparator" w:id="0">
    <w:p w:rsidR="006E1062" w:rsidRDefault="006E1062" w:rsidP="0046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532959"/>
      <w:docPartObj>
        <w:docPartGallery w:val="Page Numbers (Bottom of Page)"/>
        <w:docPartUnique/>
      </w:docPartObj>
    </w:sdtPr>
    <w:sdtEndPr>
      <w:rPr>
        <w:noProof/>
      </w:rPr>
    </w:sdtEndPr>
    <w:sdtContent>
      <w:p w:rsidR="00467D08" w:rsidRDefault="00467D08">
        <w:pPr>
          <w:pStyle w:val="Footer"/>
          <w:jc w:val="right"/>
        </w:pPr>
        <w:r>
          <w:fldChar w:fldCharType="begin"/>
        </w:r>
        <w:r>
          <w:instrText xml:space="preserve"> PAGE   \* MERGEFORMAT </w:instrText>
        </w:r>
        <w:r>
          <w:fldChar w:fldCharType="separate"/>
        </w:r>
        <w:r w:rsidR="006E1062">
          <w:rPr>
            <w:noProof/>
          </w:rPr>
          <w:t>462</w:t>
        </w:r>
        <w:r>
          <w:rPr>
            <w:noProof/>
          </w:rPr>
          <w:fldChar w:fldCharType="end"/>
        </w:r>
      </w:p>
    </w:sdtContent>
  </w:sdt>
  <w:p w:rsidR="00467D08" w:rsidRDefault="00467D08">
    <w:pPr>
      <w:pStyle w:val="Footer"/>
    </w:pPr>
    <w:r w:rsidRPr="00467D08">
      <w:rPr>
        <w:rFonts w:ascii="Calibri" w:eastAsia="Times New Roman" w:hAnsi="Calibri" w:cs="Times New Roman"/>
        <w:kern w:val="0"/>
        <w:sz w:val="20"/>
        <w:szCs w:val="20"/>
        <w:lang w:val="en-US"/>
        <w14:ligatures w14:val="none"/>
      </w:rPr>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62" w:rsidRDefault="006E1062" w:rsidP="00467D08">
      <w:pPr>
        <w:spacing w:after="0" w:line="240" w:lineRule="auto"/>
      </w:pPr>
      <w:r>
        <w:separator/>
      </w:r>
    </w:p>
  </w:footnote>
  <w:footnote w:type="continuationSeparator" w:id="0">
    <w:p w:rsidR="006E1062" w:rsidRDefault="006E1062" w:rsidP="0046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8" w:rsidRPr="000359C6" w:rsidRDefault="00467D08" w:rsidP="00467D08">
    <w:pPr>
      <w:pBdr>
        <w:top w:val="nil"/>
        <w:left w:val="nil"/>
        <w:bottom w:val="nil"/>
        <w:right w:val="nil"/>
        <w:between w:val="nil"/>
        <w:bar w:val="nil"/>
      </w:pBdr>
      <w:tabs>
        <w:tab w:val="center" w:pos="4513"/>
        <w:tab w:val="right" w:pos="9026"/>
      </w:tabs>
      <w:spacing w:after="0" w:line="240" w:lineRule="auto"/>
      <w:ind w:left="67" w:right="-624"/>
      <w:rPr>
        <w:rFonts w:ascii="Cambria" w:eastAsiaTheme="minorEastAsia" w:hAnsi="Cambria"/>
        <w:sz w:val="20"/>
        <w:szCs w:val="20"/>
        <w:bdr w:val="nil"/>
        <w:lang w:eastAsia="en-IN"/>
      </w:rPr>
    </w:pPr>
    <w:r w:rsidRPr="000359C6">
      <w:rPr>
        <w:rFonts w:ascii="Cambria" w:eastAsiaTheme="minorEastAsia" w:hAnsi="Cambria"/>
        <w:sz w:val="20"/>
        <w:szCs w:val="20"/>
        <w:bdr w:val="nil"/>
        <w:lang w:eastAsia="en-IN"/>
      </w:rPr>
      <w:t xml:space="preserve">Indian Journal of Basic and Applied Medical Research; June 2021: Vol.-10, Issue- 3, P. </w:t>
    </w:r>
    <w:r>
      <w:rPr>
        <w:rFonts w:ascii="Cambria" w:eastAsiaTheme="minorEastAsia" w:hAnsi="Cambria"/>
        <w:sz w:val="20"/>
        <w:szCs w:val="20"/>
        <w:bdr w:val="nil"/>
        <w:lang w:eastAsia="en-IN"/>
      </w:rPr>
      <w:t>462 - 465</w:t>
    </w:r>
  </w:p>
  <w:p w:rsidR="00467D08" w:rsidRPr="000359C6" w:rsidRDefault="00467D08" w:rsidP="00467D08">
    <w:pPr>
      <w:pBdr>
        <w:top w:val="nil"/>
        <w:left w:val="nil"/>
        <w:bottom w:val="nil"/>
        <w:right w:val="nil"/>
        <w:between w:val="nil"/>
        <w:bar w:val="nil"/>
      </w:pBdr>
      <w:tabs>
        <w:tab w:val="center" w:pos="4513"/>
        <w:tab w:val="right" w:pos="9026"/>
      </w:tabs>
      <w:spacing w:after="0" w:line="240" w:lineRule="auto"/>
      <w:ind w:left="67" w:right="-624"/>
      <w:rPr>
        <w:rFonts w:ascii="Cambria" w:eastAsiaTheme="minorEastAsia" w:hAnsi="Cambria"/>
        <w:sz w:val="20"/>
        <w:szCs w:val="20"/>
        <w:bdr w:val="nil"/>
        <w:lang w:eastAsia="en-IN"/>
      </w:rPr>
    </w:pPr>
    <w:r w:rsidRPr="000359C6">
      <w:rPr>
        <w:rFonts w:ascii="Cambria" w:eastAsiaTheme="minorEastAsia" w:hAnsi="Cambria"/>
        <w:bCs/>
        <w:sz w:val="20"/>
        <w:szCs w:val="20"/>
        <w:bdr w:val="nil"/>
        <w:lang w:eastAsia="en-IN"/>
      </w:rPr>
      <w:t>DOI: 1</w:t>
    </w:r>
    <w:r>
      <w:rPr>
        <w:rFonts w:ascii="Cambria" w:eastAsiaTheme="minorEastAsia" w:hAnsi="Cambria"/>
        <w:bCs/>
        <w:sz w:val="20"/>
        <w:szCs w:val="20"/>
        <w:bdr w:val="nil"/>
        <w:lang w:eastAsia="en-IN"/>
      </w:rPr>
      <w:t>0.36848/IJBAMR/2020/29215.557913</w:t>
    </w:r>
  </w:p>
  <w:p w:rsidR="00467D08" w:rsidRDefault="00467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13"/>
    <w:rsid w:val="00467D08"/>
    <w:rsid w:val="004F634D"/>
    <w:rsid w:val="006E1062"/>
    <w:rsid w:val="008D5B13"/>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13"/>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D08"/>
    <w:rPr>
      <w:kern w:val="2"/>
      <w14:ligatures w14:val="standardContextual"/>
    </w:rPr>
  </w:style>
  <w:style w:type="paragraph" w:styleId="Footer">
    <w:name w:val="footer"/>
    <w:basedOn w:val="Normal"/>
    <w:link w:val="FooterChar"/>
    <w:uiPriority w:val="99"/>
    <w:unhideWhenUsed/>
    <w:rsid w:val="00467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D08"/>
    <w:rPr>
      <w:kern w:val="2"/>
      <w14:ligatures w14:val="standardContextual"/>
    </w:rPr>
  </w:style>
  <w:style w:type="paragraph" w:styleId="BalloonText">
    <w:name w:val="Balloon Text"/>
    <w:basedOn w:val="Normal"/>
    <w:link w:val="BalloonTextChar"/>
    <w:uiPriority w:val="99"/>
    <w:semiHidden/>
    <w:unhideWhenUsed/>
    <w:rsid w:val="0046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08"/>
    <w:rPr>
      <w:rFonts w:ascii="Tahoma" w:hAnsi="Tahoma" w:cs="Tahoma"/>
      <w:kern w:val="2"/>
      <w:sz w:val="16"/>
      <w:szCs w:val="16"/>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13"/>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D08"/>
    <w:rPr>
      <w:kern w:val="2"/>
      <w14:ligatures w14:val="standardContextual"/>
    </w:rPr>
  </w:style>
  <w:style w:type="paragraph" w:styleId="Footer">
    <w:name w:val="footer"/>
    <w:basedOn w:val="Normal"/>
    <w:link w:val="FooterChar"/>
    <w:uiPriority w:val="99"/>
    <w:unhideWhenUsed/>
    <w:rsid w:val="00467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D08"/>
    <w:rPr>
      <w:kern w:val="2"/>
      <w14:ligatures w14:val="standardContextual"/>
    </w:rPr>
  </w:style>
  <w:style w:type="paragraph" w:styleId="BalloonText">
    <w:name w:val="Balloon Text"/>
    <w:basedOn w:val="Normal"/>
    <w:link w:val="BalloonTextChar"/>
    <w:uiPriority w:val="99"/>
    <w:semiHidden/>
    <w:unhideWhenUsed/>
    <w:rsid w:val="00467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08"/>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2023-09-08T14:43:00Z</cp:lastPrinted>
  <dcterms:created xsi:type="dcterms:W3CDTF">2023-09-08T14:26:00Z</dcterms:created>
  <dcterms:modified xsi:type="dcterms:W3CDTF">2023-09-08T14:44:00Z</dcterms:modified>
</cp:coreProperties>
</file>