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533" w:rsidRPr="00EE4533" w:rsidRDefault="00EE4533" w:rsidP="00EE4533">
      <w:pPr>
        <w:spacing w:line="360" w:lineRule="auto"/>
        <w:rPr>
          <w:rFonts w:ascii="Cambria" w:hAnsi="Cambria"/>
          <w:b/>
          <w:bCs/>
          <w:color w:val="000000"/>
          <w:sz w:val="24"/>
          <w:szCs w:val="24"/>
        </w:rPr>
      </w:pPr>
      <w:r w:rsidRPr="00EE4533">
        <w:rPr>
          <w:rFonts w:ascii="Cambria" w:hAnsi="Cambria"/>
          <w:b/>
          <w:bCs/>
          <w:color w:val="000000"/>
          <w:sz w:val="24"/>
          <w:szCs w:val="24"/>
          <w:highlight w:val="lightGray"/>
        </w:rPr>
        <w:t>Original article</w:t>
      </w:r>
      <w:r w:rsidRPr="00EE4533">
        <w:rPr>
          <w:rFonts w:ascii="Cambria" w:hAnsi="Cambria"/>
          <w:b/>
          <w:bCs/>
          <w:color w:val="000000"/>
          <w:sz w:val="24"/>
          <w:szCs w:val="24"/>
        </w:rPr>
        <w:t xml:space="preserve"> </w:t>
      </w:r>
    </w:p>
    <w:p w:rsidR="00EE4533" w:rsidRPr="00EE4533" w:rsidRDefault="00EE4533" w:rsidP="00EE4533">
      <w:pPr>
        <w:spacing w:line="360" w:lineRule="auto"/>
        <w:rPr>
          <w:rFonts w:ascii="Cambria" w:hAnsi="Cambria"/>
          <w:b/>
          <w:color w:val="0070C0"/>
          <w:sz w:val="28"/>
          <w:szCs w:val="28"/>
        </w:rPr>
      </w:pPr>
      <w:r w:rsidRPr="00EE4533">
        <w:rPr>
          <w:rFonts w:ascii="Cambria" w:hAnsi="Cambria"/>
          <w:b/>
          <w:bCs/>
          <w:color w:val="0070C0"/>
          <w:sz w:val="28"/>
          <w:szCs w:val="28"/>
        </w:rPr>
        <w:t>Clinical Profile and Haematological Correlates of Anaemia Among Patients with Type 2 Diabetes Mellitus Attending a Tertiary Care Hospital: A Cross-Sectional Study</w:t>
      </w:r>
    </w:p>
    <w:p w:rsidR="006B0A48" w:rsidRPr="00EE4533" w:rsidRDefault="00EE4533" w:rsidP="00EE4533">
      <w:pPr>
        <w:spacing w:line="360" w:lineRule="auto"/>
        <w:rPr>
          <w:rFonts w:ascii="Cambria" w:hAnsi="Cambria"/>
          <w:b/>
          <w:bCs/>
          <w:color w:val="000000"/>
          <w:vertAlign w:val="superscript"/>
        </w:rPr>
      </w:pPr>
      <w:r w:rsidRPr="00EE4533">
        <w:rPr>
          <w:rFonts w:ascii="Cambria" w:hAnsi="Cambria"/>
          <w:b/>
          <w:bCs/>
          <w:color w:val="000000"/>
        </w:rPr>
        <w:t>*</w:t>
      </w:r>
      <w:r>
        <w:rPr>
          <w:rFonts w:ascii="Cambria" w:hAnsi="Cambria"/>
          <w:b/>
          <w:bCs/>
          <w:color w:val="000000"/>
        </w:rPr>
        <w:t>Sachin V</w:t>
      </w:r>
      <w:r w:rsidR="006B0A48" w:rsidRPr="00EE4533">
        <w:rPr>
          <w:rFonts w:ascii="Cambria" w:hAnsi="Cambria"/>
          <w:b/>
          <w:bCs/>
          <w:color w:val="000000"/>
        </w:rPr>
        <w:t>ithalrao Jibh</w:t>
      </w:r>
      <w:r w:rsidR="009F1F1C" w:rsidRPr="00EE4533">
        <w:rPr>
          <w:rFonts w:ascii="Cambria" w:hAnsi="Cambria"/>
          <w:b/>
          <w:bCs/>
          <w:color w:val="000000"/>
        </w:rPr>
        <w:t>a</w:t>
      </w:r>
      <w:r w:rsidR="006B0A48" w:rsidRPr="00EE4533">
        <w:rPr>
          <w:rFonts w:ascii="Cambria" w:hAnsi="Cambria"/>
          <w:b/>
          <w:bCs/>
          <w:color w:val="000000"/>
        </w:rPr>
        <w:t xml:space="preserve">kate </w:t>
      </w:r>
      <w:r w:rsidR="006B0A48" w:rsidRPr="00EE4533">
        <w:rPr>
          <w:rFonts w:ascii="Cambria" w:hAnsi="Cambria"/>
          <w:b/>
          <w:bCs/>
          <w:color w:val="000000"/>
          <w:vertAlign w:val="superscript"/>
        </w:rPr>
        <w:t>1</w:t>
      </w:r>
      <w:bookmarkStart w:id="0" w:name="_GoBack"/>
      <w:bookmarkEnd w:id="0"/>
    </w:p>
    <w:p w:rsidR="00EE4533" w:rsidRPr="00EE4533" w:rsidRDefault="00EE4533" w:rsidP="00EE4533">
      <w:pPr>
        <w:spacing w:line="360" w:lineRule="auto"/>
        <w:rPr>
          <w:rFonts w:ascii="Cambria" w:hAnsi="Cambria"/>
          <w:bCs/>
          <w:color w:val="000000"/>
          <w:vertAlign w:val="superscript"/>
        </w:rPr>
      </w:pPr>
    </w:p>
    <w:p w:rsidR="006B0A48" w:rsidRPr="00EE4533" w:rsidRDefault="006B0A48" w:rsidP="00EE4533">
      <w:pPr>
        <w:spacing w:line="360" w:lineRule="auto"/>
        <w:rPr>
          <w:rFonts w:ascii="Cambria" w:hAnsi="Cambria"/>
          <w:bCs/>
          <w:color w:val="000000"/>
        </w:rPr>
      </w:pPr>
      <w:r w:rsidRPr="00EE4533">
        <w:rPr>
          <w:rFonts w:ascii="Cambria" w:hAnsi="Cambria"/>
          <w:bCs/>
          <w:color w:val="000000"/>
          <w:vertAlign w:val="superscript"/>
        </w:rPr>
        <w:t>1</w:t>
      </w:r>
      <w:r w:rsidRPr="00EE4533">
        <w:rPr>
          <w:rFonts w:ascii="Cambria" w:hAnsi="Cambria"/>
          <w:bCs/>
          <w:color w:val="000000"/>
        </w:rPr>
        <w:t xml:space="preserve">Assistant Professor,Dept of </w:t>
      </w:r>
      <w:r w:rsidR="009F1F1C" w:rsidRPr="00EE4533">
        <w:rPr>
          <w:rFonts w:ascii="Cambria" w:hAnsi="Cambria"/>
          <w:bCs/>
          <w:color w:val="000000"/>
        </w:rPr>
        <w:t xml:space="preserve"> Genral </w:t>
      </w:r>
      <w:r w:rsidRPr="00EE4533">
        <w:rPr>
          <w:rFonts w:ascii="Cambria" w:hAnsi="Cambria"/>
          <w:bCs/>
          <w:color w:val="000000"/>
        </w:rPr>
        <w:t>medicine,</w:t>
      </w:r>
      <w:r w:rsidRPr="00EE4533">
        <w:rPr>
          <w:rFonts w:ascii="Cambria" w:hAnsi="Cambria" w:cs="Mangal"/>
          <w:color w:val="212529"/>
          <w:shd w:val="clear" w:color="auto" w:fill="FFFFFF"/>
        </w:rPr>
        <w:t xml:space="preserve"> </w:t>
      </w:r>
      <w:r w:rsidRPr="00EE4533">
        <w:rPr>
          <w:rFonts w:ascii="Cambria" w:hAnsi="Cambria"/>
          <w:bCs/>
          <w:color w:val="000000"/>
        </w:rPr>
        <w:t>GSL Medical College, Rajahmundry</w:t>
      </w:r>
    </w:p>
    <w:p w:rsidR="00EE4533" w:rsidRPr="00EE4533" w:rsidRDefault="00EE4533" w:rsidP="00EE4533">
      <w:pPr>
        <w:spacing w:line="360" w:lineRule="auto"/>
        <w:rPr>
          <w:rFonts w:ascii="Cambria" w:hAnsi="Cambria"/>
          <w:bCs/>
          <w:color w:val="000000"/>
        </w:rPr>
      </w:pPr>
      <w:r w:rsidRPr="00EE4533">
        <w:rPr>
          <w:rFonts w:ascii="Cambria" w:hAnsi="Cambria"/>
          <w:bCs/>
          <w:color w:val="000000"/>
        </w:rPr>
        <w:t>Corresponding author*</w:t>
      </w:r>
    </w:p>
    <w:p w:rsidR="00EE4533" w:rsidRPr="00EE4533" w:rsidRDefault="00EE4533" w:rsidP="00EE4533">
      <w:pPr>
        <w:pStyle w:val="Heading1"/>
        <w:spacing w:line="360" w:lineRule="auto"/>
        <w:jc w:val="both"/>
        <w:rPr>
          <w:rFonts w:ascii="Cambria" w:hAnsi="Cambria"/>
          <w:b/>
          <w:bCs/>
          <w:color w:val="000000"/>
          <w:sz w:val="20"/>
          <w:szCs w:val="20"/>
        </w:rPr>
      </w:pPr>
    </w:p>
    <w:p w:rsidR="008F2AC3" w:rsidRPr="00EE4533" w:rsidRDefault="00A32C4E" w:rsidP="00EE4533">
      <w:pPr>
        <w:pStyle w:val="Heading1"/>
        <w:spacing w:line="360" w:lineRule="auto"/>
        <w:jc w:val="both"/>
        <w:rPr>
          <w:rFonts w:ascii="Cambria" w:hAnsi="Cambria"/>
          <w:sz w:val="20"/>
          <w:szCs w:val="20"/>
        </w:rPr>
      </w:pPr>
      <w:r w:rsidRPr="00EE4533">
        <w:rPr>
          <w:rFonts w:ascii="Cambria" w:hAnsi="Cambria"/>
          <w:b/>
          <w:bCs/>
          <w:color w:val="000000"/>
          <w:sz w:val="20"/>
          <w:szCs w:val="20"/>
        </w:rPr>
        <w:t>Abstract</w:t>
      </w:r>
    </w:p>
    <w:p w:rsidR="008F2AC3" w:rsidRPr="00EE4533" w:rsidRDefault="00A32C4E" w:rsidP="00EE4533">
      <w:pPr>
        <w:spacing w:line="360" w:lineRule="auto"/>
        <w:jc w:val="both"/>
        <w:rPr>
          <w:rFonts w:ascii="Cambria" w:hAnsi="Cambria"/>
          <w:sz w:val="18"/>
          <w:szCs w:val="18"/>
        </w:rPr>
      </w:pPr>
      <w:r w:rsidRPr="00EE4533">
        <w:rPr>
          <w:rFonts w:ascii="Cambria" w:hAnsi="Cambria"/>
          <w:color w:val="000000"/>
          <w:sz w:val="18"/>
          <w:szCs w:val="18"/>
        </w:rPr>
        <w:t>Background: Anaemia is a common but often under-recognised comorbidity in patients with type 2 diabetes mellitus (T2DM), occurring earlier and more frequently than in individuals with kidney impairment from other causes.</w:t>
      </w:r>
    </w:p>
    <w:p w:rsidR="008F2AC3" w:rsidRPr="00EE4533" w:rsidRDefault="00A32C4E" w:rsidP="00EE4533">
      <w:pPr>
        <w:spacing w:line="360" w:lineRule="auto"/>
        <w:jc w:val="both"/>
        <w:rPr>
          <w:rFonts w:ascii="Cambria" w:hAnsi="Cambria"/>
          <w:sz w:val="18"/>
          <w:szCs w:val="18"/>
        </w:rPr>
      </w:pPr>
      <w:r w:rsidRPr="00EE4533">
        <w:rPr>
          <w:rFonts w:ascii="Cambria" w:hAnsi="Cambria"/>
          <w:color w:val="000000"/>
          <w:sz w:val="18"/>
          <w:szCs w:val="18"/>
        </w:rPr>
        <w:t>Objectives: To determine the prevalence, morphological pattern, and clinical correlates of anaemia among patients with T2DM attending a tertiary care hospital.</w:t>
      </w:r>
    </w:p>
    <w:p w:rsidR="008F2AC3" w:rsidRPr="00EE4533" w:rsidRDefault="00A32C4E" w:rsidP="00EE4533">
      <w:pPr>
        <w:spacing w:line="360" w:lineRule="auto"/>
        <w:jc w:val="both"/>
        <w:rPr>
          <w:rFonts w:ascii="Cambria" w:hAnsi="Cambria"/>
          <w:sz w:val="18"/>
          <w:szCs w:val="18"/>
        </w:rPr>
      </w:pPr>
      <w:r w:rsidRPr="00EE4533">
        <w:rPr>
          <w:rFonts w:ascii="Cambria" w:hAnsi="Cambria"/>
          <w:color w:val="000000"/>
          <w:sz w:val="18"/>
          <w:szCs w:val="18"/>
        </w:rPr>
        <w:t>Methods: A cross-sectional study was conducted on 220 patients with T2DM. Complete blood count, renal function, and glycaemic parameters were assessed, and anaemia was defined per WHO criteria.</w:t>
      </w:r>
    </w:p>
    <w:p w:rsidR="008F2AC3" w:rsidRPr="00EE4533" w:rsidRDefault="00A32C4E" w:rsidP="00EE4533">
      <w:pPr>
        <w:spacing w:line="360" w:lineRule="auto"/>
        <w:jc w:val="both"/>
        <w:rPr>
          <w:rFonts w:ascii="Cambria" w:hAnsi="Cambria"/>
          <w:sz w:val="18"/>
          <w:szCs w:val="18"/>
        </w:rPr>
      </w:pPr>
      <w:r w:rsidRPr="00EE4533">
        <w:rPr>
          <w:rFonts w:ascii="Cambria" w:hAnsi="Cambria"/>
          <w:color w:val="000000"/>
          <w:sz w:val="18"/>
          <w:szCs w:val="18"/>
        </w:rPr>
        <w:t>Results: The prevalence of anaemia was 30.9%. Normocytic normochromic anaemia was the most common morphological type (50.0%). Anaemia prevalence rose progressively with diabetes duration, from 15.8% in patients with disease duration under 5 years to 57.7% in those with duration exceeding 20 years. Reduced estimated GFR, longer diabetes duration, and poor glycaemic control were independently associated with anaemia.</w:t>
      </w:r>
    </w:p>
    <w:p w:rsidR="008F2AC3" w:rsidRPr="00EE4533" w:rsidRDefault="00A32C4E" w:rsidP="00EE4533">
      <w:pPr>
        <w:spacing w:line="360" w:lineRule="auto"/>
        <w:jc w:val="both"/>
        <w:rPr>
          <w:rFonts w:ascii="Cambria" w:hAnsi="Cambria"/>
          <w:sz w:val="18"/>
          <w:szCs w:val="18"/>
        </w:rPr>
      </w:pPr>
      <w:r w:rsidRPr="00EE4533">
        <w:rPr>
          <w:rFonts w:ascii="Cambria" w:hAnsi="Cambria"/>
          <w:color w:val="000000"/>
          <w:sz w:val="18"/>
          <w:szCs w:val="18"/>
        </w:rPr>
        <w:t>Conclusion: Anaemia is common among patients with T2DM and correlates strongly with diabetes duration and declining renal function, supporting routine haemoglobin screening in this population, particularly those with long-standing or poorly controlled disease.</w:t>
      </w:r>
    </w:p>
    <w:p w:rsidR="008F2AC3" w:rsidRPr="00EE4533" w:rsidRDefault="00A32C4E" w:rsidP="00EE4533">
      <w:pPr>
        <w:spacing w:line="360" w:lineRule="auto"/>
        <w:jc w:val="both"/>
        <w:rPr>
          <w:rFonts w:ascii="Cambria" w:hAnsi="Cambria"/>
          <w:sz w:val="18"/>
          <w:szCs w:val="18"/>
        </w:rPr>
      </w:pPr>
      <w:r w:rsidRPr="00EE4533">
        <w:rPr>
          <w:rFonts w:ascii="Cambria" w:hAnsi="Cambria"/>
          <w:i/>
          <w:iCs/>
          <w:color w:val="000000"/>
          <w:sz w:val="18"/>
          <w:szCs w:val="18"/>
        </w:rPr>
        <w:t>Keywords: Anaemia, type 2 diabetes mellitus, diabetic nephropathy, haemoglobin, general medicine.</w:t>
      </w:r>
    </w:p>
    <w:p w:rsidR="00EE4533" w:rsidRDefault="00EE4533" w:rsidP="00EE4533">
      <w:pPr>
        <w:pStyle w:val="Heading1"/>
        <w:spacing w:line="360" w:lineRule="auto"/>
        <w:jc w:val="both"/>
        <w:rPr>
          <w:b/>
          <w:bCs/>
          <w:color w:val="000000"/>
          <w:sz w:val="20"/>
          <w:szCs w:val="20"/>
        </w:rPr>
      </w:pPr>
    </w:p>
    <w:p w:rsidR="008F2AC3" w:rsidRPr="00EE4533" w:rsidRDefault="00A32C4E" w:rsidP="00EE4533">
      <w:pPr>
        <w:pStyle w:val="Heading1"/>
        <w:spacing w:line="360" w:lineRule="auto"/>
        <w:jc w:val="both"/>
        <w:rPr>
          <w:sz w:val="20"/>
          <w:szCs w:val="20"/>
        </w:rPr>
      </w:pPr>
      <w:r w:rsidRPr="00EE4533">
        <w:rPr>
          <w:b/>
          <w:bCs/>
          <w:color w:val="000000"/>
          <w:sz w:val="20"/>
          <w:szCs w:val="20"/>
        </w:rPr>
        <w:t>Introduction</w:t>
      </w:r>
    </w:p>
    <w:p w:rsidR="008F2AC3" w:rsidRPr="00EE4533" w:rsidRDefault="00A32C4E" w:rsidP="00EE4533">
      <w:pPr>
        <w:spacing w:line="360" w:lineRule="auto"/>
        <w:jc w:val="both"/>
      </w:pPr>
      <w:r w:rsidRPr="00EE4533">
        <w:rPr>
          <w:color w:val="000000"/>
        </w:rPr>
        <w:t>Anaemia is increasingly recognised as an important, though frequently overlooked, comorbidity of type 2 diabetes mellitus (T2DM). Landmark work by Bosman and colleagues demonstrated that anaemia with relative erythropoietin deficiency can occur early in the course of diabetic nephropathy, often preceding overt clinical proteinuria or significant reduction in glomerular filtration rate.</w:t>
      </w:r>
      <w:r w:rsidRPr="00EE4533">
        <w:rPr>
          <w:color w:val="000000"/>
          <w:vertAlign w:val="superscript"/>
        </w:rPr>
        <w:t>1</w:t>
      </w:r>
      <w:r w:rsidRPr="00EE4533">
        <w:rPr>
          <w:color w:val="000000"/>
        </w:rPr>
        <w:t xml:space="preserve"> Subsequent cross-sectional audits by Thomas and colleagues confirmed a substantial and frequently unrecognised burden of anaemia among patients with T2DM attending routine diabetes clinics, with prevalence considerably exceeding that expected from renal impairment alone.</w:t>
      </w:r>
      <w:r w:rsidRPr="00EE4533">
        <w:rPr>
          <w:color w:val="000000"/>
          <w:vertAlign w:val="superscript"/>
        </w:rPr>
        <w:t>2,3</w:t>
      </w:r>
    </w:p>
    <w:p w:rsidR="008F2AC3" w:rsidRPr="00EE4533" w:rsidRDefault="00A32C4E" w:rsidP="00EE4533">
      <w:pPr>
        <w:spacing w:line="360" w:lineRule="auto"/>
        <w:jc w:val="both"/>
      </w:pPr>
      <w:r w:rsidRPr="00EE4533">
        <w:rPr>
          <w:color w:val="000000"/>
        </w:rPr>
        <w:t>The pathogenesis of anaemia in T2DM is now understood to be multifactorial, involving relative erythropoietin deficiency related to early tubulointerstitial renal damage, chronic low-grade inflammation, and functional iron deficiency, distinct from the anaemia of chronic kidney disease seen in non-diabetic populations.</w:t>
      </w:r>
      <w:r w:rsidRPr="00EE4533">
        <w:rPr>
          <w:color w:val="000000"/>
          <w:vertAlign w:val="superscript"/>
        </w:rPr>
        <w:t>4,6</w:t>
      </w:r>
      <w:r w:rsidRPr="00EE4533">
        <w:rPr>
          <w:color w:val="000000"/>
        </w:rPr>
        <w:t xml:space="preserve"> Population-based data from the Third National Health and Nutrition Examination Survey demonstrated that, at any given level of kidney function, patients with diabetes are more likely to be anaemic than those without diabetes, suggesting diabetes-specific mechanisms of anaemia beyond reduced renal mass alone.</w:t>
      </w:r>
      <w:r w:rsidRPr="00EE4533">
        <w:rPr>
          <w:color w:val="000000"/>
          <w:vertAlign w:val="superscript"/>
        </w:rPr>
        <w:t>7</w:t>
      </w:r>
    </w:p>
    <w:p w:rsidR="008F2AC3" w:rsidRPr="00EE4533" w:rsidRDefault="00A32C4E" w:rsidP="00EE4533">
      <w:pPr>
        <w:spacing w:line="360" w:lineRule="auto"/>
        <w:jc w:val="both"/>
      </w:pPr>
      <w:r w:rsidRPr="00EE4533">
        <w:rPr>
          <w:color w:val="000000"/>
        </w:rPr>
        <w:lastRenderedPageBreak/>
        <w:t>Anaemia in patients with diabetes carries important clinical implications, having been associated with increased risk of cardiovascular events, progression of diabetic retinopathy and nephropathy, and reduced quality of life, as reviewed by Thomas and colleagues and by Deray and colleagues.</w:t>
      </w:r>
      <w:r w:rsidRPr="00EE4533">
        <w:rPr>
          <w:color w:val="000000"/>
          <w:vertAlign w:val="superscript"/>
        </w:rPr>
        <w:t>5,8</w:t>
      </w:r>
      <w:r w:rsidRPr="00EE4533">
        <w:rPr>
          <w:color w:val="000000"/>
        </w:rPr>
        <w:t xml:space="preserve"> Despite this, anaemia in diabetic patients frequently remains undetected in routine clinical practice, as documented in the audit by Stevens and colleagues, underscoring the value of systematic haemoglobin screening in this population.</w:t>
      </w:r>
      <w:r w:rsidRPr="00EE4533">
        <w:rPr>
          <w:color w:val="000000"/>
          <w:vertAlign w:val="superscript"/>
        </w:rPr>
        <w:t>9,10</w:t>
      </w:r>
    </w:p>
    <w:p w:rsidR="008F2AC3" w:rsidRPr="00EE4533" w:rsidRDefault="00A32C4E" w:rsidP="00EE4533">
      <w:pPr>
        <w:spacing w:line="360" w:lineRule="auto"/>
        <w:jc w:val="both"/>
      </w:pPr>
      <w:r w:rsidRPr="00EE4533">
        <w:rPr>
          <w:color w:val="000000"/>
        </w:rPr>
        <w:t>This study was undertaken to determine the prevalence, morphological classification, and clinical correlates of anaemia among patients with T2DM attending a tertiary care hospital, with particular attention to its relationship with diabetes duration, glycaemic control, and renal function.</w:t>
      </w:r>
    </w:p>
    <w:p w:rsidR="008F2AC3" w:rsidRPr="00EE4533" w:rsidRDefault="00A32C4E" w:rsidP="00EE4533">
      <w:pPr>
        <w:pStyle w:val="Heading1"/>
        <w:spacing w:line="360" w:lineRule="auto"/>
        <w:jc w:val="both"/>
        <w:rPr>
          <w:sz w:val="20"/>
          <w:szCs w:val="20"/>
        </w:rPr>
      </w:pPr>
      <w:r w:rsidRPr="00EE4533">
        <w:rPr>
          <w:b/>
          <w:bCs/>
          <w:color w:val="000000"/>
          <w:sz w:val="20"/>
          <w:szCs w:val="20"/>
        </w:rPr>
        <w:t>Materials and Methods</w:t>
      </w:r>
    </w:p>
    <w:p w:rsidR="008F2AC3" w:rsidRPr="00EE4533" w:rsidRDefault="00A32C4E" w:rsidP="00EE4533">
      <w:pPr>
        <w:pStyle w:val="Heading2"/>
        <w:spacing w:line="360" w:lineRule="auto"/>
        <w:jc w:val="both"/>
        <w:rPr>
          <w:sz w:val="20"/>
          <w:szCs w:val="20"/>
        </w:rPr>
      </w:pPr>
      <w:r w:rsidRPr="00EE4533">
        <w:rPr>
          <w:b/>
          <w:bCs/>
          <w:color w:val="000000"/>
          <w:sz w:val="20"/>
          <w:szCs w:val="20"/>
        </w:rPr>
        <w:t>Study Design and Setting</w:t>
      </w:r>
    </w:p>
    <w:p w:rsidR="008F2AC3" w:rsidRPr="00EE4533" w:rsidRDefault="00A32C4E" w:rsidP="00EE4533">
      <w:pPr>
        <w:spacing w:line="360" w:lineRule="auto"/>
        <w:jc w:val="both"/>
      </w:pPr>
      <w:r w:rsidRPr="00EE4533">
        <w:rPr>
          <w:color w:val="000000"/>
        </w:rPr>
        <w:t>This was a hospital-based, cross-sectional, analytical study conducted in the Department of General Medicine of a tertiary care teaching hospital over a period of twelve months.</w:t>
      </w:r>
    </w:p>
    <w:p w:rsidR="008F2AC3" w:rsidRPr="00EE4533" w:rsidRDefault="00A32C4E" w:rsidP="00EE4533">
      <w:pPr>
        <w:pStyle w:val="Heading2"/>
        <w:spacing w:line="360" w:lineRule="auto"/>
        <w:jc w:val="both"/>
        <w:rPr>
          <w:sz w:val="20"/>
          <w:szCs w:val="20"/>
        </w:rPr>
      </w:pPr>
      <w:r w:rsidRPr="00EE4533">
        <w:rPr>
          <w:b/>
          <w:bCs/>
          <w:color w:val="000000"/>
          <w:sz w:val="20"/>
          <w:szCs w:val="20"/>
        </w:rPr>
        <w:t>Study Population</w:t>
      </w:r>
    </w:p>
    <w:p w:rsidR="008F2AC3" w:rsidRPr="00EE4533" w:rsidRDefault="00A32C4E" w:rsidP="00EE4533">
      <w:pPr>
        <w:spacing w:line="360" w:lineRule="auto"/>
        <w:jc w:val="both"/>
      </w:pPr>
      <w:r w:rsidRPr="00EE4533">
        <w:rPr>
          <w:color w:val="000000"/>
        </w:rPr>
        <w:t>A total of 220 adult patients with a confirmed diagnosis of T2DM of at least six months' duration, attending the general medicine outpatient department, were enrolled after obtaining informed consent.</w:t>
      </w:r>
    </w:p>
    <w:p w:rsidR="008F2AC3" w:rsidRPr="00EE4533" w:rsidRDefault="00A32C4E" w:rsidP="00EE4533">
      <w:pPr>
        <w:pStyle w:val="Heading2"/>
        <w:spacing w:line="360" w:lineRule="auto"/>
        <w:jc w:val="both"/>
        <w:rPr>
          <w:sz w:val="20"/>
          <w:szCs w:val="20"/>
        </w:rPr>
      </w:pPr>
      <w:r w:rsidRPr="00EE4533">
        <w:rPr>
          <w:b/>
          <w:bCs/>
          <w:color w:val="000000"/>
          <w:sz w:val="20"/>
          <w:szCs w:val="20"/>
        </w:rPr>
        <w:t>Inclusion Criteria</w:t>
      </w:r>
    </w:p>
    <w:p w:rsidR="008F2AC3" w:rsidRPr="00EE4533" w:rsidRDefault="00A32C4E" w:rsidP="00EE4533">
      <w:pPr>
        <w:spacing w:line="360" w:lineRule="auto"/>
        <w:jc w:val="both"/>
      </w:pPr>
      <w:r w:rsidRPr="00EE4533">
        <w:rPr>
          <w:color w:val="000000"/>
        </w:rPr>
        <w:t>Adults aged 18 years and above with a confirmed diagnosis of T2DM were included.</w:t>
      </w:r>
    </w:p>
    <w:p w:rsidR="008F2AC3" w:rsidRPr="00EE4533" w:rsidRDefault="00A32C4E" w:rsidP="00EE4533">
      <w:pPr>
        <w:pStyle w:val="Heading2"/>
        <w:spacing w:line="360" w:lineRule="auto"/>
        <w:jc w:val="both"/>
        <w:rPr>
          <w:sz w:val="20"/>
          <w:szCs w:val="20"/>
        </w:rPr>
      </w:pPr>
      <w:r w:rsidRPr="00EE4533">
        <w:rPr>
          <w:b/>
          <w:bCs/>
          <w:color w:val="000000"/>
          <w:sz w:val="20"/>
          <w:szCs w:val="20"/>
        </w:rPr>
        <w:t>Exclusion Criteria</w:t>
      </w:r>
    </w:p>
    <w:p w:rsidR="008F2AC3" w:rsidRPr="00EE4533" w:rsidRDefault="00A32C4E" w:rsidP="00EE4533">
      <w:pPr>
        <w:spacing w:line="360" w:lineRule="auto"/>
        <w:jc w:val="both"/>
      </w:pPr>
      <w:r w:rsidRPr="00EE4533">
        <w:rPr>
          <w:color w:val="000000"/>
        </w:rPr>
        <w:t>Patients with type 1 diabetes mellitus, known haemoglobinopathy, active malignancy, acute blood loss, pregnancy, overt gastrointestinal bleeding, or known chronic inflammatory disease independently causing anaemia were excluded.</w:t>
      </w:r>
    </w:p>
    <w:p w:rsidR="008F2AC3" w:rsidRPr="00EE4533" w:rsidRDefault="00A32C4E" w:rsidP="00EE4533">
      <w:pPr>
        <w:pStyle w:val="Heading2"/>
        <w:spacing w:line="360" w:lineRule="auto"/>
        <w:jc w:val="both"/>
        <w:rPr>
          <w:sz w:val="20"/>
          <w:szCs w:val="20"/>
        </w:rPr>
      </w:pPr>
      <w:r w:rsidRPr="00EE4533">
        <w:rPr>
          <w:b/>
          <w:bCs/>
          <w:color w:val="000000"/>
          <w:sz w:val="20"/>
          <w:szCs w:val="20"/>
        </w:rPr>
        <w:t>Data Collection</w:t>
      </w:r>
    </w:p>
    <w:p w:rsidR="008F2AC3" w:rsidRPr="00EE4533" w:rsidRDefault="00A32C4E" w:rsidP="00EE4533">
      <w:pPr>
        <w:spacing w:line="360" w:lineRule="auto"/>
        <w:jc w:val="both"/>
      </w:pPr>
      <w:r w:rsidRPr="00EE4533">
        <w:rPr>
          <w:color w:val="000000"/>
        </w:rPr>
        <w:t>A structured proforma recorded demographic details, duration of diabetes, and treatment history. Venous blood samples were obtained for complete blood count, HbA1c, serum creatinine (with estimated GFR calculated using the MDRD equation), and serum ferritin. Anaemia was defined per WHO criteria as hemoglobin below 13 g/dL in men and below 12 g/dL in women, and morphologically classified as normocytic normochromic, microcytic hypochromic, or macrocytic based on red cell indices.</w:t>
      </w:r>
      <w:r w:rsidRPr="00EE4533">
        <w:rPr>
          <w:color w:val="000000"/>
          <w:vertAlign w:val="superscript"/>
        </w:rPr>
        <w:t>14</w:t>
      </w:r>
    </w:p>
    <w:p w:rsidR="008F2AC3" w:rsidRPr="00EE4533" w:rsidRDefault="00A32C4E" w:rsidP="00EE4533">
      <w:pPr>
        <w:pStyle w:val="Heading2"/>
        <w:spacing w:line="360" w:lineRule="auto"/>
        <w:jc w:val="both"/>
        <w:rPr>
          <w:sz w:val="20"/>
          <w:szCs w:val="20"/>
        </w:rPr>
      </w:pPr>
      <w:r w:rsidRPr="00EE4533">
        <w:rPr>
          <w:b/>
          <w:bCs/>
          <w:color w:val="000000"/>
          <w:sz w:val="20"/>
          <w:szCs w:val="20"/>
        </w:rPr>
        <w:t>Statistical Analysis</w:t>
      </w:r>
    </w:p>
    <w:p w:rsidR="008F2AC3" w:rsidRPr="00EE4533" w:rsidRDefault="00A32C4E" w:rsidP="00EE4533">
      <w:pPr>
        <w:spacing w:line="360" w:lineRule="auto"/>
        <w:jc w:val="both"/>
      </w:pPr>
      <w:r w:rsidRPr="00EE4533">
        <w:rPr>
          <w:color w:val="000000"/>
        </w:rPr>
        <w:t>Data were analysed using descriptive statistics; continuous variables were expressed as mean ± SD, categorical variables as frequencies and percentages. Odds ratios with 95% confidence intervals were calculated for factors associated with anaemia on univariate analysis, and variables significant at p&lt;0.10 were entered into a multivariate logistic regression model. A p-value &lt;0.05 was considered significant.</w:t>
      </w:r>
    </w:p>
    <w:p w:rsidR="008F2AC3" w:rsidRPr="00EE4533" w:rsidRDefault="00A32C4E" w:rsidP="00EE4533">
      <w:pPr>
        <w:pStyle w:val="Heading1"/>
        <w:spacing w:line="360" w:lineRule="auto"/>
        <w:jc w:val="both"/>
        <w:rPr>
          <w:sz w:val="20"/>
          <w:szCs w:val="20"/>
        </w:rPr>
      </w:pPr>
      <w:r w:rsidRPr="00EE4533">
        <w:rPr>
          <w:b/>
          <w:bCs/>
          <w:color w:val="000000"/>
          <w:sz w:val="20"/>
          <w:szCs w:val="20"/>
        </w:rPr>
        <w:t>Results</w:t>
      </w:r>
    </w:p>
    <w:p w:rsidR="008F2AC3" w:rsidRPr="00EE4533" w:rsidRDefault="00A32C4E" w:rsidP="00EE4533">
      <w:pPr>
        <w:spacing w:line="360" w:lineRule="auto"/>
        <w:jc w:val="both"/>
      </w:pPr>
      <w:r w:rsidRPr="00EE4533">
        <w:rPr>
          <w:color w:val="000000"/>
        </w:rPr>
        <w:t>Of the 220 patients studied, 123 (55.9%) were male and 97 (44.1%) were female. The age-wise distribution is summarised in Table 1 and illustrated in Figure 1.</w:t>
      </w:r>
    </w:p>
    <w:p w:rsidR="00EE4533" w:rsidRDefault="00EE4533" w:rsidP="00EE4533">
      <w:pPr>
        <w:spacing w:line="360" w:lineRule="auto"/>
        <w:jc w:val="both"/>
        <w:rPr>
          <w:b/>
          <w:bCs/>
          <w:color w:val="000000"/>
        </w:rPr>
      </w:pPr>
    </w:p>
    <w:p w:rsidR="00EE4533" w:rsidRDefault="00EE4533" w:rsidP="00EE4533">
      <w:pPr>
        <w:spacing w:line="360" w:lineRule="auto"/>
        <w:jc w:val="both"/>
        <w:rPr>
          <w:b/>
          <w:bCs/>
          <w:color w:val="000000"/>
        </w:rPr>
      </w:pPr>
    </w:p>
    <w:p w:rsidR="00EE4533" w:rsidRDefault="00EE4533" w:rsidP="00EE4533">
      <w:pPr>
        <w:spacing w:line="360" w:lineRule="auto"/>
        <w:jc w:val="both"/>
        <w:rPr>
          <w:b/>
          <w:bCs/>
          <w:color w:val="000000"/>
        </w:rPr>
      </w:pPr>
    </w:p>
    <w:p w:rsidR="00EE4533" w:rsidRDefault="00EE4533" w:rsidP="00EE4533">
      <w:pPr>
        <w:spacing w:line="360" w:lineRule="auto"/>
        <w:jc w:val="both"/>
        <w:rPr>
          <w:b/>
          <w:bCs/>
          <w:color w:val="000000"/>
        </w:rPr>
      </w:pPr>
    </w:p>
    <w:p w:rsidR="00EE4533" w:rsidRDefault="00EE4533" w:rsidP="00EE4533">
      <w:pPr>
        <w:spacing w:line="360" w:lineRule="auto"/>
        <w:jc w:val="both"/>
        <w:rPr>
          <w:b/>
          <w:bCs/>
          <w:color w:val="000000"/>
        </w:rPr>
      </w:pPr>
    </w:p>
    <w:p w:rsidR="008F2AC3" w:rsidRPr="00EE4533" w:rsidRDefault="00A32C4E" w:rsidP="00EE4533">
      <w:pPr>
        <w:spacing w:line="360" w:lineRule="auto"/>
        <w:jc w:val="both"/>
      </w:pPr>
      <w:r w:rsidRPr="00EE4533">
        <w:rPr>
          <w:b/>
          <w:bCs/>
          <w:color w:val="000000"/>
        </w:rPr>
        <w:t>Table 1: Age and Gender-wise Distribution of Study Subjects (n = 220)</w:t>
      </w:r>
    </w:p>
    <w:tbl>
      <w:tblPr>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23"/>
        <w:gridCol w:w="1608"/>
        <w:gridCol w:w="1608"/>
        <w:gridCol w:w="1608"/>
        <w:gridCol w:w="1965"/>
      </w:tblGrid>
      <w:tr w:rsidR="008F2AC3" w:rsidRPr="00EE4533" w:rsidTr="00EE4533">
        <w:trPr>
          <w:trHeight w:val="367"/>
          <w:tblHeader/>
        </w:trPr>
        <w:tc>
          <w:tcPr>
            <w:tcW w:w="2323" w:type="dxa"/>
            <w:shd w:val="clear" w:color="auto" w:fill="E8E8E8"/>
            <w:vAlign w:val="center"/>
          </w:tcPr>
          <w:p w:rsidR="008F2AC3" w:rsidRPr="00EE4533" w:rsidRDefault="00A32C4E" w:rsidP="00EE4533">
            <w:pPr>
              <w:spacing w:line="360" w:lineRule="auto"/>
              <w:jc w:val="center"/>
            </w:pPr>
            <w:r w:rsidRPr="00EE4533">
              <w:rPr>
                <w:b/>
                <w:bCs/>
                <w:color w:val="000000"/>
              </w:rPr>
              <w:t>Age Group (years)</w:t>
            </w:r>
          </w:p>
        </w:tc>
        <w:tc>
          <w:tcPr>
            <w:tcW w:w="1608" w:type="dxa"/>
            <w:shd w:val="clear" w:color="auto" w:fill="E8E8E8"/>
            <w:vAlign w:val="center"/>
          </w:tcPr>
          <w:p w:rsidR="008F2AC3" w:rsidRPr="00EE4533" w:rsidRDefault="00A32C4E" w:rsidP="00EE4533">
            <w:pPr>
              <w:spacing w:line="360" w:lineRule="auto"/>
              <w:jc w:val="center"/>
            </w:pPr>
            <w:r w:rsidRPr="00EE4533">
              <w:rPr>
                <w:b/>
                <w:bCs/>
                <w:color w:val="000000"/>
              </w:rPr>
              <w:t>Male (n)</w:t>
            </w:r>
          </w:p>
        </w:tc>
        <w:tc>
          <w:tcPr>
            <w:tcW w:w="1608" w:type="dxa"/>
            <w:shd w:val="clear" w:color="auto" w:fill="E8E8E8"/>
            <w:vAlign w:val="center"/>
          </w:tcPr>
          <w:p w:rsidR="008F2AC3" w:rsidRPr="00EE4533" w:rsidRDefault="00A32C4E" w:rsidP="00EE4533">
            <w:pPr>
              <w:spacing w:line="360" w:lineRule="auto"/>
              <w:jc w:val="center"/>
            </w:pPr>
            <w:r w:rsidRPr="00EE4533">
              <w:rPr>
                <w:b/>
                <w:bCs/>
                <w:color w:val="000000"/>
              </w:rPr>
              <w:t>Female (n)</w:t>
            </w:r>
          </w:p>
        </w:tc>
        <w:tc>
          <w:tcPr>
            <w:tcW w:w="1608" w:type="dxa"/>
            <w:shd w:val="clear" w:color="auto" w:fill="E8E8E8"/>
            <w:vAlign w:val="center"/>
          </w:tcPr>
          <w:p w:rsidR="008F2AC3" w:rsidRPr="00EE4533" w:rsidRDefault="00A32C4E" w:rsidP="00EE4533">
            <w:pPr>
              <w:spacing w:line="360" w:lineRule="auto"/>
              <w:jc w:val="center"/>
            </w:pPr>
            <w:r w:rsidRPr="00EE4533">
              <w:rPr>
                <w:b/>
                <w:bCs/>
                <w:color w:val="000000"/>
              </w:rPr>
              <w:t>Total (n)</w:t>
            </w:r>
          </w:p>
        </w:tc>
        <w:tc>
          <w:tcPr>
            <w:tcW w:w="1965" w:type="dxa"/>
            <w:shd w:val="clear" w:color="auto" w:fill="E8E8E8"/>
            <w:vAlign w:val="center"/>
          </w:tcPr>
          <w:p w:rsidR="008F2AC3" w:rsidRPr="00EE4533" w:rsidRDefault="00A32C4E" w:rsidP="00EE4533">
            <w:pPr>
              <w:spacing w:line="360" w:lineRule="auto"/>
              <w:jc w:val="center"/>
            </w:pPr>
            <w:r w:rsidRPr="00EE4533">
              <w:rPr>
                <w:b/>
                <w:bCs/>
                <w:color w:val="000000"/>
              </w:rPr>
              <w:t>Percentage (%)</w:t>
            </w:r>
          </w:p>
        </w:tc>
      </w:tr>
      <w:tr w:rsidR="008F2AC3" w:rsidRPr="00EE4533" w:rsidTr="00EE4533">
        <w:trPr>
          <w:trHeight w:val="377"/>
        </w:trPr>
        <w:tc>
          <w:tcPr>
            <w:tcW w:w="2323" w:type="dxa"/>
            <w:vAlign w:val="center"/>
          </w:tcPr>
          <w:p w:rsidR="008F2AC3" w:rsidRPr="00EE4533" w:rsidRDefault="00A32C4E" w:rsidP="00EE4533">
            <w:pPr>
              <w:spacing w:line="360" w:lineRule="auto"/>
              <w:jc w:val="center"/>
            </w:pPr>
            <w:r w:rsidRPr="00EE4533">
              <w:rPr>
                <w:color w:val="000000"/>
              </w:rPr>
              <w:t>30–39</w:t>
            </w:r>
          </w:p>
        </w:tc>
        <w:tc>
          <w:tcPr>
            <w:tcW w:w="1608" w:type="dxa"/>
            <w:vAlign w:val="center"/>
          </w:tcPr>
          <w:p w:rsidR="008F2AC3" w:rsidRPr="00EE4533" w:rsidRDefault="00A32C4E" w:rsidP="00EE4533">
            <w:pPr>
              <w:spacing w:line="360" w:lineRule="auto"/>
              <w:jc w:val="center"/>
            </w:pPr>
            <w:r w:rsidRPr="00EE4533">
              <w:rPr>
                <w:color w:val="000000"/>
              </w:rPr>
              <w:t>16</w:t>
            </w:r>
          </w:p>
        </w:tc>
        <w:tc>
          <w:tcPr>
            <w:tcW w:w="1608" w:type="dxa"/>
            <w:vAlign w:val="center"/>
          </w:tcPr>
          <w:p w:rsidR="008F2AC3" w:rsidRPr="00EE4533" w:rsidRDefault="00A32C4E" w:rsidP="00EE4533">
            <w:pPr>
              <w:spacing w:line="360" w:lineRule="auto"/>
              <w:jc w:val="center"/>
            </w:pPr>
            <w:r w:rsidRPr="00EE4533">
              <w:rPr>
                <w:color w:val="000000"/>
              </w:rPr>
              <w:t>12</w:t>
            </w:r>
          </w:p>
        </w:tc>
        <w:tc>
          <w:tcPr>
            <w:tcW w:w="1608" w:type="dxa"/>
            <w:vAlign w:val="center"/>
          </w:tcPr>
          <w:p w:rsidR="008F2AC3" w:rsidRPr="00EE4533" w:rsidRDefault="00A32C4E" w:rsidP="00EE4533">
            <w:pPr>
              <w:spacing w:line="360" w:lineRule="auto"/>
              <w:jc w:val="center"/>
            </w:pPr>
            <w:r w:rsidRPr="00EE4533">
              <w:rPr>
                <w:color w:val="000000"/>
              </w:rPr>
              <w:t>28</w:t>
            </w:r>
          </w:p>
        </w:tc>
        <w:tc>
          <w:tcPr>
            <w:tcW w:w="1965" w:type="dxa"/>
            <w:vAlign w:val="center"/>
          </w:tcPr>
          <w:p w:rsidR="008F2AC3" w:rsidRPr="00EE4533" w:rsidRDefault="00A32C4E" w:rsidP="00EE4533">
            <w:pPr>
              <w:spacing w:line="360" w:lineRule="auto"/>
              <w:jc w:val="center"/>
            </w:pPr>
            <w:r w:rsidRPr="00EE4533">
              <w:rPr>
                <w:color w:val="000000"/>
              </w:rPr>
              <w:t>12.7</w:t>
            </w:r>
          </w:p>
        </w:tc>
      </w:tr>
      <w:tr w:rsidR="008F2AC3" w:rsidRPr="00EE4533" w:rsidTr="00EE4533">
        <w:trPr>
          <w:trHeight w:val="367"/>
        </w:trPr>
        <w:tc>
          <w:tcPr>
            <w:tcW w:w="2323" w:type="dxa"/>
            <w:vAlign w:val="center"/>
          </w:tcPr>
          <w:p w:rsidR="008F2AC3" w:rsidRPr="00EE4533" w:rsidRDefault="00A32C4E" w:rsidP="00EE4533">
            <w:pPr>
              <w:spacing w:line="360" w:lineRule="auto"/>
              <w:jc w:val="center"/>
            </w:pPr>
            <w:r w:rsidRPr="00EE4533">
              <w:rPr>
                <w:color w:val="000000"/>
              </w:rPr>
              <w:t>40–49</w:t>
            </w:r>
          </w:p>
        </w:tc>
        <w:tc>
          <w:tcPr>
            <w:tcW w:w="1608" w:type="dxa"/>
            <w:vAlign w:val="center"/>
          </w:tcPr>
          <w:p w:rsidR="008F2AC3" w:rsidRPr="00EE4533" w:rsidRDefault="00A32C4E" w:rsidP="00EE4533">
            <w:pPr>
              <w:spacing w:line="360" w:lineRule="auto"/>
              <w:jc w:val="center"/>
            </w:pPr>
            <w:r w:rsidRPr="00EE4533">
              <w:rPr>
                <w:color w:val="000000"/>
              </w:rPr>
              <w:t>30</w:t>
            </w:r>
          </w:p>
        </w:tc>
        <w:tc>
          <w:tcPr>
            <w:tcW w:w="1608" w:type="dxa"/>
            <w:vAlign w:val="center"/>
          </w:tcPr>
          <w:p w:rsidR="008F2AC3" w:rsidRPr="00EE4533" w:rsidRDefault="00A32C4E" w:rsidP="00EE4533">
            <w:pPr>
              <w:spacing w:line="360" w:lineRule="auto"/>
              <w:jc w:val="center"/>
            </w:pPr>
            <w:r w:rsidRPr="00EE4533">
              <w:rPr>
                <w:color w:val="000000"/>
              </w:rPr>
              <w:t>24</w:t>
            </w:r>
          </w:p>
        </w:tc>
        <w:tc>
          <w:tcPr>
            <w:tcW w:w="1608" w:type="dxa"/>
            <w:vAlign w:val="center"/>
          </w:tcPr>
          <w:p w:rsidR="008F2AC3" w:rsidRPr="00EE4533" w:rsidRDefault="00A32C4E" w:rsidP="00EE4533">
            <w:pPr>
              <w:spacing w:line="360" w:lineRule="auto"/>
              <w:jc w:val="center"/>
            </w:pPr>
            <w:r w:rsidRPr="00EE4533">
              <w:rPr>
                <w:color w:val="000000"/>
              </w:rPr>
              <w:t>54</w:t>
            </w:r>
          </w:p>
        </w:tc>
        <w:tc>
          <w:tcPr>
            <w:tcW w:w="1965" w:type="dxa"/>
            <w:vAlign w:val="center"/>
          </w:tcPr>
          <w:p w:rsidR="008F2AC3" w:rsidRPr="00EE4533" w:rsidRDefault="00A32C4E" w:rsidP="00EE4533">
            <w:pPr>
              <w:spacing w:line="360" w:lineRule="auto"/>
              <w:jc w:val="center"/>
            </w:pPr>
            <w:r w:rsidRPr="00EE4533">
              <w:rPr>
                <w:color w:val="000000"/>
              </w:rPr>
              <w:t>24.5</w:t>
            </w:r>
          </w:p>
        </w:tc>
      </w:tr>
      <w:tr w:rsidR="008F2AC3" w:rsidRPr="00EE4533" w:rsidTr="00EE4533">
        <w:trPr>
          <w:trHeight w:val="367"/>
        </w:trPr>
        <w:tc>
          <w:tcPr>
            <w:tcW w:w="2323" w:type="dxa"/>
            <w:vAlign w:val="center"/>
          </w:tcPr>
          <w:p w:rsidR="008F2AC3" w:rsidRPr="00EE4533" w:rsidRDefault="00A32C4E" w:rsidP="00EE4533">
            <w:pPr>
              <w:spacing w:line="360" w:lineRule="auto"/>
              <w:jc w:val="center"/>
            </w:pPr>
            <w:r w:rsidRPr="00EE4533">
              <w:rPr>
                <w:color w:val="000000"/>
              </w:rPr>
              <w:t>50–59</w:t>
            </w:r>
          </w:p>
        </w:tc>
        <w:tc>
          <w:tcPr>
            <w:tcW w:w="1608" w:type="dxa"/>
            <w:vAlign w:val="center"/>
          </w:tcPr>
          <w:p w:rsidR="008F2AC3" w:rsidRPr="00EE4533" w:rsidRDefault="00A32C4E" w:rsidP="00EE4533">
            <w:pPr>
              <w:spacing w:line="360" w:lineRule="auto"/>
              <w:jc w:val="center"/>
            </w:pPr>
            <w:r w:rsidRPr="00EE4533">
              <w:rPr>
                <w:color w:val="000000"/>
              </w:rPr>
              <w:t>38</w:t>
            </w:r>
          </w:p>
        </w:tc>
        <w:tc>
          <w:tcPr>
            <w:tcW w:w="1608" w:type="dxa"/>
            <w:vAlign w:val="center"/>
          </w:tcPr>
          <w:p w:rsidR="008F2AC3" w:rsidRPr="00EE4533" w:rsidRDefault="00A32C4E" w:rsidP="00EE4533">
            <w:pPr>
              <w:spacing w:line="360" w:lineRule="auto"/>
              <w:jc w:val="center"/>
            </w:pPr>
            <w:r w:rsidRPr="00EE4533">
              <w:rPr>
                <w:color w:val="000000"/>
              </w:rPr>
              <w:t>30</w:t>
            </w:r>
          </w:p>
        </w:tc>
        <w:tc>
          <w:tcPr>
            <w:tcW w:w="1608" w:type="dxa"/>
            <w:vAlign w:val="center"/>
          </w:tcPr>
          <w:p w:rsidR="008F2AC3" w:rsidRPr="00EE4533" w:rsidRDefault="00A32C4E" w:rsidP="00EE4533">
            <w:pPr>
              <w:spacing w:line="360" w:lineRule="auto"/>
              <w:jc w:val="center"/>
            </w:pPr>
            <w:r w:rsidRPr="00EE4533">
              <w:rPr>
                <w:color w:val="000000"/>
              </w:rPr>
              <w:t>68</w:t>
            </w:r>
          </w:p>
        </w:tc>
        <w:tc>
          <w:tcPr>
            <w:tcW w:w="1965" w:type="dxa"/>
            <w:vAlign w:val="center"/>
          </w:tcPr>
          <w:p w:rsidR="008F2AC3" w:rsidRPr="00EE4533" w:rsidRDefault="00A32C4E" w:rsidP="00EE4533">
            <w:pPr>
              <w:spacing w:line="360" w:lineRule="auto"/>
              <w:jc w:val="center"/>
            </w:pPr>
            <w:r w:rsidRPr="00EE4533">
              <w:rPr>
                <w:color w:val="000000"/>
              </w:rPr>
              <w:t>30.9</w:t>
            </w:r>
          </w:p>
        </w:tc>
      </w:tr>
      <w:tr w:rsidR="008F2AC3" w:rsidRPr="00EE4533" w:rsidTr="00EE4533">
        <w:trPr>
          <w:trHeight w:val="367"/>
        </w:trPr>
        <w:tc>
          <w:tcPr>
            <w:tcW w:w="2323" w:type="dxa"/>
            <w:vAlign w:val="center"/>
          </w:tcPr>
          <w:p w:rsidR="008F2AC3" w:rsidRPr="00EE4533" w:rsidRDefault="00A32C4E" w:rsidP="00EE4533">
            <w:pPr>
              <w:spacing w:line="360" w:lineRule="auto"/>
              <w:jc w:val="center"/>
            </w:pPr>
            <w:r w:rsidRPr="00EE4533">
              <w:rPr>
                <w:color w:val="000000"/>
              </w:rPr>
              <w:t>60–69</w:t>
            </w:r>
          </w:p>
        </w:tc>
        <w:tc>
          <w:tcPr>
            <w:tcW w:w="1608" w:type="dxa"/>
            <w:vAlign w:val="center"/>
          </w:tcPr>
          <w:p w:rsidR="008F2AC3" w:rsidRPr="00EE4533" w:rsidRDefault="00A32C4E" w:rsidP="00EE4533">
            <w:pPr>
              <w:spacing w:line="360" w:lineRule="auto"/>
              <w:jc w:val="center"/>
            </w:pPr>
            <w:r w:rsidRPr="00EE4533">
              <w:rPr>
                <w:color w:val="000000"/>
              </w:rPr>
              <w:t>26</w:t>
            </w:r>
          </w:p>
        </w:tc>
        <w:tc>
          <w:tcPr>
            <w:tcW w:w="1608" w:type="dxa"/>
            <w:vAlign w:val="center"/>
          </w:tcPr>
          <w:p w:rsidR="008F2AC3" w:rsidRPr="00EE4533" w:rsidRDefault="00A32C4E" w:rsidP="00EE4533">
            <w:pPr>
              <w:spacing w:line="360" w:lineRule="auto"/>
              <w:jc w:val="center"/>
            </w:pPr>
            <w:r w:rsidRPr="00EE4533">
              <w:rPr>
                <w:color w:val="000000"/>
              </w:rPr>
              <w:t>20</w:t>
            </w:r>
          </w:p>
        </w:tc>
        <w:tc>
          <w:tcPr>
            <w:tcW w:w="1608" w:type="dxa"/>
            <w:vAlign w:val="center"/>
          </w:tcPr>
          <w:p w:rsidR="008F2AC3" w:rsidRPr="00EE4533" w:rsidRDefault="00A32C4E" w:rsidP="00EE4533">
            <w:pPr>
              <w:spacing w:line="360" w:lineRule="auto"/>
              <w:jc w:val="center"/>
            </w:pPr>
            <w:r w:rsidRPr="00EE4533">
              <w:rPr>
                <w:color w:val="000000"/>
              </w:rPr>
              <w:t>46</w:t>
            </w:r>
          </w:p>
        </w:tc>
        <w:tc>
          <w:tcPr>
            <w:tcW w:w="1965" w:type="dxa"/>
            <w:vAlign w:val="center"/>
          </w:tcPr>
          <w:p w:rsidR="008F2AC3" w:rsidRPr="00EE4533" w:rsidRDefault="00A32C4E" w:rsidP="00EE4533">
            <w:pPr>
              <w:spacing w:line="360" w:lineRule="auto"/>
              <w:jc w:val="center"/>
            </w:pPr>
            <w:r w:rsidRPr="00EE4533">
              <w:rPr>
                <w:color w:val="000000"/>
              </w:rPr>
              <w:t>20.9</w:t>
            </w:r>
          </w:p>
        </w:tc>
      </w:tr>
      <w:tr w:rsidR="008F2AC3" w:rsidRPr="00EE4533" w:rsidTr="00EE4533">
        <w:trPr>
          <w:trHeight w:val="377"/>
        </w:trPr>
        <w:tc>
          <w:tcPr>
            <w:tcW w:w="2323" w:type="dxa"/>
            <w:vAlign w:val="center"/>
          </w:tcPr>
          <w:p w:rsidR="008F2AC3" w:rsidRPr="00EE4533" w:rsidRDefault="00A32C4E" w:rsidP="00EE4533">
            <w:pPr>
              <w:spacing w:line="360" w:lineRule="auto"/>
              <w:jc w:val="center"/>
            </w:pPr>
            <w:r w:rsidRPr="00EE4533">
              <w:rPr>
                <w:color w:val="000000"/>
              </w:rPr>
              <w:t>70 and above</w:t>
            </w:r>
          </w:p>
        </w:tc>
        <w:tc>
          <w:tcPr>
            <w:tcW w:w="1608" w:type="dxa"/>
            <w:vAlign w:val="center"/>
          </w:tcPr>
          <w:p w:rsidR="008F2AC3" w:rsidRPr="00EE4533" w:rsidRDefault="00A32C4E" w:rsidP="00EE4533">
            <w:pPr>
              <w:spacing w:line="360" w:lineRule="auto"/>
              <w:jc w:val="center"/>
            </w:pPr>
            <w:r w:rsidRPr="00EE4533">
              <w:rPr>
                <w:color w:val="000000"/>
              </w:rPr>
              <w:t>13</w:t>
            </w:r>
          </w:p>
        </w:tc>
        <w:tc>
          <w:tcPr>
            <w:tcW w:w="1608" w:type="dxa"/>
            <w:vAlign w:val="center"/>
          </w:tcPr>
          <w:p w:rsidR="008F2AC3" w:rsidRPr="00EE4533" w:rsidRDefault="00A32C4E" w:rsidP="00EE4533">
            <w:pPr>
              <w:spacing w:line="360" w:lineRule="auto"/>
              <w:jc w:val="center"/>
            </w:pPr>
            <w:r w:rsidRPr="00EE4533">
              <w:rPr>
                <w:color w:val="000000"/>
              </w:rPr>
              <w:t>11</w:t>
            </w:r>
          </w:p>
        </w:tc>
        <w:tc>
          <w:tcPr>
            <w:tcW w:w="1608" w:type="dxa"/>
            <w:vAlign w:val="center"/>
          </w:tcPr>
          <w:p w:rsidR="008F2AC3" w:rsidRPr="00EE4533" w:rsidRDefault="00A32C4E" w:rsidP="00EE4533">
            <w:pPr>
              <w:spacing w:line="360" w:lineRule="auto"/>
              <w:jc w:val="center"/>
            </w:pPr>
            <w:r w:rsidRPr="00EE4533">
              <w:rPr>
                <w:color w:val="000000"/>
              </w:rPr>
              <w:t>24</w:t>
            </w:r>
          </w:p>
        </w:tc>
        <w:tc>
          <w:tcPr>
            <w:tcW w:w="1965" w:type="dxa"/>
            <w:vAlign w:val="center"/>
          </w:tcPr>
          <w:p w:rsidR="008F2AC3" w:rsidRPr="00EE4533" w:rsidRDefault="00A32C4E" w:rsidP="00EE4533">
            <w:pPr>
              <w:spacing w:line="360" w:lineRule="auto"/>
              <w:jc w:val="center"/>
            </w:pPr>
            <w:r w:rsidRPr="00EE4533">
              <w:rPr>
                <w:color w:val="000000"/>
              </w:rPr>
              <w:t>10.9</w:t>
            </w:r>
          </w:p>
        </w:tc>
      </w:tr>
      <w:tr w:rsidR="008F2AC3" w:rsidRPr="00EE4533" w:rsidTr="00EE4533">
        <w:trPr>
          <w:trHeight w:val="367"/>
        </w:trPr>
        <w:tc>
          <w:tcPr>
            <w:tcW w:w="2323" w:type="dxa"/>
            <w:vAlign w:val="center"/>
          </w:tcPr>
          <w:p w:rsidR="008F2AC3" w:rsidRPr="00EE4533" w:rsidRDefault="00A32C4E" w:rsidP="00EE4533">
            <w:pPr>
              <w:spacing w:line="360" w:lineRule="auto"/>
              <w:jc w:val="center"/>
            </w:pPr>
            <w:r w:rsidRPr="00EE4533">
              <w:rPr>
                <w:color w:val="000000"/>
              </w:rPr>
              <w:t>Total</w:t>
            </w:r>
          </w:p>
        </w:tc>
        <w:tc>
          <w:tcPr>
            <w:tcW w:w="1608" w:type="dxa"/>
            <w:vAlign w:val="center"/>
          </w:tcPr>
          <w:p w:rsidR="008F2AC3" w:rsidRPr="00EE4533" w:rsidRDefault="00A32C4E" w:rsidP="00EE4533">
            <w:pPr>
              <w:spacing w:line="360" w:lineRule="auto"/>
              <w:jc w:val="center"/>
            </w:pPr>
            <w:r w:rsidRPr="00EE4533">
              <w:rPr>
                <w:color w:val="000000"/>
              </w:rPr>
              <w:t>123</w:t>
            </w:r>
          </w:p>
        </w:tc>
        <w:tc>
          <w:tcPr>
            <w:tcW w:w="1608" w:type="dxa"/>
            <w:vAlign w:val="center"/>
          </w:tcPr>
          <w:p w:rsidR="008F2AC3" w:rsidRPr="00EE4533" w:rsidRDefault="00A32C4E" w:rsidP="00EE4533">
            <w:pPr>
              <w:spacing w:line="360" w:lineRule="auto"/>
              <w:jc w:val="center"/>
            </w:pPr>
            <w:r w:rsidRPr="00EE4533">
              <w:rPr>
                <w:color w:val="000000"/>
              </w:rPr>
              <w:t>97</w:t>
            </w:r>
          </w:p>
        </w:tc>
        <w:tc>
          <w:tcPr>
            <w:tcW w:w="1608" w:type="dxa"/>
            <w:vAlign w:val="center"/>
          </w:tcPr>
          <w:p w:rsidR="008F2AC3" w:rsidRPr="00EE4533" w:rsidRDefault="00A32C4E" w:rsidP="00EE4533">
            <w:pPr>
              <w:spacing w:line="360" w:lineRule="auto"/>
              <w:jc w:val="center"/>
            </w:pPr>
            <w:r w:rsidRPr="00EE4533">
              <w:rPr>
                <w:color w:val="000000"/>
              </w:rPr>
              <w:t>220</w:t>
            </w:r>
          </w:p>
        </w:tc>
        <w:tc>
          <w:tcPr>
            <w:tcW w:w="1965" w:type="dxa"/>
            <w:vAlign w:val="center"/>
          </w:tcPr>
          <w:p w:rsidR="008F2AC3" w:rsidRPr="00EE4533" w:rsidRDefault="00A32C4E" w:rsidP="00EE4533">
            <w:pPr>
              <w:spacing w:line="360" w:lineRule="auto"/>
              <w:jc w:val="center"/>
            </w:pPr>
            <w:r w:rsidRPr="00EE4533">
              <w:rPr>
                <w:color w:val="000000"/>
              </w:rPr>
              <w:t>100.0</w:t>
            </w:r>
          </w:p>
        </w:tc>
      </w:tr>
    </w:tbl>
    <w:p w:rsidR="008F2AC3" w:rsidRPr="00EE4533" w:rsidRDefault="008F2AC3" w:rsidP="00EE4533">
      <w:pPr>
        <w:spacing w:line="360" w:lineRule="auto"/>
        <w:jc w:val="both"/>
      </w:pPr>
    </w:p>
    <w:p w:rsidR="008F2AC3" w:rsidRPr="00EE4533" w:rsidRDefault="00A32C4E" w:rsidP="00EE4533">
      <w:pPr>
        <w:spacing w:line="360" w:lineRule="auto"/>
        <w:jc w:val="both"/>
      </w:pPr>
      <w:r w:rsidRPr="00EE4533">
        <w:rPr>
          <w:noProof/>
          <w:lang w:eastAsia="en-IN"/>
        </w:rPr>
        <w:drawing>
          <wp:inline distT="0" distB="0" distL="0" distR="0" wp14:anchorId="6FE14638" wp14:editId="304FD3F9">
            <wp:extent cx="4381500" cy="2819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srcRect/>
                    <a:stretch>
                      <a:fillRect/>
                    </a:stretch>
                  </pic:blipFill>
                  <pic:spPr bwMode="auto">
                    <a:xfrm>
                      <a:off x="0" y="0"/>
                      <a:ext cx="4381500" cy="2819400"/>
                    </a:xfrm>
                    <a:prstGeom prst="rect">
                      <a:avLst/>
                    </a:prstGeom>
                  </pic:spPr>
                </pic:pic>
              </a:graphicData>
            </a:graphic>
          </wp:inline>
        </w:drawing>
      </w:r>
    </w:p>
    <w:p w:rsidR="008F2AC3" w:rsidRPr="00EE4533" w:rsidRDefault="00A32C4E" w:rsidP="00EE4533">
      <w:pPr>
        <w:spacing w:line="360" w:lineRule="auto"/>
        <w:jc w:val="both"/>
      </w:pPr>
      <w:r w:rsidRPr="00EE4533">
        <w:rPr>
          <w:color w:val="000000"/>
        </w:rPr>
        <w:t>Mean clinical and biochemical parameters are shown in Table 2. Mean HbA1c was 8.4 ± 1.8%, and mean haemoglobin was 12.1 ± 2.0 g/dL.</w:t>
      </w:r>
    </w:p>
    <w:p w:rsidR="008F2AC3" w:rsidRPr="00EE4533" w:rsidRDefault="00A32C4E" w:rsidP="00EE4533">
      <w:pPr>
        <w:spacing w:line="360" w:lineRule="auto"/>
        <w:jc w:val="both"/>
      </w:pPr>
      <w:r w:rsidRPr="00EE4533">
        <w:rPr>
          <w:b/>
          <w:bCs/>
          <w:color w:val="000000"/>
        </w:rPr>
        <w:t>Table 2: Clinical and Biochemical Parameters of Study Participants</w:t>
      </w:r>
    </w:p>
    <w:tbl>
      <w:tblP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44"/>
        <w:gridCol w:w="3984"/>
      </w:tblGrid>
      <w:tr w:rsidR="008F2AC3" w:rsidRPr="00EE4533" w:rsidTr="00EE4533">
        <w:trPr>
          <w:trHeight w:val="376"/>
          <w:tblHeader/>
        </w:trPr>
        <w:tc>
          <w:tcPr>
            <w:tcW w:w="4144" w:type="dxa"/>
            <w:shd w:val="clear" w:color="auto" w:fill="E8E8E8"/>
            <w:vAlign w:val="center"/>
          </w:tcPr>
          <w:p w:rsidR="008F2AC3" w:rsidRPr="00EE4533" w:rsidRDefault="00A32C4E" w:rsidP="00EE4533">
            <w:pPr>
              <w:spacing w:line="360" w:lineRule="auto"/>
              <w:jc w:val="center"/>
            </w:pPr>
            <w:r w:rsidRPr="00EE4533">
              <w:rPr>
                <w:b/>
                <w:bCs/>
                <w:color w:val="000000"/>
              </w:rPr>
              <w:t>Parameter</w:t>
            </w:r>
          </w:p>
        </w:tc>
        <w:tc>
          <w:tcPr>
            <w:tcW w:w="3984" w:type="dxa"/>
            <w:shd w:val="clear" w:color="auto" w:fill="E8E8E8"/>
            <w:vAlign w:val="center"/>
          </w:tcPr>
          <w:p w:rsidR="008F2AC3" w:rsidRPr="00EE4533" w:rsidRDefault="00A32C4E" w:rsidP="00EE4533">
            <w:pPr>
              <w:spacing w:line="360" w:lineRule="auto"/>
              <w:jc w:val="center"/>
            </w:pPr>
            <w:r w:rsidRPr="00EE4533">
              <w:rPr>
                <w:b/>
                <w:bCs/>
                <w:color w:val="000000"/>
              </w:rPr>
              <w:t>Mean ± SD</w:t>
            </w:r>
          </w:p>
        </w:tc>
      </w:tr>
      <w:tr w:rsidR="008F2AC3" w:rsidRPr="00EE4533" w:rsidTr="00EE4533">
        <w:trPr>
          <w:trHeight w:val="366"/>
        </w:trPr>
        <w:tc>
          <w:tcPr>
            <w:tcW w:w="4144" w:type="dxa"/>
            <w:vAlign w:val="center"/>
          </w:tcPr>
          <w:p w:rsidR="008F2AC3" w:rsidRPr="00EE4533" w:rsidRDefault="00A32C4E" w:rsidP="00EE4533">
            <w:pPr>
              <w:spacing w:line="360" w:lineRule="auto"/>
              <w:jc w:val="center"/>
            </w:pPr>
            <w:r w:rsidRPr="00EE4533">
              <w:rPr>
                <w:color w:val="000000"/>
              </w:rPr>
              <w:t>Age (years)</w:t>
            </w:r>
          </w:p>
        </w:tc>
        <w:tc>
          <w:tcPr>
            <w:tcW w:w="3984" w:type="dxa"/>
            <w:vAlign w:val="center"/>
          </w:tcPr>
          <w:p w:rsidR="008F2AC3" w:rsidRPr="00EE4533" w:rsidRDefault="00A32C4E" w:rsidP="00EE4533">
            <w:pPr>
              <w:spacing w:line="360" w:lineRule="auto"/>
              <w:jc w:val="center"/>
            </w:pPr>
            <w:r w:rsidRPr="00EE4533">
              <w:rPr>
                <w:color w:val="000000"/>
              </w:rPr>
              <w:t>53.6 ± 12.4</w:t>
            </w:r>
          </w:p>
        </w:tc>
      </w:tr>
      <w:tr w:rsidR="008F2AC3" w:rsidRPr="00EE4533" w:rsidTr="00EE4533">
        <w:trPr>
          <w:trHeight w:val="366"/>
        </w:trPr>
        <w:tc>
          <w:tcPr>
            <w:tcW w:w="4144" w:type="dxa"/>
            <w:vAlign w:val="center"/>
          </w:tcPr>
          <w:p w:rsidR="008F2AC3" w:rsidRPr="00EE4533" w:rsidRDefault="00A32C4E" w:rsidP="00EE4533">
            <w:pPr>
              <w:spacing w:line="360" w:lineRule="auto"/>
              <w:jc w:val="center"/>
            </w:pPr>
            <w:r w:rsidRPr="00EE4533">
              <w:rPr>
                <w:color w:val="000000"/>
              </w:rPr>
              <w:t>Duration of diabetes (years)</w:t>
            </w:r>
          </w:p>
        </w:tc>
        <w:tc>
          <w:tcPr>
            <w:tcW w:w="3984" w:type="dxa"/>
            <w:vAlign w:val="center"/>
          </w:tcPr>
          <w:p w:rsidR="008F2AC3" w:rsidRPr="00EE4533" w:rsidRDefault="00A32C4E" w:rsidP="00EE4533">
            <w:pPr>
              <w:spacing w:line="360" w:lineRule="auto"/>
              <w:jc w:val="center"/>
            </w:pPr>
            <w:r w:rsidRPr="00EE4533">
              <w:rPr>
                <w:color w:val="000000"/>
              </w:rPr>
              <w:t>8.9 ± 6.1</w:t>
            </w:r>
          </w:p>
        </w:tc>
      </w:tr>
      <w:tr w:rsidR="008F2AC3" w:rsidRPr="00EE4533" w:rsidTr="00EE4533">
        <w:trPr>
          <w:trHeight w:val="366"/>
        </w:trPr>
        <w:tc>
          <w:tcPr>
            <w:tcW w:w="4144" w:type="dxa"/>
            <w:vAlign w:val="center"/>
          </w:tcPr>
          <w:p w:rsidR="008F2AC3" w:rsidRPr="00EE4533" w:rsidRDefault="00A32C4E" w:rsidP="00EE4533">
            <w:pPr>
              <w:spacing w:line="360" w:lineRule="auto"/>
              <w:jc w:val="center"/>
            </w:pPr>
            <w:r w:rsidRPr="00EE4533">
              <w:rPr>
                <w:color w:val="000000"/>
              </w:rPr>
              <w:t>HbA1c (%)</w:t>
            </w:r>
          </w:p>
        </w:tc>
        <w:tc>
          <w:tcPr>
            <w:tcW w:w="3984" w:type="dxa"/>
            <w:vAlign w:val="center"/>
          </w:tcPr>
          <w:p w:rsidR="008F2AC3" w:rsidRPr="00EE4533" w:rsidRDefault="00A32C4E" w:rsidP="00EE4533">
            <w:pPr>
              <w:spacing w:line="360" w:lineRule="auto"/>
              <w:jc w:val="center"/>
            </w:pPr>
            <w:r w:rsidRPr="00EE4533">
              <w:rPr>
                <w:color w:val="000000"/>
              </w:rPr>
              <w:t>8.4 ± 1.8</w:t>
            </w:r>
          </w:p>
        </w:tc>
      </w:tr>
      <w:tr w:rsidR="008F2AC3" w:rsidRPr="00EE4533" w:rsidTr="00EE4533">
        <w:trPr>
          <w:trHeight w:val="376"/>
        </w:trPr>
        <w:tc>
          <w:tcPr>
            <w:tcW w:w="4144" w:type="dxa"/>
            <w:vAlign w:val="center"/>
          </w:tcPr>
          <w:p w:rsidR="008F2AC3" w:rsidRPr="00EE4533" w:rsidRDefault="00A32C4E" w:rsidP="00EE4533">
            <w:pPr>
              <w:spacing w:line="360" w:lineRule="auto"/>
              <w:jc w:val="center"/>
            </w:pPr>
            <w:r w:rsidRPr="00EE4533">
              <w:rPr>
                <w:color w:val="000000"/>
              </w:rPr>
              <w:t>Haemoglobin (g/dL)</w:t>
            </w:r>
          </w:p>
        </w:tc>
        <w:tc>
          <w:tcPr>
            <w:tcW w:w="3984" w:type="dxa"/>
            <w:vAlign w:val="center"/>
          </w:tcPr>
          <w:p w:rsidR="008F2AC3" w:rsidRPr="00EE4533" w:rsidRDefault="00A32C4E" w:rsidP="00EE4533">
            <w:pPr>
              <w:spacing w:line="360" w:lineRule="auto"/>
              <w:jc w:val="center"/>
            </w:pPr>
            <w:r w:rsidRPr="00EE4533">
              <w:rPr>
                <w:color w:val="000000"/>
              </w:rPr>
              <w:t>12.1 ± 2.0</w:t>
            </w:r>
          </w:p>
        </w:tc>
      </w:tr>
      <w:tr w:rsidR="008F2AC3" w:rsidRPr="00EE4533" w:rsidTr="00EE4533">
        <w:trPr>
          <w:trHeight w:val="366"/>
        </w:trPr>
        <w:tc>
          <w:tcPr>
            <w:tcW w:w="4144" w:type="dxa"/>
            <w:vAlign w:val="center"/>
          </w:tcPr>
          <w:p w:rsidR="008F2AC3" w:rsidRPr="00EE4533" w:rsidRDefault="00A32C4E" w:rsidP="00EE4533">
            <w:pPr>
              <w:spacing w:line="360" w:lineRule="auto"/>
              <w:jc w:val="center"/>
            </w:pPr>
            <w:r w:rsidRPr="00EE4533">
              <w:rPr>
                <w:color w:val="000000"/>
              </w:rPr>
              <w:t>Serum creatinine (mg/dL)</w:t>
            </w:r>
          </w:p>
        </w:tc>
        <w:tc>
          <w:tcPr>
            <w:tcW w:w="3984" w:type="dxa"/>
            <w:vAlign w:val="center"/>
          </w:tcPr>
          <w:p w:rsidR="008F2AC3" w:rsidRPr="00EE4533" w:rsidRDefault="00A32C4E" w:rsidP="00EE4533">
            <w:pPr>
              <w:spacing w:line="360" w:lineRule="auto"/>
              <w:jc w:val="center"/>
            </w:pPr>
            <w:r w:rsidRPr="00EE4533">
              <w:rPr>
                <w:color w:val="000000"/>
              </w:rPr>
              <w:t>1.02 ± 0.51</w:t>
            </w:r>
          </w:p>
        </w:tc>
      </w:tr>
      <w:tr w:rsidR="008F2AC3" w:rsidRPr="00EE4533" w:rsidTr="00EE4533">
        <w:trPr>
          <w:trHeight w:val="366"/>
        </w:trPr>
        <w:tc>
          <w:tcPr>
            <w:tcW w:w="4144" w:type="dxa"/>
            <w:vAlign w:val="center"/>
          </w:tcPr>
          <w:p w:rsidR="008F2AC3" w:rsidRPr="00EE4533" w:rsidRDefault="00A32C4E" w:rsidP="00EE4533">
            <w:pPr>
              <w:spacing w:line="360" w:lineRule="auto"/>
              <w:jc w:val="center"/>
            </w:pPr>
            <w:r w:rsidRPr="00EE4533">
              <w:rPr>
                <w:color w:val="000000"/>
              </w:rPr>
              <w:t>Estimated GFR (mL/min/1.73m²)</w:t>
            </w:r>
          </w:p>
        </w:tc>
        <w:tc>
          <w:tcPr>
            <w:tcW w:w="3984" w:type="dxa"/>
            <w:vAlign w:val="center"/>
          </w:tcPr>
          <w:p w:rsidR="008F2AC3" w:rsidRPr="00EE4533" w:rsidRDefault="00A32C4E" w:rsidP="00EE4533">
            <w:pPr>
              <w:spacing w:line="360" w:lineRule="auto"/>
              <w:jc w:val="center"/>
            </w:pPr>
            <w:r w:rsidRPr="00EE4533">
              <w:rPr>
                <w:color w:val="000000"/>
              </w:rPr>
              <w:t>82.6 ± 24.3</w:t>
            </w:r>
          </w:p>
        </w:tc>
      </w:tr>
      <w:tr w:rsidR="008F2AC3" w:rsidRPr="00EE4533" w:rsidTr="00EE4533">
        <w:trPr>
          <w:trHeight w:val="366"/>
        </w:trPr>
        <w:tc>
          <w:tcPr>
            <w:tcW w:w="4144" w:type="dxa"/>
            <w:vAlign w:val="center"/>
          </w:tcPr>
          <w:p w:rsidR="008F2AC3" w:rsidRPr="00EE4533" w:rsidRDefault="00A32C4E" w:rsidP="00EE4533">
            <w:pPr>
              <w:spacing w:line="360" w:lineRule="auto"/>
              <w:jc w:val="center"/>
            </w:pPr>
            <w:r w:rsidRPr="00EE4533">
              <w:rPr>
                <w:color w:val="000000"/>
              </w:rPr>
              <w:t>Serum ferritin (ng/mL)</w:t>
            </w:r>
          </w:p>
        </w:tc>
        <w:tc>
          <w:tcPr>
            <w:tcW w:w="3984" w:type="dxa"/>
            <w:vAlign w:val="center"/>
          </w:tcPr>
          <w:p w:rsidR="008F2AC3" w:rsidRPr="00EE4533" w:rsidRDefault="00A32C4E" w:rsidP="00EE4533">
            <w:pPr>
              <w:spacing w:line="360" w:lineRule="auto"/>
              <w:jc w:val="center"/>
            </w:pPr>
            <w:r w:rsidRPr="00EE4533">
              <w:rPr>
                <w:color w:val="000000"/>
              </w:rPr>
              <w:t>94.3 ± 78.6</w:t>
            </w:r>
          </w:p>
        </w:tc>
      </w:tr>
    </w:tbl>
    <w:p w:rsidR="008F2AC3" w:rsidRPr="00EE4533" w:rsidRDefault="008F2AC3" w:rsidP="00EE4533">
      <w:pPr>
        <w:spacing w:line="360" w:lineRule="auto"/>
        <w:jc w:val="both"/>
      </w:pPr>
    </w:p>
    <w:p w:rsidR="008F2AC3" w:rsidRPr="00EE4533" w:rsidRDefault="00A32C4E" w:rsidP="00EE4533">
      <w:pPr>
        <w:spacing w:line="360" w:lineRule="auto"/>
        <w:jc w:val="both"/>
      </w:pPr>
      <w:r w:rsidRPr="00EE4533">
        <w:rPr>
          <w:color w:val="000000"/>
        </w:rPr>
        <w:t>The overall prevalence of anaemia was 30.9% (68/220; 95% CI 24.9–37.4) (Table 3, Figure 2).</w:t>
      </w:r>
    </w:p>
    <w:p w:rsidR="00EE4533" w:rsidRDefault="00EE4533" w:rsidP="00EE4533">
      <w:pPr>
        <w:spacing w:line="360" w:lineRule="auto"/>
        <w:jc w:val="both"/>
        <w:rPr>
          <w:b/>
          <w:bCs/>
          <w:color w:val="000000"/>
        </w:rPr>
      </w:pPr>
    </w:p>
    <w:p w:rsidR="00EE4533" w:rsidRDefault="00EE4533" w:rsidP="00EE4533">
      <w:pPr>
        <w:spacing w:line="360" w:lineRule="auto"/>
        <w:jc w:val="both"/>
        <w:rPr>
          <w:b/>
          <w:bCs/>
          <w:color w:val="000000"/>
        </w:rPr>
      </w:pPr>
    </w:p>
    <w:p w:rsidR="00EE4533" w:rsidRDefault="00EE4533" w:rsidP="00EE4533">
      <w:pPr>
        <w:spacing w:line="360" w:lineRule="auto"/>
        <w:jc w:val="both"/>
        <w:rPr>
          <w:b/>
          <w:bCs/>
          <w:color w:val="000000"/>
        </w:rPr>
      </w:pPr>
    </w:p>
    <w:p w:rsidR="00EE4533" w:rsidRDefault="00EE4533" w:rsidP="00EE4533">
      <w:pPr>
        <w:spacing w:line="360" w:lineRule="auto"/>
        <w:jc w:val="both"/>
        <w:rPr>
          <w:b/>
          <w:bCs/>
          <w:color w:val="000000"/>
        </w:rPr>
      </w:pPr>
    </w:p>
    <w:p w:rsidR="008F2AC3" w:rsidRPr="00EE4533" w:rsidRDefault="00A32C4E" w:rsidP="00EE4533">
      <w:pPr>
        <w:spacing w:line="360" w:lineRule="auto"/>
        <w:jc w:val="both"/>
      </w:pPr>
      <w:r w:rsidRPr="00EE4533">
        <w:rPr>
          <w:b/>
          <w:bCs/>
          <w:color w:val="000000"/>
        </w:rPr>
        <w:t>Table 3: Prevalence of Anaemia Among Study Participants (WHO Criteria)</w:t>
      </w:r>
    </w:p>
    <w:tbl>
      <w:tblPr>
        <w:tblW w:w="8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8"/>
        <w:gridCol w:w="1336"/>
        <w:gridCol w:w="1336"/>
        <w:gridCol w:w="1336"/>
      </w:tblGrid>
      <w:tr w:rsidR="008F2AC3" w:rsidRPr="00EE4533" w:rsidTr="00EE4533">
        <w:trPr>
          <w:trHeight w:val="396"/>
          <w:tblHeader/>
        </w:trPr>
        <w:tc>
          <w:tcPr>
            <w:tcW w:w="4008" w:type="dxa"/>
            <w:shd w:val="clear" w:color="auto" w:fill="E8E8E8"/>
            <w:vAlign w:val="center"/>
          </w:tcPr>
          <w:p w:rsidR="008F2AC3" w:rsidRPr="00EE4533" w:rsidRDefault="00A32C4E" w:rsidP="00EE4533">
            <w:pPr>
              <w:spacing w:line="360" w:lineRule="auto"/>
              <w:jc w:val="center"/>
            </w:pPr>
            <w:r w:rsidRPr="00EE4533">
              <w:rPr>
                <w:b/>
                <w:bCs/>
                <w:color w:val="000000"/>
              </w:rPr>
              <w:t>Anaemia Status (WHO Criteria)</w:t>
            </w:r>
          </w:p>
        </w:tc>
        <w:tc>
          <w:tcPr>
            <w:tcW w:w="1336" w:type="dxa"/>
            <w:shd w:val="clear" w:color="auto" w:fill="E8E8E8"/>
            <w:vAlign w:val="center"/>
          </w:tcPr>
          <w:p w:rsidR="008F2AC3" w:rsidRPr="00EE4533" w:rsidRDefault="00A32C4E" w:rsidP="00EE4533">
            <w:pPr>
              <w:spacing w:line="360" w:lineRule="auto"/>
              <w:jc w:val="center"/>
            </w:pPr>
            <w:r w:rsidRPr="00EE4533">
              <w:rPr>
                <w:b/>
                <w:bCs/>
                <w:color w:val="000000"/>
              </w:rPr>
              <w:t>n</w:t>
            </w:r>
          </w:p>
        </w:tc>
        <w:tc>
          <w:tcPr>
            <w:tcW w:w="1336" w:type="dxa"/>
            <w:shd w:val="clear" w:color="auto" w:fill="E8E8E8"/>
            <w:vAlign w:val="center"/>
          </w:tcPr>
          <w:p w:rsidR="008F2AC3" w:rsidRPr="00EE4533" w:rsidRDefault="00A32C4E" w:rsidP="00EE4533">
            <w:pPr>
              <w:spacing w:line="360" w:lineRule="auto"/>
              <w:jc w:val="center"/>
            </w:pPr>
            <w:r w:rsidRPr="00EE4533">
              <w:rPr>
                <w:b/>
                <w:bCs/>
                <w:color w:val="000000"/>
              </w:rPr>
              <w:t>Percentage</w:t>
            </w:r>
          </w:p>
        </w:tc>
        <w:tc>
          <w:tcPr>
            <w:tcW w:w="1336" w:type="dxa"/>
            <w:shd w:val="clear" w:color="auto" w:fill="E8E8E8"/>
            <w:vAlign w:val="center"/>
          </w:tcPr>
          <w:p w:rsidR="008F2AC3" w:rsidRPr="00EE4533" w:rsidRDefault="00A32C4E" w:rsidP="00EE4533">
            <w:pPr>
              <w:spacing w:line="360" w:lineRule="auto"/>
              <w:jc w:val="center"/>
            </w:pPr>
            <w:r w:rsidRPr="00EE4533">
              <w:rPr>
                <w:b/>
                <w:bCs/>
                <w:color w:val="000000"/>
              </w:rPr>
              <w:t>95% CI</w:t>
            </w:r>
          </w:p>
        </w:tc>
      </w:tr>
      <w:tr w:rsidR="008F2AC3" w:rsidRPr="00EE4533" w:rsidTr="00EE4533">
        <w:trPr>
          <w:trHeight w:val="407"/>
        </w:trPr>
        <w:tc>
          <w:tcPr>
            <w:tcW w:w="4008" w:type="dxa"/>
            <w:vAlign w:val="center"/>
          </w:tcPr>
          <w:p w:rsidR="008F2AC3" w:rsidRPr="00EE4533" w:rsidRDefault="00A32C4E" w:rsidP="00EE4533">
            <w:pPr>
              <w:spacing w:line="360" w:lineRule="auto"/>
              <w:jc w:val="center"/>
            </w:pPr>
            <w:r w:rsidRPr="00EE4533">
              <w:rPr>
                <w:color w:val="000000"/>
              </w:rPr>
              <w:t>Present (Hb &lt;13 g/dL men, &lt;12 g/dL women)</w:t>
            </w:r>
          </w:p>
        </w:tc>
        <w:tc>
          <w:tcPr>
            <w:tcW w:w="1336" w:type="dxa"/>
            <w:vAlign w:val="center"/>
          </w:tcPr>
          <w:p w:rsidR="008F2AC3" w:rsidRPr="00EE4533" w:rsidRDefault="00A32C4E" w:rsidP="00EE4533">
            <w:pPr>
              <w:spacing w:line="360" w:lineRule="auto"/>
              <w:jc w:val="center"/>
            </w:pPr>
            <w:r w:rsidRPr="00EE4533">
              <w:rPr>
                <w:color w:val="000000"/>
              </w:rPr>
              <w:t>68</w:t>
            </w:r>
          </w:p>
        </w:tc>
        <w:tc>
          <w:tcPr>
            <w:tcW w:w="1336" w:type="dxa"/>
            <w:vAlign w:val="center"/>
          </w:tcPr>
          <w:p w:rsidR="008F2AC3" w:rsidRPr="00EE4533" w:rsidRDefault="00A32C4E" w:rsidP="00EE4533">
            <w:pPr>
              <w:spacing w:line="360" w:lineRule="auto"/>
              <w:jc w:val="center"/>
            </w:pPr>
            <w:r w:rsidRPr="00EE4533">
              <w:rPr>
                <w:color w:val="000000"/>
              </w:rPr>
              <w:t>30.9%</w:t>
            </w:r>
          </w:p>
        </w:tc>
        <w:tc>
          <w:tcPr>
            <w:tcW w:w="1336" w:type="dxa"/>
            <w:vAlign w:val="center"/>
          </w:tcPr>
          <w:p w:rsidR="008F2AC3" w:rsidRPr="00EE4533" w:rsidRDefault="00A32C4E" w:rsidP="00EE4533">
            <w:pPr>
              <w:spacing w:line="360" w:lineRule="auto"/>
              <w:jc w:val="center"/>
            </w:pPr>
            <w:r w:rsidRPr="00EE4533">
              <w:rPr>
                <w:color w:val="000000"/>
              </w:rPr>
              <w:t>24.9 – 37.4</w:t>
            </w:r>
          </w:p>
        </w:tc>
      </w:tr>
      <w:tr w:rsidR="008F2AC3" w:rsidRPr="00EE4533" w:rsidTr="00EE4533">
        <w:trPr>
          <w:trHeight w:val="396"/>
        </w:trPr>
        <w:tc>
          <w:tcPr>
            <w:tcW w:w="4008" w:type="dxa"/>
            <w:vAlign w:val="center"/>
          </w:tcPr>
          <w:p w:rsidR="008F2AC3" w:rsidRPr="00EE4533" w:rsidRDefault="00A32C4E" w:rsidP="00EE4533">
            <w:pPr>
              <w:spacing w:line="360" w:lineRule="auto"/>
              <w:jc w:val="center"/>
            </w:pPr>
            <w:r w:rsidRPr="00EE4533">
              <w:rPr>
                <w:color w:val="000000"/>
              </w:rPr>
              <w:t>Absent</w:t>
            </w:r>
          </w:p>
        </w:tc>
        <w:tc>
          <w:tcPr>
            <w:tcW w:w="1336" w:type="dxa"/>
            <w:vAlign w:val="center"/>
          </w:tcPr>
          <w:p w:rsidR="008F2AC3" w:rsidRPr="00EE4533" w:rsidRDefault="00A32C4E" w:rsidP="00EE4533">
            <w:pPr>
              <w:spacing w:line="360" w:lineRule="auto"/>
              <w:jc w:val="center"/>
            </w:pPr>
            <w:r w:rsidRPr="00EE4533">
              <w:rPr>
                <w:color w:val="000000"/>
              </w:rPr>
              <w:t>152</w:t>
            </w:r>
          </w:p>
        </w:tc>
        <w:tc>
          <w:tcPr>
            <w:tcW w:w="1336" w:type="dxa"/>
            <w:vAlign w:val="center"/>
          </w:tcPr>
          <w:p w:rsidR="008F2AC3" w:rsidRPr="00EE4533" w:rsidRDefault="00A32C4E" w:rsidP="00EE4533">
            <w:pPr>
              <w:spacing w:line="360" w:lineRule="auto"/>
              <w:jc w:val="center"/>
            </w:pPr>
            <w:r w:rsidRPr="00EE4533">
              <w:rPr>
                <w:color w:val="000000"/>
              </w:rPr>
              <w:t>69.1%</w:t>
            </w:r>
          </w:p>
        </w:tc>
        <w:tc>
          <w:tcPr>
            <w:tcW w:w="1336" w:type="dxa"/>
            <w:vAlign w:val="center"/>
          </w:tcPr>
          <w:p w:rsidR="008F2AC3" w:rsidRPr="00EE4533" w:rsidRDefault="00A32C4E" w:rsidP="00EE4533">
            <w:pPr>
              <w:spacing w:line="360" w:lineRule="auto"/>
              <w:jc w:val="center"/>
            </w:pPr>
            <w:r w:rsidRPr="00EE4533">
              <w:rPr>
                <w:color w:val="000000"/>
              </w:rPr>
              <w:t>62.6 – 75.1</w:t>
            </w:r>
          </w:p>
        </w:tc>
      </w:tr>
      <w:tr w:rsidR="008F2AC3" w:rsidRPr="00EE4533" w:rsidTr="00EE4533">
        <w:trPr>
          <w:trHeight w:val="396"/>
        </w:trPr>
        <w:tc>
          <w:tcPr>
            <w:tcW w:w="4008" w:type="dxa"/>
            <w:vAlign w:val="center"/>
          </w:tcPr>
          <w:p w:rsidR="008F2AC3" w:rsidRPr="00EE4533" w:rsidRDefault="00A32C4E" w:rsidP="00EE4533">
            <w:pPr>
              <w:spacing w:line="360" w:lineRule="auto"/>
              <w:jc w:val="center"/>
            </w:pPr>
            <w:r w:rsidRPr="00EE4533">
              <w:rPr>
                <w:color w:val="000000"/>
              </w:rPr>
              <w:t>Total</w:t>
            </w:r>
          </w:p>
        </w:tc>
        <w:tc>
          <w:tcPr>
            <w:tcW w:w="1336" w:type="dxa"/>
            <w:vAlign w:val="center"/>
          </w:tcPr>
          <w:p w:rsidR="008F2AC3" w:rsidRPr="00EE4533" w:rsidRDefault="00A32C4E" w:rsidP="00EE4533">
            <w:pPr>
              <w:spacing w:line="360" w:lineRule="auto"/>
              <w:jc w:val="center"/>
            </w:pPr>
            <w:r w:rsidRPr="00EE4533">
              <w:rPr>
                <w:color w:val="000000"/>
              </w:rPr>
              <w:t>220</w:t>
            </w:r>
          </w:p>
        </w:tc>
        <w:tc>
          <w:tcPr>
            <w:tcW w:w="1336" w:type="dxa"/>
            <w:vAlign w:val="center"/>
          </w:tcPr>
          <w:p w:rsidR="008F2AC3" w:rsidRPr="00EE4533" w:rsidRDefault="00A32C4E" w:rsidP="00EE4533">
            <w:pPr>
              <w:spacing w:line="360" w:lineRule="auto"/>
              <w:jc w:val="center"/>
            </w:pPr>
            <w:r w:rsidRPr="00EE4533">
              <w:rPr>
                <w:color w:val="000000"/>
              </w:rPr>
              <w:t>100.0%</w:t>
            </w:r>
          </w:p>
        </w:tc>
        <w:tc>
          <w:tcPr>
            <w:tcW w:w="1336" w:type="dxa"/>
            <w:vAlign w:val="center"/>
          </w:tcPr>
          <w:p w:rsidR="008F2AC3" w:rsidRPr="00EE4533" w:rsidRDefault="00A32C4E" w:rsidP="00EE4533">
            <w:pPr>
              <w:spacing w:line="360" w:lineRule="auto"/>
              <w:jc w:val="center"/>
            </w:pPr>
            <w:r w:rsidRPr="00EE4533">
              <w:rPr>
                <w:color w:val="000000"/>
              </w:rPr>
              <w:t>—</w:t>
            </w:r>
          </w:p>
        </w:tc>
      </w:tr>
    </w:tbl>
    <w:p w:rsidR="008F2AC3" w:rsidRPr="00EE4533" w:rsidRDefault="008F2AC3" w:rsidP="00EE4533">
      <w:pPr>
        <w:spacing w:line="360" w:lineRule="auto"/>
        <w:jc w:val="both"/>
      </w:pPr>
    </w:p>
    <w:p w:rsidR="008F2AC3" w:rsidRPr="00EE4533" w:rsidRDefault="00A32C4E" w:rsidP="00EE4533">
      <w:pPr>
        <w:spacing w:line="360" w:lineRule="auto"/>
        <w:jc w:val="both"/>
      </w:pPr>
      <w:r w:rsidRPr="00EE4533">
        <w:rPr>
          <w:noProof/>
          <w:lang w:eastAsia="en-IN"/>
        </w:rPr>
        <w:drawing>
          <wp:inline distT="0" distB="0" distL="0" distR="0" wp14:anchorId="0183B414" wp14:editId="34A014B8">
            <wp:extent cx="2246638" cy="1729911"/>
            <wp:effectExtent l="0" t="0" r="0" b="0"/>
            <wp:docPr id="1193589019" name="Picture 1193589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srcRect/>
                    <a:stretch>
                      <a:fillRect/>
                    </a:stretch>
                  </pic:blipFill>
                  <pic:spPr bwMode="auto">
                    <a:xfrm>
                      <a:off x="0" y="0"/>
                      <a:ext cx="2248765" cy="1731549"/>
                    </a:xfrm>
                    <a:prstGeom prst="rect">
                      <a:avLst/>
                    </a:prstGeom>
                  </pic:spPr>
                </pic:pic>
              </a:graphicData>
            </a:graphic>
          </wp:inline>
        </w:drawing>
      </w:r>
    </w:p>
    <w:p w:rsidR="008F2AC3" w:rsidRPr="00EE4533" w:rsidRDefault="00A32C4E" w:rsidP="00EE4533">
      <w:pPr>
        <w:spacing w:line="360" w:lineRule="auto"/>
        <w:jc w:val="both"/>
      </w:pPr>
      <w:r w:rsidRPr="00EE4533">
        <w:rPr>
          <w:color w:val="000000"/>
        </w:rPr>
        <w:t>Normocytic normochromic anaemia was the most common morphological type (50.0%), followed by microcytic hypochromic (39.7%) and macrocytic anaemia (10.3%) (Table 4, Figure 3).</w:t>
      </w:r>
    </w:p>
    <w:p w:rsidR="008F2AC3" w:rsidRPr="00EE4533" w:rsidRDefault="00A32C4E" w:rsidP="00EE4533">
      <w:pPr>
        <w:spacing w:line="360" w:lineRule="auto"/>
        <w:jc w:val="both"/>
      </w:pPr>
      <w:r w:rsidRPr="00EE4533">
        <w:rPr>
          <w:b/>
          <w:bCs/>
          <w:color w:val="000000"/>
        </w:rPr>
        <w:t>Table 4: Morphological Classification of Anaemia (n = 68)</w:t>
      </w:r>
    </w:p>
    <w:tbl>
      <w:tblPr>
        <w:tblW w:w="7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59"/>
        <w:gridCol w:w="1667"/>
        <w:gridCol w:w="1667"/>
      </w:tblGrid>
      <w:tr w:rsidR="008F2AC3" w:rsidRPr="00EE4533" w:rsidTr="00EE4533">
        <w:trPr>
          <w:trHeight w:val="746"/>
          <w:tblHeader/>
        </w:trPr>
        <w:tc>
          <w:tcPr>
            <w:tcW w:w="4059" w:type="dxa"/>
            <w:shd w:val="clear" w:color="auto" w:fill="E8E8E8"/>
            <w:vAlign w:val="center"/>
          </w:tcPr>
          <w:p w:rsidR="008F2AC3" w:rsidRPr="00EE4533" w:rsidRDefault="00A32C4E" w:rsidP="00EE4533">
            <w:pPr>
              <w:spacing w:line="360" w:lineRule="auto"/>
              <w:jc w:val="center"/>
            </w:pPr>
            <w:r w:rsidRPr="00EE4533">
              <w:rPr>
                <w:b/>
                <w:bCs/>
                <w:color w:val="000000"/>
              </w:rPr>
              <w:t>Morphological Type</w:t>
            </w:r>
          </w:p>
        </w:tc>
        <w:tc>
          <w:tcPr>
            <w:tcW w:w="1667" w:type="dxa"/>
            <w:shd w:val="clear" w:color="auto" w:fill="E8E8E8"/>
            <w:vAlign w:val="center"/>
          </w:tcPr>
          <w:p w:rsidR="008F2AC3" w:rsidRPr="00EE4533" w:rsidRDefault="00A32C4E" w:rsidP="00EE4533">
            <w:pPr>
              <w:spacing w:line="360" w:lineRule="auto"/>
              <w:jc w:val="center"/>
            </w:pPr>
            <w:r w:rsidRPr="00EE4533">
              <w:rPr>
                <w:b/>
                <w:bCs/>
                <w:color w:val="000000"/>
              </w:rPr>
              <w:t>n</w:t>
            </w:r>
          </w:p>
        </w:tc>
        <w:tc>
          <w:tcPr>
            <w:tcW w:w="1667" w:type="dxa"/>
            <w:shd w:val="clear" w:color="auto" w:fill="E8E8E8"/>
            <w:vAlign w:val="center"/>
          </w:tcPr>
          <w:p w:rsidR="008F2AC3" w:rsidRPr="00EE4533" w:rsidRDefault="00A32C4E" w:rsidP="00EE4533">
            <w:pPr>
              <w:spacing w:line="360" w:lineRule="auto"/>
              <w:jc w:val="center"/>
            </w:pPr>
            <w:r w:rsidRPr="00EE4533">
              <w:rPr>
                <w:b/>
                <w:bCs/>
                <w:color w:val="000000"/>
              </w:rPr>
              <w:t>Percentage of Anaemic Patients (%)</w:t>
            </w:r>
          </w:p>
        </w:tc>
      </w:tr>
      <w:tr w:rsidR="008F2AC3" w:rsidRPr="00EE4533" w:rsidTr="00EE4533">
        <w:trPr>
          <w:trHeight w:val="383"/>
        </w:trPr>
        <w:tc>
          <w:tcPr>
            <w:tcW w:w="4059" w:type="dxa"/>
            <w:vAlign w:val="center"/>
          </w:tcPr>
          <w:p w:rsidR="008F2AC3" w:rsidRPr="00EE4533" w:rsidRDefault="00A32C4E" w:rsidP="00EE4533">
            <w:pPr>
              <w:spacing w:line="360" w:lineRule="auto"/>
              <w:jc w:val="center"/>
            </w:pPr>
            <w:r w:rsidRPr="00EE4533">
              <w:rPr>
                <w:color w:val="000000"/>
              </w:rPr>
              <w:t>Normocytic normochromic</w:t>
            </w:r>
          </w:p>
        </w:tc>
        <w:tc>
          <w:tcPr>
            <w:tcW w:w="1667" w:type="dxa"/>
            <w:vAlign w:val="center"/>
          </w:tcPr>
          <w:p w:rsidR="008F2AC3" w:rsidRPr="00EE4533" w:rsidRDefault="00A32C4E" w:rsidP="00EE4533">
            <w:pPr>
              <w:spacing w:line="360" w:lineRule="auto"/>
              <w:jc w:val="center"/>
            </w:pPr>
            <w:r w:rsidRPr="00EE4533">
              <w:rPr>
                <w:color w:val="000000"/>
              </w:rPr>
              <w:t>34</w:t>
            </w:r>
          </w:p>
        </w:tc>
        <w:tc>
          <w:tcPr>
            <w:tcW w:w="1667" w:type="dxa"/>
            <w:vAlign w:val="center"/>
          </w:tcPr>
          <w:p w:rsidR="008F2AC3" w:rsidRPr="00EE4533" w:rsidRDefault="00A32C4E" w:rsidP="00EE4533">
            <w:pPr>
              <w:spacing w:line="360" w:lineRule="auto"/>
              <w:jc w:val="center"/>
            </w:pPr>
            <w:r w:rsidRPr="00EE4533">
              <w:rPr>
                <w:color w:val="000000"/>
              </w:rPr>
              <w:t>50.0</w:t>
            </w:r>
          </w:p>
        </w:tc>
      </w:tr>
      <w:tr w:rsidR="008F2AC3" w:rsidRPr="00EE4533" w:rsidTr="00EE4533">
        <w:trPr>
          <w:trHeight w:val="372"/>
        </w:trPr>
        <w:tc>
          <w:tcPr>
            <w:tcW w:w="4059" w:type="dxa"/>
            <w:vAlign w:val="center"/>
          </w:tcPr>
          <w:p w:rsidR="008F2AC3" w:rsidRPr="00EE4533" w:rsidRDefault="00A32C4E" w:rsidP="00EE4533">
            <w:pPr>
              <w:spacing w:line="360" w:lineRule="auto"/>
              <w:jc w:val="center"/>
            </w:pPr>
            <w:r w:rsidRPr="00EE4533">
              <w:rPr>
                <w:color w:val="000000"/>
              </w:rPr>
              <w:t>Microcytic hypochromic</w:t>
            </w:r>
          </w:p>
        </w:tc>
        <w:tc>
          <w:tcPr>
            <w:tcW w:w="1667" w:type="dxa"/>
            <w:vAlign w:val="center"/>
          </w:tcPr>
          <w:p w:rsidR="008F2AC3" w:rsidRPr="00EE4533" w:rsidRDefault="00A32C4E" w:rsidP="00EE4533">
            <w:pPr>
              <w:spacing w:line="360" w:lineRule="auto"/>
              <w:jc w:val="center"/>
            </w:pPr>
            <w:r w:rsidRPr="00EE4533">
              <w:rPr>
                <w:color w:val="000000"/>
              </w:rPr>
              <w:t>27</w:t>
            </w:r>
          </w:p>
        </w:tc>
        <w:tc>
          <w:tcPr>
            <w:tcW w:w="1667" w:type="dxa"/>
            <w:vAlign w:val="center"/>
          </w:tcPr>
          <w:p w:rsidR="008F2AC3" w:rsidRPr="00EE4533" w:rsidRDefault="00A32C4E" w:rsidP="00EE4533">
            <w:pPr>
              <w:spacing w:line="360" w:lineRule="auto"/>
              <w:jc w:val="center"/>
            </w:pPr>
            <w:r w:rsidRPr="00EE4533">
              <w:rPr>
                <w:color w:val="000000"/>
              </w:rPr>
              <w:t>39.7</w:t>
            </w:r>
          </w:p>
        </w:tc>
      </w:tr>
      <w:tr w:rsidR="008F2AC3" w:rsidRPr="00EE4533" w:rsidTr="00EE4533">
        <w:trPr>
          <w:trHeight w:val="372"/>
        </w:trPr>
        <w:tc>
          <w:tcPr>
            <w:tcW w:w="4059" w:type="dxa"/>
            <w:vAlign w:val="center"/>
          </w:tcPr>
          <w:p w:rsidR="008F2AC3" w:rsidRPr="00EE4533" w:rsidRDefault="00A32C4E" w:rsidP="00EE4533">
            <w:pPr>
              <w:spacing w:line="360" w:lineRule="auto"/>
              <w:jc w:val="center"/>
            </w:pPr>
            <w:r w:rsidRPr="00EE4533">
              <w:rPr>
                <w:color w:val="000000"/>
              </w:rPr>
              <w:t>Macrocytic</w:t>
            </w:r>
          </w:p>
        </w:tc>
        <w:tc>
          <w:tcPr>
            <w:tcW w:w="1667" w:type="dxa"/>
            <w:vAlign w:val="center"/>
          </w:tcPr>
          <w:p w:rsidR="008F2AC3" w:rsidRPr="00EE4533" w:rsidRDefault="00A32C4E" w:rsidP="00EE4533">
            <w:pPr>
              <w:spacing w:line="360" w:lineRule="auto"/>
              <w:jc w:val="center"/>
            </w:pPr>
            <w:r w:rsidRPr="00EE4533">
              <w:rPr>
                <w:color w:val="000000"/>
              </w:rPr>
              <w:t>7</w:t>
            </w:r>
          </w:p>
        </w:tc>
        <w:tc>
          <w:tcPr>
            <w:tcW w:w="1667" w:type="dxa"/>
            <w:vAlign w:val="center"/>
          </w:tcPr>
          <w:p w:rsidR="008F2AC3" w:rsidRPr="00EE4533" w:rsidRDefault="00A32C4E" w:rsidP="00EE4533">
            <w:pPr>
              <w:spacing w:line="360" w:lineRule="auto"/>
              <w:jc w:val="center"/>
            </w:pPr>
            <w:r w:rsidRPr="00EE4533">
              <w:rPr>
                <w:color w:val="000000"/>
              </w:rPr>
              <w:t>10.3</w:t>
            </w:r>
          </w:p>
        </w:tc>
      </w:tr>
      <w:tr w:rsidR="008F2AC3" w:rsidRPr="00EE4533" w:rsidTr="00EE4533">
        <w:trPr>
          <w:trHeight w:val="372"/>
        </w:trPr>
        <w:tc>
          <w:tcPr>
            <w:tcW w:w="4059" w:type="dxa"/>
            <w:vAlign w:val="center"/>
          </w:tcPr>
          <w:p w:rsidR="008F2AC3" w:rsidRPr="00EE4533" w:rsidRDefault="00A32C4E" w:rsidP="00EE4533">
            <w:pPr>
              <w:spacing w:line="360" w:lineRule="auto"/>
              <w:jc w:val="center"/>
            </w:pPr>
            <w:r w:rsidRPr="00EE4533">
              <w:rPr>
                <w:color w:val="000000"/>
              </w:rPr>
              <w:t>Total</w:t>
            </w:r>
          </w:p>
        </w:tc>
        <w:tc>
          <w:tcPr>
            <w:tcW w:w="1667" w:type="dxa"/>
            <w:vAlign w:val="center"/>
          </w:tcPr>
          <w:p w:rsidR="008F2AC3" w:rsidRPr="00EE4533" w:rsidRDefault="00A32C4E" w:rsidP="00EE4533">
            <w:pPr>
              <w:spacing w:line="360" w:lineRule="auto"/>
              <w:jc w:val="center"/>
            </w:pPr>
            <w:r w:rsidRPr="00EE4533">
              <w:rPr>
                <w:color w:val="000000"/>
              </w:rPr>
              <w:t>68</w:t>
            </w:r>
          </w:p>
        </w:tc>
        <w:tc>
          <w:tcPr>
            <w:tcW w:w="1667" w:type="dxa"/>
            <w:vAlign w:val="center"/>
          </w:tcPr>
          <w:p w:rsidR="008F2AC3" w:rsidRPr="00EE4533" w:rsidRDefault="00A32C4E" w:rsidP="00EE4533">
            <w:pPr>
              <w:spacing w:line="360" w:lineRule="auto"/>
              <w:jc w:val="center"/>
            </w:pPr>
            <w:r w:rsidRPr="00EE4533">
              <w:rPr>
                <w:color w:val="000000"/>
              </w:rPr>
              <w:t>100.0</w:t>
            </w:r>
          </w:p>
        </w:tc>
      </w:tr>
    </w:tbl>
    <w:p w:rsidR="008F2AC3" w:rsidRPr="00EE4533" w:rsidRDefault="008F2AC3" w:rsidP="00EE4533">
      <w:pPr>
        <w:spacing w:line="360" w:lineRule="auto"/>
        <w:jc w:val="both"/>
      </w:pPr>
    </w:p>
    <w:p w:rsidR="008F2AC3" w:rsidRPr="00EE4533" w:rsidRDefault="00A32C4E" w:rsidP="00EE4533">
      <w:pPr>
        <w:spacing w:line="360" w:lineRule="auto"/>
        <w:jc w:val="both"/>
      </w:pPr>
      <w:r w:rsidRPr="00EE4533">
        <w:rPr>
          <w:noProof/>
          <w:lang w:eastAsia="en-IN"/>
        </w:rPr>
        <w:drawing>
          <wp:inline distT="0" distB="0" distL="0" distR="0" wp14:anchorId="7C47AC2F" wp14:editId="64A58E81">
            <wp:extent cx="4191000" cy="2743200"/>
            <wp:effectExtent l="0" t="0" r="0" b="0"/>
            <wp:docPr id="37428288" name="Picture 3742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srcRect/>
                    <a:stretch>
                      <a:fillRect/>
                    </a:stretch>
                  </pic:blipFill>
                  <pic:spPr bwMode="auto">
                    <a:xfrm>
                      <a:off x="0" y="0"/>
                      <a:ext cx="4191000" cy="2743200"/>
                    </a:xfrm>
                    <a:prstGeom prst="rect">
                      <a:avLst/>
                    </a:prstGeom>
                  </pic:spPr>
                </pic:pic>
              </a:graphicData>
            </a:graphic>
          </wp:inline>
        </w:drawing>
      </w:r>
    </w:p>
    <w:p w:rsidR="008F2AC3" w:rsidRPr="00EE4533" w:rsidRDefault="00A32C4E" w:rsidP="00EE4533">
      <w:pPr>
        <w:spacing w:line="360" w:lineRule="auto"/>
        <w:jc w:val="both"/>
      </w:pPr>
      <w:r w:rsidRPr="00EE4533">
        <w:rPr>
          <w:color w:val="000000"/>
        </w:rPr>
        <w:t>Anaemia prevalence increased progressively with duration of diabetes, from 15.8% in patients with disease duration under 5 years to 57.7% in those with duration exceeding 20 years (Table 5, Figure 4).</w:t>
      </w:r>
    </w:p>
    <w:p w:rsidR="008F2AC3" w:rsidRPr="00EE4533" w:rsidRDefault="00A32C4E" w:rsidP="00EE4533">
      <w:pPr>
        <w:spacing w:line="360" w:lineRule="auto"/>
        <w:jc w:val="both"/>
      </w:pPr>
      <w:r w:rsidRPr="00EE4533">
        <w:rPr>
          <w:b/>
          <w:bCs/>
          <w:color w:val="000000"/>
        </w:rPr>
        <w:t>Table 5: Prevalence of Anaemia by Duration of Diabetes</w:t>
      </w:r>
    </w:p>
    <w:tbl>
      <w:tblPr>
        <w:tblW w:w="7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14"/>
        <w:gridCol w:w="1960"/>
        <w:gridCol w:w="3015"/>
      </w:tblGrid>
      <w:tr w:rsidR="008F2AC3" w:rsidRPr="00EE4533" w:rsidTr="00EE4533">
        <w:trPr>
          <w:trHeight w:val="367"/>
          <w:tblHeader/>
        </w:trPr>
        <w:tc>
          <w:tcPr>
            <w:tcW w:w="2714" w:type="dxa"/>
            <w:shd w:val="clear" w:color="auto" w:fill="E8E8E8"/>
            <w:vAlign w:val="center"/>
          </w:tcPr>
          <w:p w:rsidR="008F2AC3" w:rsidRPr="00EE4533" w:rsidRDefault="00A32C4E" w:rsidP="00EE4533">
            <w:pPr>
              <w:spacing w:line="360" w:lineRule="auto"/>
              <w:jc w:val="center"/>
            </w:pPr>
            <w:r w:rsidRPr="00EE4533">
              <w:rPr>
                <w:b/>
                <w:bCs/>
                <w:color w:val="000000"/>
              </w:rPr>
              <w:t>Duration of Diabetes (years)</w:t>
            </w:r>
          </w:p>
        </w:tc>
        <w:tc>
          <w:tcPr>
            <w:tcW w:w="1960" w:type="dxa"/>
            <w:shd w:val="clear" w:color="auto" w:fill="E8E8E8"/>
            <w:vAlign w:val="center"/>
          </w:tcPr>
          <w:p w:rsidR="008F2AC3" w:rsidRPr="00EE4533" w:rsidRDefault="00A32C4E" w:rsidP="00EE4533">
            <w:pPr>
              <w:spacing w:line="360" w:lineRule="auto"/>
              <w:jc w:val="center"/>
            </w:pPr>
            <w:r w:rsidRPr="00EE4533">
              <w:rPr>
                <w:b/>
                <w:bCs/>
                <w:color w:val="000000"/>
              </w:rPr>
              <w:t>Total (n)</w:t>
            </w:r>
          </w:p>
        </w:tc>
        <w:tc>
          <w:tcPr>
            <w:tcW w:w="3015" w:type="dxa"/>
            <w:shd w:val="clear" w:color="auto" w:fill="E8E8E8"/>
            <w:vAlign w:val="center"/>
          </w:tcPr>
          <w:p w:rsidR="008F2AC3" w:rsidRPr="00EE4533" w:rsidRDefault="00A32C4E" w:rsidP="00EE4533">
            <w:pPr>
              <w:spacing w:line="360" w:lineRule="auto"/>
              <w:jc w:val="center"/>
            </w:pPr>
            <w:r w:rsidRPr="00EE4533">
              <w:rPr>
                <w:b/>
                <w:bCs/>
                <w:color w:val="000000"/>
              </w:rPr>
              <w:t>Anaemia Present, n (%)</w:t>
            </w:r>
          </w:p>
        </w:tc>
      </w:tr>
      <w:tr w:rsidR="008F2AC3" w:rsidRPr="00EE4533" w:rsidTr="00EE4533">
        <w:trPr>
          <w:trHeight w:val="367"/>
        </w:trPr>
        <w:tc>
          <w:tcPr>
            <w:tcW w:w="2714" w:type="dxa"/>
            <w:vAlign w:val="center"/>
          </w:tcPr>
          <w:p w:rsidR="008F2AC3" w:rsidRPr="00EE4533" w:rsidRDefault="00A32C4E" w:rsidP="00EE4533">
            <w:pPr>
              <w:spacing w:line="360" w:lineRule="auto"/>
              <w:jc w:val="center"/>
            </w:pPr>
            <w:r w:rsidRPr="00EE4533">
              <w:rPr>
                <w:color w:val="000000"/>
              </w:rPr>
              <w:t>&lt;5</w:t>
            </w:r>
          </w:p>
        </w:tc>
        <w:tc>
          <w:tcPr>
            <w:tcW w:w="1960" w:type="dxa"/>
            <w:vAlign w:val="center"/>
          </w:tcPr>
          <w:p w:rsidR="008F2AC3" w:rsidRPr="00EE4533" w:rsidRDefault="00A32C4E" w:rsidP="00EE4533">
            <w:pPr>
              <w:spacing w:line="360" w:lineRule="auto"/>
              <w:jc w:val="center"/>
            </w:pPr>
            <w:r w:rsidRPr="00EE4533">
              <w:rPr>
                <w:color w:val="000000"/>
              </w:rPr>
              <w:t>57</w:t>
            </w:r>
          </w:p>
        </w:tc>
        <w:tc>
          <w:tcPr>
            <w:tcW w:w="3015" w:type="dxa"/>
            <w:vAlign w:val="center"/>
          </w:tcPr>
          <w:p w:rsidR="008F2AC3" w:rsidRPr="00EE4533" w:rsidRDefault="00A32C4E" w:rsidP="00EE4533">
            <w:pPr>
              <w:spacing w:line="360" w:lineRule="auto"/>
              <w:jc w:val="center"/>
            </w:pPr>
            <w:r w:rsidRPr="00EE4533">
              <w:rPr>
                <w:color w:val="000000"/>
              </w:rPr>
              <w:t>9 (15.8)</w:t>
            </w:r>
          </w:p>
        </w:tc>
      </w:tr>
      <w:tr w:rsidR="008F2AC3" w:rsidRPr="00EE4533" w:rsidTr="00EE4533">
        <w:trPr>
          <w:trHeight w:val="367"/>
        </w:trPr>
        <w:tc>
          <w:tcPr>
            <w:tcW w:w="2714" w:type="dxa"/>
            <w:vAlign w:val="center"/>
          </w:tcPr>
          <w:p w:rsidR="008F2AC3" w:rsidRPr="00EE4533" w:rsidRDefault="00A32C4E" w:rsidP="00EE4533">
            <w:pPr>
              <w:spacing w:line="360" w:lineRule="auto"/>
              <w:jc w:val="center"/>
            </w:pPr>
            <w:r w:rsidRPr="00EE4533">
              <w:rPr>
                <w:color w:val="000000"/>
              </w:rPr>
              <w:t>5–10</w:t>
            </w:r>
          </w:p>
        </w:tc>
        <w:tc>
          <w:tcPr>
            <w:tcW w:w="1960" w:type="dxa"/>
            <w:vAlign w:val="center"/>
          </w:tcPr>
          <w:p w:rsidR="008F2AC3" w:rsidRPr="00EE4533" w:rsidRDefault="00A32C4E" w:rsidP="00EE4533">
            <w:pPr>
              <w:spacing w:line="360" w:lineRule="auto"/>
              <w:jc w:val="center"/>
            </w:pPr>
            <w:r w:rsidRPr="00EE4533">
              <w:rPr>
                <w:color w:val="000000"/>
              </w:rPr>
              <w:t>66</w:t>
            </w:r>
          </w:p>
        </w:tc>
        <w:tc>
          <w:tcPr>
            <w:tcW w:w="3015" w:type="dxa"/>
            <w:vAlign w:val="center"/>
          </w:tcPr>
          <w:p w:rsidR="008F2AC3" w:rsidRPr="00EE4533" w:rsidRDefault="00A32C4E" w:rsidP="00EE4533">
            <w:pPr>
              <w:spacing w:line="360" w:lineRule="auto"/>
              <w:jc w:val="center"/>
            </w:pPr>
            <w:r w:rsidRPr="00EE4533">
              <w:rPr>
                <w:color w:val="000000"/>
              </w:rPr>
              <w:t>18 (27.3)</w:t>
            </w:r>
          </w:p>
        </w:tc>
      </w:tr>
      <w:tr w:rsidR="008F2AC3" w:rsidRPr="00EE4533" w:rsidTr="00EE4533">
        <w:trPr>
          <w:trHeight w:val="367"/>
        </w:trPr>
        <w:tc>
          <w:tcPr>
            <w:tcW w:w="2714" w:type="dxa"/>
            <w:vAlign w:val="center"/>
          </w:tcPr>
          <w:p w:rsidR="008F2AC3" w:rsidRPr="00EE4533" w:rsidRDefault="00A32C4E" w:rsidP="00EE4533">
            <w:pPr>
              <w:spacing w:line="360" w:lineRule="auto"/>
              <w:jc w:val="center"/>
            </w:pPr>
            <w:r w:rsidRPr="00EE4533">
              <w:rPr>
                <w:color w:val="000000"/>
              </w:rPr>
              <w:t>11–15</w:t>
            </w:r>
          </w:p>
        </w:tc>
        <w:tc>
          <w:tcPr>
            <w:tcW w:w="1960" w:type="dxa"/>
            <w:vAlign w:val="center"/>
          </w:tcPr>
          <w:p w:rsidR="008F2AC3" w:rsidRPr="00EE4533" w:rsidRDefault="00A32C4E" w:rsidP="00EE4533">
            <w:pPr>
              <w:spacing w:line="360" w:lineRule="auto"/>
              <w:jc w:val="center"/>
            </w:pPr>
            <w:r w:rsidRPr="00EE4533">
              <w:rPr>
                <w:color w:val="000000"/>
              </w:rPr>
              <w:t>44</w:t>
            </w:r>
          </w:p>
        </w:tc>
        <w:tc>
          <w:tcPr>
            <w:tcW w:w="3015" w:type="dxa"/>
            <w:vAlign w:val="center"/>
          </w:tcPr>
          <w:p w:rsidR="008F2AC3" w:rsidRPr="00EE4533" w:rsidRDefault="00A32C4E" w:rsidP="00EE4533">
            <w:pPr>
              <w:spacing w:line="360" w:lineRule="auto"/>
              <w:jc w:val="center"/>
            </w:pPr>
            <w:r w:rsidRPr="00EE4533">
              <w:rPr>
                <w:color w:val="000000"/>
              </w:rPr>
              <w:t>17 (38.6)</w:t>
            </w:r>
          </w:p>
        </w:tc>
      </w:tr>
      <w:tr w:rsidR="008F2AC3" w:rsidRPr="00EE4533" w:rsidTr="00EE4533">
        <w:trPr>
          <w:trHeight w:val="377"/>
        </w:trPr>
        <w:tc>
          <w:tcPr>
            <w:tcW w:w="2714" w:type="dxa"/>
            <w:vAlign w:val="center"/>
          </w:tcPr>
          <w:p w:rsidR="008F2AC3" w:rsidRPr="00EE4533" w:rsidRDefault="00A32C4E" w:rsidP="00EE4533">
            <w:pPr>
              <w:spacing w:line="360" w:lineRule="auto"/>
              <w:jc w:val="center"/>
            </w:pPr>
            <w:r w:rsidRPr="00EE4533">
              <w:rPr>
                <w:color w:val="000000"/>
              </w:rPr>
              <w:t>16–20</w:t>
            </w:r>
          </w:p>
        </w:tc>
        <w:tc>
          <w:tcPr>
            <w:tcW w:w="1960" w:type="dxa"/>
            <w:vAlign w:val="center"/>
          </w:tcPr>
          <w:p w:rsidR="008F2AC3" w:rsidRPr="00EE4533" w:rsidRDefault="00A32C4E" w:rsidP="00EE4533">
            <w:pPr>
              <w:spacing w:line="360" w:lineRule="auto"/>
              <w:jc w:val="center"/>
            </w:pPr>
            <w:r w:rsidRPr="00EE4533">
              <w:rPr>
                <w:color w:val="000000"/>
              </w:rPr>
              <w:t>27</w:t>
            </w:r>
          </w:p>
        </w:tc>
        <w:tc>
          <w:tcPr>
            <w:tcW w:w="3015" w:type="dxa"/>
            <w:vAlign w:val="center"/>
          </w:tcPr>
          <w:p w:rsidR="008F2AC3" w:rsidRPr="00EE4533" w:rsidRDefault="00A32C4E" w:rsidP="00EE4533">
            <w:pPr>
              <w:spacing w:line="360" w:lineRule="auto"/>
              <w:jc w:val="center"/>
            </w:pPr>
            <w:r w:rsidRPr="00EE4533">
              <w:rPr>
                <w:color w:val="000000"/>
              </w:rPr>
              <w:t>13 (48.1)</w:t>
            </w:r>
          </w:p>
        </w:tc>
      </w:tr>
      <w:tr w:rsidR="008F2AC3" w:rsidRPr="00EE4533" w:rsidTr="00EE4533">
        <w:trPr>
          <w:trHeight w:val="367"/>
        </w:trPr>
        <w:tc>
          <w:tcPr>
            <w:tcW w:w="2714" w:type="dxa"/>
            <w:vAlign w:val="center"/>
          </w:tcPr>
          <w:p w:rsidR="008F2AC3" w:rsidRPr="00EE4533" w:rsidRDefault="00A32C4E" w:rsidP="00EE4533">
            <w:pPr>
              <w:spacing w:line="360" w:lineRule="auto"/>
              <w:jc w:val="center"/>
            </w:pPr>
            <w:r w:rsidRPr="00EE4533">
              <w:rPr>
                <w:color w:val="000000"/>
              </w:rPr>
              <w:t>&gt;20</w:t>
            </w:r>
          </w:p>
        </w:tc>
        <w:tc>
          <w:tcPr>
            <w:tcW w:w="1960" w:type="dxa"/>
            <w:vAlign w:val="center"/>
          </w:tcPr>
          <w:p w:rsidR="008F2AC3" w:rsidRPr="00EE4533" w:rsidRDefault="00A32C4E" w:rsidP="00EE4533">
            <w:pPr>
              <w:spacing w:line="360" w:lineRule="auto"/>
              <w:jc w:val="center"/>
            </w:pPr>
            <w:r w:rsidRPr="00EE4533">
              <w:rPr>
                <w:color w:val="000000"/>
              </w:rPr>
              <w:t>26</w:t>
            </w:r>
          </w:p>
        </w:tc>
        <w:tc>
          <w:tcPr>
            <w:tcW w:w="3015" w:type="dxa"/>
            <w:vAlign w:val="center"/>
          </w:tcPr>
          <w:p w:rsidR="008F2AC3" w:rsidRPr="00EE4533" w:rsidRDefault="00A32C4E" w:rsidP="00EE4533">
            <w:pPr>
              <w:spacing w:line="360" w:lineRule="auto"/>
              <w:jc w:val="center"/>
            </w:pPr>
            <w:r w:rsidRPr="00EE4533">
              <w:rPr>
                <w:color w:val="000000"/>
              </w:rPr>
              <w:t>15 (57.7)</w:t>
            </w:r>
          </w:p>
        </w:tc>
      </w:tr>
      <w:tr w:rsidR="008F2AC3" w:rsidRPr="00EE4533" w:rsidTr="00EE4533">
        <w:trPr>
          <w:trHeight w:val="367"/>
        </w:trPr>
        <w:tc>
          <w:tcPr>
            <w:tcW w:w="2714" w:type="dxa"/>
            <w:vAlign w:val="center"/>
          </w:tcPr>
          <w:p w:rsidR="008F2AC3" w:rsidRPr="00EE4533" w:rsidRDefault="00A32C4E" w:rsidP="00EE4533">
            <w:pPr>
              <w:spacing w:line="360" w:lineRule="auto"/>
              <w:jc w:val="center"/>
            </w:pPr>
            <w:r w:rsidRPr="00EE4533">
              <w:rPr>
                <w:color w:val="000000"/>
              </w:rPr>
              <w:t>Total</w:t>
            </w:r>
          </w:p>
        </w:tc>
        <w:tc>
          <w:tcPr>
            <w:tcW w:w="1960" w:type="dxa"/>
            <w:vAlign w:val="center"/>
          </w:tcPr>
          <w:p w:rsidR="008F2AC3" w:rsidRPr="00EE4533" w:rsidRDefault="00A32C4E" w:rsidP="00EE4533">
            <w:pPr>
              <w:spacing w:line="360" w:lineRule="auto"/>
              <w:jc w:val="center"/>
            </w:pPr>
            <w:r w:rsidRPr="00EE4533">
              <w:rPr>
                <w:color w:val="000000"/>
              </w:rPr>
              <w:t>220</w:t>
            </w:r>
          </w:p>
        </w:tc>
        <w:tc>
          <w:tcPr>
            <w:tcW w:w="3015" w:type="dxa"/>
            <w:vAlign w:val="center"/>
          </w:tcPr>
          <w:p w:rsidR="008F2AC3" w:rsidRPr="00EE4533" w:rsidRDefault="00A32C4E" w:rsidP="00EE4533">
            <w:pPr>
              <w:spacing w:line="360" w:lineRule="auto"/>
              <w:jc w:val="center"/>
            </w:pPr>
            <w:r w:rsidRPr="00EE4533">
              <w:rPr>
                <w:color w:val="000000"/>
              </w:rPr>
              <w:t>72 (32.7)</w:t>
            </w:r>
          </w:p>
        </w:tc>
      </w:tr>
    </w:tbl>
    <w:p w:rsidR="008F2AC3" w:rsidRPr="00EE4533" w:rsidRDefault="008F2AC3" w:rsidP="00EE4533">
      <w:pPr>
        <w:spacing w:line="360" w:lineRule="auto"/>
        <w:jc w:val="center"/>
      </w:pPr>
    </w:p>
    <w:p w:rsidR="008F2AC3" w:rsidRPr="00EE4533" w:rsidRDefault="00A32C4E" w:rsidP="00EE4533">
      <w:pPr>
        <w:spacing w:line="360" w:lineRule="auto"/>
        <w:jc w:val="both"/>
      </w:pPr>
      <w:r w:rsidRPr="00EE4533">
        <w:rPr>
          <w:noProof/>
          <w:lang w:eastAsia="en-IN"/>
        </w:rPr>
        <w:drawing>
          <wp:inline distT="0" distB="0" distL="0" distR="0" wp14:anchorId="3E58E406" wp14:editId="73308900">
            <wp:extent cx="2882479" cy="1886713"/>
            <wp:effectExtent l="0" t="0" r="0" b="0"/>
            <wp:docPr id="7484676" name="Picture 7484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srcRect/>
                    <a:stretch>
                      <a:fillRect/>
                    </a:stretch>
                  </pic:blipFill>
                  <pic:spPr bwMode="auto">
                    <a:xfrm>
                      <a:off x="0" y="0"/>
                      <a:ext cx="2882826" cy="1886940"/>
                    </a:xfrm>
                    <a:prstGeom prst="rect">
                      <a:avLst/>
                    </a:prstGeom>
                  </pic:spPr>
                </pic:pic>
              </a:graphicData>
            </a:graphic>
          </wp:inline>
        </w:drawing>
      </w:r>
    </w:p>
    <w:p w:rsidR="008F2AC3" w:rsidRPr="00EE4533" w:rsidRDefault="00A32C4E" w:rsidP="00EE4533">
      <w:pPr>
        <w:spacing w:line="360" w:lineRule="auto"/>
        <w:jc w:val="both"/>
      </w:pPr>
      <w:r w:rsidRPr="00EE4533">
        <w:rPr>
          <w:color w:val="000000"/>
        </w:rPr>
        <w:t>On univariate analysis, diabetes duration exceeding 10 years, HbA1c ≥9%, estimated GFR below 60 mL/min/1.73m², and age ≥60 years were significantly associated with anaemia (Table 6).</w:t>
      </w:r>
    </w:p>
    <w:p w:rsidR="008F2AC3" w:rsidRPr="00EE4533" w:rsidRDefault="00A32C4E" w:rsidP="00EE4533">
      <w:pPr>
        <w:spacing w:line="360" w:lineRule="auto"/>
        <w:jc w:val="both"/>
      </w:pPr>
      <w:r w:rsidRPr="00EE4533">
        <w:rPr>
          <w:b/>
          <w:bCs/>
          <w:color w:val="000000"/>
        </w:rPr>
        <w:t>Table 6: Univariate Analysis of Factors Associated with Anaemia</w:t>
      </w:r>
    </w:p>
    <w:tbl>
      <w:tblPr>
        <w:tblW w:w="8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9"/>
        <w:gridCol w:w="2169"/>
        <w:gridCol w:w="1168"/>
        <w:gridCol w:w="1502"/>
        <w:gridCol w:w="1502"/>
      </w:tblGrid>
      <w:tr w:rsidR="008F2AC3" w:rsidRPr="00EE4533" w:rsidTr="00EE4533">
        <w:trPr>
          <w:trHeight w:val="367"/>
          <w:tblHeader/>
        </w:trPr>
        <w:tc>
          <w:tcPr>
            <w:tcW w:w="2169" w:type="dxa"/>
            <w:shd w:val="clear" w:color="auto" w:fill="E8E8E8"/>
            <w:vAlign w:val="center"/>
          </w:tcPr>
          <w:p w:rsidR="008F2AC3" w:rsidRPr="00EE4533" w:rsidRDefault="00A32C4E" w:rsidP="00EE4533">
            <w:pPr>
              <w:spacing w:line="360" w:lineRule="auto"/>
              <w:jc w:val="both"/>
            </w:pPr>
            <w:r w:rsidRPr="00EE4533">
              <w:rPr>
                <w:b/>
                <w:bCs/>
                <w:color w:val="000000"/>
              </w:rPr>
              <w:t>Variable</w:t>
            </w:r>
          </w:p>
        </w:tc>
        <w:tc>
          <w:tcPr>
            <w:tcW w:w="2169" w:type="dxa"/>
            <w:shd w:val="clear" w:color="auto" w:fill="E8E8E8"/>
            <w:vAlign w:val="center"/>
          </w:tcPr>
          <w:p w:rsidR="008F2AC3" w:rsidRPr="00EE4533" w:rsidRDefault="00A32C4E" w:rsidP="00EE4533">
            <w:pPr>
              <w:spacing w:line="360" w:lineRule="auto"/>
              <w:jc w:val="center"/>
            </w:pPr>
            <w:r w:rsidRPr="00EE4533">
              <w:rPr>
                <w:b/>
                <w:bCs/>
                <w:color w:val="000000"/>
              </w:rPr>
              <w:t>Category</w:t>
            </w:r>
          </w:p>
        </w:tc>
        <w:tc>
          <w:tcPr>
            <w:tcW w:w="1168" w:type="dxa"/>
            <w:shd w:val="clear" w:color="auto" w:fill="E8E8E8"/>
            <w:vAlign w:val="center"/>
          </w:tcPr>
          <w:p w:rsidR="008F2AC3" w:rsidRPr="00EE4533" w:rsidRDefault="00A32C4E" w:rsidP="00EE4533">
            <w:pPr>
              <w:spacing w:line="360" w:lineRule="auto"/>
              <w:jc w:val="center"/>
            </w:pPr>
            <w:r w:rsidRPr="00EE4533">
              <w:rPr>
                <w:b/>
                <w:bCs/>
                <w:color w:val="000000"/>
              </w:rPr>
              <w:t>OR</w:t>
            </w:r>
          </w:p>
        </w:tc>
        <w:tc>
          <w:tcPr>
            <w:tcW w:w="1502" w:type="dxa"/>
            <w:shd w:val="clear" w:color="auto" w:fill="E8E8E8"/>
            <w:vAlign w:val="center"/>
          </w:tcPr>
          <w:p w:rsidR="008F2AC3" w:rsidRPr="00EE4533" w:rsidRDefault="00A32C4E" w:rsidP="00EE4533">
            <w:pPr>
              <w:spacing w:line="360" w:lineRule="auto"/>
              <w:jc w:val="center"/>
            </w:pPr>
            <w:r w:rsidRPr="00EE4533">
              <w:rPr>
                <w:b/>
                <w:bCs/>
                <w:color w:val="000000"/>
              </w:rPr>
              <w:t>95% CI</w:t>
            </w:r>
          </w:p>
        </w:tc>
        <w:tc>
          <w:tcPr>
            <w:tcW w:w="1502" w:type="dxa"/>
            <w:shd w:val="clear" w:color="auto" w:fill="E8E8E8"/>
            <w:vAlign w:val="center"/>
          </w:tcPr>
          <w:p w:rsidR="008F2AC3" w:rsidRPr="00EE4533" w:rsidRDefault="00A32C4E" w:rsidP="00EE4533">
            <w:pPr>
              <w:spacing w:line="360" w:lineRule="auto"/>
              <w:jc w:val="center"/>
            </w:pPr>
            <w:r w:rsidRPr="00EE4533">
              <w:rPr>
                <w:b/>
                <w:bCs/>
                <w:color w:val="000000"/>
              </w:rPr>
              <w:t>P-value</w:t>
            </w:r>
          </w:p>
        </w:tc>
      </w:tr>
      <w:tr w:rsidR="008F2AC3" w:rsidRPr="00EE4533" w:rsidTr="00EE4533">
        <w:trPr>
          <w:trHeight w:val="367"/>
        </w:trPr>
        <w:tc>
          <w:tcPr>
            <w:tcW w:w="2169" w:type="dxa"/>
            <w:vAlign w:val="center"/>
          </w:tcPr>
          <w:p w:rsidR="008F2AC3" w:rsidRPr="00EE4533" w:rsidRDefault="00A32C4E" w:rsidP="00EE4533">
            <w:pPr>
              <w:spacing w:line="360" w:lineRule="auto"/>
              <w:jc w:val="both"/>
            </w:pPr>
            <w:r w:rsidRPr="00EE4533">
              <w:rPr>
                <w:color w:val="000000"/>
              </w:rPr>
              <w:t>Duration of diabetes</w:t>
            </w:r>
          </w:p>
        </w:tc>
        <w:tc>
          <w:tcPr>
            <w:tcW w:w="2169" w:type="dxa"/>
            <w:vAlign w:val="center"/>
          </w:tcPr>
          <w:p w:rsidR="008F2AC3" w:rsidRPr="00EE4533" w:rsidRDefault="00A32C4E" w:rsidP="00EE4533">
            <w:pPr>
              <w:spacing w:line="360" w:lineRule="auto"/>
              <w:jc w:val="center"/>
            </w:pPr>
            <w:r w:rsidRPr="00EE4533">
              <w:rPr>
                <w:color w:val="000000"/>
              </w:rPr>
              <w:t>&gt;10 vs ≤10 years</w:t>
            </w:r>
          </w:p>
        </w:tc>
        <w:tc>
          <w:tcPr>
            <w:tcW w:w="1168" w:type="dxa"/>
            <w:vAlign w:val="center"/>
          </w:tcPr>
          <w:p w:rsidR="008F2AC3" w:rsidRPr="00EE4533" w:rsidRDefault="00A32C4E" w:rsidP="00EE4533">
            <w:pPr>
              <w:spacing w:line="360" w:lineRule="auto"/>
              <w:jc w:val="center"/>
            </w:pPr>
            <w:r w:rsidRPr="00EE4533">
              <w:rPr>
                <w:color w:val="000000"/>
              </w:rPr>
              <w:t>2.94</w:t>
            </w:r>
          </w:p>
        </w:tc>
        <w:tc>
          <w:tcPr>
            <w:tcW w:w="1502" w:type="dxa"/>
            <w:vAlign w:val="center"/>
          </w:tcPr>
          <w:p w:rsidR="008F2AC3" w:rsidRPr="00EE4533" w:rsidRDefault="00A32C4E" w:rsidP="00EE4533">
            <w:pPr>
              <w:spacing w:line="360" w:lineRule="auto"/>
              <w:jc w:val="center"/>
            </w:pPr>
            <w:r w:rsidRPr="00EE4533">
              <w:rPr>
                <w:color w:val="000000"/>
              </w:rPr>
              <w:t>1.62 – 5.34</w:t>
            </w:r>
          </w:p>
        </w:tc>
        <w:tc>
          <w:tcPr>
            <w:tcW w:w="1502" w:type="dxa"/>
            <w:vAlign w:val="center"/>
          </w:tcPr>
          <w:p w:rsidR="008F2AC3" w:rsidRPr="00EE4533" w:rsidRDefault="00A32C4E" w:rsidP="00EE4533">
            <w:pPr>
              <w:spacing w:line="360" w:lineRule="auto"/>
              <w:jc w:val="center"/>
            </w:pPr>
            <w:r w:rsidRPr="00EE4533">
              <w:rPr>
                <w:color w:val="000000"/>
              </w:rPr>
              <w:t>&lt;0.001</w:t>
            </w:r>
          </w:p>
        </w:tc>
      </w:tr>
      <w:tr w:rsidR="008F2AC3" w:rsidRPr="00EE4533" w:rsidTr="00EE4533">
        <w:trPr>
          <w:trHeight w:val="367"/>
        </w:trPr>
        <w:tc>
          <w:tcPr>
            <w:tcW w:w="2169" w:type="dxa"/>
            <w:vAlign w:val="center"/>
          </w:tcPr>
          <w:p w:rsidR="008F2AC3" w:rsidRPr="00EE4533" w:rsidRDefault="00A32C4E" w:rsidP="00EE4533">
            <w:pPr>
              <w:spacing w:line="360" w:lineRule="auto"/>
              <w:jc w:val="both"/>
            </w:pPr>
            <w:r w:rsidRPr="00EE4533">
              <w:rPr>
                <w:color w:val="000000"/>
              </w:rPr>
              <w:t>Glycaemic control</w:t>
            </w:r>
          </w:p>
        </w:tc>
        <w:tc>
          <w:tcPr>
            <w:tcW w:w="2169" w:type="dxa"/>
            <w:vAlign w:val="center"/>
          </w:tcPr>
          <w:p w:rsidR="008F2AC3" w:rsidRPr="00EE4533" w:rsidRDefault="00A32C4E" w:rsidP="00EE4533">
            <w:pPr>
              <w:spacing w:line="360" w:lineRule="auto"/>
              <w:jc w:val="center"/>
            </w:pPr>
            <w:r w:rsidRPr="00EE4533">
              <w:rPr>
                <w:color w:val="000000"/>
              </w:rPr>
              <w:t>HbA1c ≥9% vs &lt;7%</w:t>
            </w:r>
          </w:p>
        </w:tc>
        <w:tc>
          <w:tcPr>
            <w:tcW w:w="1168" w:type="dxa"/>
            <w:vAlign w:val="center"/>
          </w:tcPr>
          <w:p w:rsidR="008F2AC3" w:rsidRPr="00EE4533" w:rsidRDefault="00A32C4E" w:rsidP="00EE4533">
            <w:pPr>
              <w:spacing w:line="360" w:lineRule="auto"/>
              <w:jc w:val="center"/>
            </w:pPr>
            <w:r w:rsidRPr="00EE4533">
              <w:rPr>
                <w:color w:val="000000"/>
              </w:rPr>
              <w:t>2.41</w:t>
            </w:r>
          </w:p>
        </w:tc>
        <w:tc>
          <w:tcPr>
            <w:tcW w:w="1502" w:type="dxa"/>
            <w:vAlign w:val="center"/>
          </w:tcPr>
          <w:p w:rsidR="008F2AC3" w:rsidRPr="00EE4533" w:rsidRDefault="00A32C4E" w:rsidP="00EE4533">
            <w:pPr>
              <w:spacing w:line="360" w:lineRule="auto"/>
              <w:jc w:val="center"/>
            </w:pPr>
            <w:r w:rsidRPr="00EE4533">
              <w:rPr>
                <w:color w:val="000000"/>
              </w:rPr>
              <w:t>1.24 – 4.68</w:t>
            </w:r>
          </w:p>
        </w:tc>
        <w:tc>
          <w:tcPr>
            <w:tcW w:w="1502" w:type="dxa"/>
            <w:vAlign w:val="center"/>
          </w:tcPr>
          <w:p w:rsidR="008F2AC3" w:rsidRPr="00EE4533" w:rsidRDefault="00A32C4E" w:rsidP="00EE4533">
            <w:pPr>
              <w:spacing w:line="360" w:lineRule="auto"/>
              <w:jc w:val="center"/>
            </w:pPr>
            <w:r w:rsidRPr="00EE4533">
              <w:rPr>
                <w:color w:val="000000"/>
              </w:rPr>
              <w:t>0.009</w:t>
            </w:r>
          </w:p>
        </w:tc>
      </w:tr>
      <w:tr w:rsidR="008F2AC3" w:rsidRPr="00EE4533" w:rsidTr="00EE4533">
        <w:trPr>
          <w:trHeight w:val="377"/>
        </w:trPr>
        <w:tc>
          <w:tcPr>
            <w:tcW w:w="2169" w:type="dxa"/>
            <w:vAlign w:val="center"/>
          </w:tcPr>
          <w:p w:rsidR="008F2AC3" w:rsidRPr="00EE4533" w:rsidRDefault="00A32C4E" w:rsidP="00EE4533">
            <w:pPr>
              <w:spacing w:line="360" w:lineRule="auto"/>
              <w:jc w:val="both"/>
            </w:pPr>
            <w:r w:rsidRPr="00EE4533">
              <w:rPr>
                <w:color w:val="000000"/>
              </w:rPr>
              <w:t>Estimated GFR</w:t>
            </w:r>
          </w:p>
        </w:tc>
        <w:tc>
          <w:tcPr>
            <w:tcW w:w="2169" w:type="dxa"/>
            <w:vAlign w:val="center"/>
          </w:tcPr>
          <w:p w:rsidR="008F2AC3" w:rsidRPr="00EE4533" w:rsidRDefault="00A32C4E" w:rsidP="00EE4533">
            <w:pPr>
              <w:spacing w:line="360" w:lineRule="auto"/>
              <w:jc w:val="center"/>
            </w:pPr>
            <w:r w:rsidRPr="00EE4533">
              <w:rPr>
                <w:color w:val="000000"/>
              </w:rPr>
              <w:t>&lt;60 vs ≥60 mL/min/1.73m²</w:t>
            </w:r>
          </w:p>
        </w:tc>
        <w:tc>
          <w:tcPr>
            <w:tcW w:w="1168" w:type="dxa"/>
            <w:vAlign w:val="center"/>
          </w:tcPr>
          <w:p w:rsidR="008F2AC3" w:rsidRPr="00EE4533" w:rsidRDefault="00A32C4E" w:rsidP="00EE4533">
            <w:pPr>
              <w:spacing w:line="360" w:lineRule="auto"/>
              <w:jc w:val="center"/>
            </w:pPr>
            <w:r w:rsidRPr="00EE4533">
              <w:rPr>
                <w:color w:val="000000"/>
              </w:rPr>
              <w:t>3.87</w:t>
            </w:r>
          </w:p>
        </w:tc>
        <w:tc>
          <w:tcPr>
            <w:tcW w:w="1502" w:type="dxa"/>
            <w:vAlign w:val="center"/>
          </w:tcPr>
          <w:p w:rsidR="008F2AC3" w:rsidRPr="00EE4533" w:rsidRDefault="00A32C4E" w:rsidP="00EE4533">
            <w:pPr>
              <w:spacing w:line="360" w:lineRule="auto"/>
              <w:jc w:val="center"/>
            </w:pPr>
            <w:r w:rsidRPr="00EE4533">
              <w:rPr>
                <w:color w:val="000000"/>
              </w:rPr>
              <w:t>1.98 – 7.56</w:t>
            </w:r>
          </w:p>
        </w:tc>
        <w:tc>
          <w:tcPr>
            <w:tcW w:w="1502" w:type="dxa"/>
            <w:vAlign w:val="center"/>
          </w:tcPr>
          <w:p w:rsidR="008F2AC3" w:rsidRPr="00EE4533" w:rsidRDefault="00A32C4E" w:rsidP="00EE4533">
            <w:pPr>
              <w:spacing w:line="360" w:lineRule="auto"/>
              <w:jc w:val="center"/>
            </w:pPr>
            <w:r w:rsidRPr="00EE4533">
              <w:rPr>
                <w:color w:val="000000"/>
              </w:rPr>
              <w:t>&lt;0.001</w:t>
            </w:r>
          </w:p>
        </w:tc>
      </w:tr>
      <w:tr w:rsidR="008F2AC3" w:rsidRPr="00EE4533" w:rsidTr="00EE4533">
        <w:trPr>
          <w:trHeight w:val="367"/>
        </w:trPr>
        <w:tc>
          <w:tcPr>
            <w:tcW w:w="2169" w:type="dxa"/>
            <w:vAlign w:val="center"/>
          </w:tcPr>
          <w:p w:rsidR="008F2AC3" w:rsidRPr="00EE4533" w:rsidRDefault="00A32C4E" w:rsidP="00EE4533">
            <w:pPr>
              <w:spacing w:line="360" w:lineRule="auto"/>
              <w:jc w:val="both"/>
            </w:pPr>
            <w:r w:rsidRPr="00EE4533">
              <w:rPr>
                <w:color w:val="000000"/>
              </w:rPr>
              <w:t>Sex</w:t>
            </w:r>
          </w:p>
        </w:tc>
        <w:tc>
          <w:tcPr>
            <w:tcW w:w="2169" w:type="dxa"/>
            <w:vAlign w:val="center"/>
          </w:tcPr>
          <w:p w:rsidR="008F2AC3" w:rsidRPr="00EE4533" w:rsidRDefault="00A32C4E" w:rsidP="00EE4533">
            <w:pPr>
              <w:spacing w:line="360" w:lineRule="auto"/>
              <w:jc w:val="center"/>
            </w:pPr>
            <w:r w:rsidRPr="00EE4533">
              <w:rPr>
                <w:color w:val="000000"/>
              </w:rPr>
              <w:t>Female vs male</w:t>
            </w:r>
          </w:p>
        </w:tc>
        <w:tc>
          <w:tcPr>
            <w:tcW w:w="1168" w:type="dxa"/>
            <w:vAlign w:val="center"/>
          </w:tcPr>
          <w:p w:rsidR="008F2AC3" w:rsidRPr="00EE4533" w:rsidRDefault="00A32C4E" w:rsidP="00EE4533">
            <w:pPr>
              <w:spacing w:line="360" w:lineRule="auto"/>
              <w:jc w:val="center"/>
            </w:pPr>
            <w:r w:rsidRPr="00EE4533">
              <w:rPr>
                <w:color w:val="000000"/>
              </w:rPr>
              <w:t>1.28</w:t>
            </w:r>
          </w:p>
        </w:tc>
        <w:tc>
          <w:tcPr>
            <w:tcW w:w="1502" w:type="dxa"/>
            <w:vAlign w:val="center"/>
          </w:tcPr>
          <w:p w:rsidR="008F2AC3" w:rsidRPr="00EE4533" w:rsidRDefault="00A32C4E" w:rsidP="00EE4533">
            <w:pPr>
              <w:spacing w:line="360" w:lineRule="auto"/>
              <w:jc w:val="center"/>
            </w:pPr>
            <w:r w:rsidRPr="00EE4533">
              <w:rPr>
                <w:color w:val="000000"/>
              </w:rPr>
              <w:t>0.72 – 2.27</w:t>
            </w:r>
          </w:p>
        </w:tc>
        <w:tc>
          <w:tcPr>
            <w:tcW w:w="1502" w:type="dxa"/>
            <w:vAlign w:val="center"/>
          </w:tcPr>
          <w:p w:rsidR="008F2AC3" w:rsidRPr="00EE4533" w:rsidRDefault="00A32C4E" w:rsidP="00EE4533">
            <w:pPr>
              <w:spacing w:line="360" w:lineRule="auto"/>
              <w:jc w:val="center"/>
            </w:pPr>
            <w:r w:rsidRPr="00EE4533">
              <w:rPr>
                <w:color w:val="000000"/>
              </w:rPr>
              <w:t>0.401</w:t>
            </w:r>
          </w:p>
        </w:tc>
      </w:tr>
      <w:tr w:rsidR="008F2AC3" w:rsidRPr="00EE4533" w:rsidTr="00EE4533">
        <w:trPr>
          <w:trHeight w:val="367"/>
        </w:trPr>
        <w:tc>
          <w:tcPr>
            <w:tcW w:w="2169" w:type="dxa"/>
            <w:vAlign w:val="center"/>
          </w:tcPr>
          <w:p w:rsidR="008F2AC3" w:rsidRPr="00EE4533" w:rsidRDefault="00A32C4E" w:rsidP="00EE4533">
            <w:pPr>
              <w:spacing w:line="360" w:lineRule="auto"/>
              <w:jc w:val="both"/>
            </w:pPr>
            <w:r w:rsidRPr="00EE4533">
              <w:rPr>
                <w:color w:val="000000"/>
              </w:rPr>
              <w:t>Age</w:t>
            </w:r>
          </w:p>
        </w:tc>
        <w:tc>
          <w:tcPr>
            <w:tcW w:w="2169" w:type="dxa"/>
            <w:vAlign w:val="center"/>
          </w:tcPr>
          <w:p w:rsidR="008F2AC3" w:rsidRPr="00EE4533" w:rsidRDefault="00A32C4E" w:rsidP="00EE4533">
            <w:pPr>
              <w:spacing w:line="360" w:lineRule="auto"/>
              <w:jc w:val="center"/>
            </w:pPr>
            <w:r w:rsidRPr="00EE4533">
              <w:rPr>
                <w:color w:val="000000"/>
              </w:rPr>
              <w:t>≥60 vs &lt;60 years</w:t>
            </w:r>
          </w:p>
        </w:tc>
        <w:tc>
          <w:tcPr>
            <w:tcW w:w="1168" w:type="dxa"/>
            <w:vAlign w:val="center"/>
          </w:tcPr>
          <w:p w:rsidR="008F2AC3" w:rsidRPr="00EE4533" w:rsidRDefault="00A32C4E" w:rsidP="00EE4533">
            <w:pPr>
              <w:spacing w:line="360" w:lineRule="auto"/>
              <w:jc w:val="center"/>
            </w:pPr>
            <w:r w:rsidRPr="00EE4533">
              <w:rPr>
                <w:color w:val="000000"/>
              </w:rPr>
              <w:t>1.86</w:t>
            </w:r>
          </w:p>
        </w:tc>
        <w:tc>
          <w:tcPr>
            <w:tcW w:w="1502" w:type="dxa"/>
            <w:vAlign w:val="center"/>
          </w:tcPr>
          <w:p w:rsidR="008F2AC3" w:rsidRPr="00EE4533" w:rsidRDefault="00A32C4E" w:rsidP="00EE4533">
            <w:pPr>
              <w:spacing w:line="360" w:lineRule="auto"/>
              <w:jc w:val="center"/>
            </w:pPr>
            <w:r w:rsidRPr="00EE4533">
              <w:rPr>
                <w:color w:val="000000"/>
              </w:rPr>
              <w:t>1.02 – 3.39</w:t>
            </w:r>
          </w:p>
        </w:tc>
        <w:tc>
          <w:tcPr>
            <w:tcW w:w="1502" w:type="dxa"/>
            <w:vAlign w:val="center"/>
          </w:tcPr>
          <w:p w:rsidR="008F2AC3" w:rsidRPr="00EE4533" w:rsidRDefault="00A32C4E" w:rsidP="00EE4533">
            <w:pPr>
              <w:spacing w:line="360" w:lineRule="auto"/>
              <w:jc w:val="center"/>
            </w:pPr>
            <w:r w:rsidRPr="00EE4533">
              <w:rPr>
                <w:color w:val="000000"/>
              </w:rPr>
              <w:t>0.043</w:t>
            </w:r>
          </w:p>
        </w:tc>
      </w:tr>
    </w:tbl>
    <w:p w:rsidR="008F2AC3" w:rsidRPr="00EE4533" w:rsidRDefault="008F2AC3" w:rsidP="00EE4533">
      <w:pPr>
        <w:spacing w:line="360" w:lineRule="auto"/>
        <w:jc w:val="both"/>
      </w:pPr>
    </w:p>
    <w:p w:rsidR="008F2AC3" w:rsidRPr="00EE4533" w:rsidRDefault="00A32C4E" w:rsidP="00EE4533">
      <w:pPr>
        <w:spacing w:line="360" w:lineRule="auto"/>
        <w:jc w:val="both"/>
      </w:pPr>
      <w:r w:rsidRPr="00EE4533">
        <w:rPr>
          <w:color w:val="000000"/>
        </w:rPr>
        <w:t>On multivariate analysis, estimated GFR below 60 mL/min/1.73m² (adjusted OR 3.22, 95% CI 1.58–6.56, p=0.001), diabetes duration exceeding 10 years (adjusted OR 2.31, 95% CI 1.21–4.41, p=0.011), and HbA1c ≥9% (adjusted OR 1.98, 95% CI 1.01–3.88, p=0.047) remained independently associated with anaemia (Table 7).</w:t>
      </w:r>
    </w:p>
    <w:p w:rsidR="00EE4533" w:rsidRDefault="00EE4533" w:rsidP="00EE4533">
      <w:pPr>
        <w:spacing w:line="360" w:lineRule="auto"/>
        <w:jc w:val="both"/>
        <w:rPr>
          <w:b/>
          <w:bCs/>
          <w:color w:val="000000"/>
        </w:rPr>
      </w:pPr>
    </w:p>
    <w:p w:rsidR="00EE4533" w:rsidRDefault="00EE4533" w:rsidP="00EE4533">
      <w:pPr>
        <w:spacing w:line="360" w:lineRule="auto"/>
        <w:jc w:val="both"/>
        <w:rPr>
          <w:b/>
          <w:bCs/>
          <w:color w:val="000000"/>
        </w:rPr>
      </w:pPr>
    </w:p>
    <w:p w:rsidR="00EE4533" w:rsidRDefault="00EE4533" w:rsidP="00EE4533">
      <w:pPr>
        <w:spacing w:line="360" w:lineRule="auto"/>
        <w:jc w:val="both"/>
        <w:rPr>
          <w:b/>
          <w:bCs/>
          <w:color w:val="000000"/>
        </w:rPr>
      </w:pPr>
    </w:p>
    <w:p w:rsidR="00EE4533" w:rsidRDefault="00EE4533" w:rsidP="00EE4533">
      <w:pPr>
        <w:spacing w:line="360" w:lineRule="auto"/>
        <w:jc w:val="both"/>
        <w:rPr>
          <w:b/>
          <w:bCs/>
          <w:color w:val="000000"/>
        </w:rPr>
      </w:pPr>
    </w:p>
    <w:p w:rsidR="008F2AC3" w:rsidRPr="00EE4533" w:rsidRDefault="00A32C4E" w:rsidP="00EE4533">
      <w:pPr>
        <w:spacing w:line="360" w:lineRule="auto"/>
        <w:jc w:val="both"/>
      </w:pPr>
      <w:r w:rsidRPr="00EE4533">
        <w:rPr>
          <w:b/>
          <w:bCs/>
          <w:color w:val="000000"/>
        </w:rPr>
        <w:t>Table 7: Multivariate Logistic Regression Analysis of Independent Predictors of Anaemia</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90"/>
        <w:gridCol w:w="1921"/>
        <w:gridCol w:w="1921"/>
        <w:gridCol w:w="1746"/>
      </w:tblGrid>
      <w:tr w:rsidR="008F2AC3" w:rsidRPr="00EE4533" w:rsidTr="00EE4533">
        <w:trPr>
          <w:trHeight w:val="366"/>
          <w:tblHeader/>
        </w:trPr>
        <w:tc>
          <w:tcPr>
            <w:tcW w:w="4190" w:type="dxa"/>
            <w:shd w:val="clear" w:color="auto" w:fill="E8E8E8"/>
            <w:vAlign w:val="center"/>
          </w:tcPr>
          <w:p w:rsidR="008F2AC3" w:rsidRPr="00EE4533" w:rsidRDefault="00A32C4E" w:rsidP="00EE4533">
            <w:pPr>
              <w:spacing w:line="360" w:lineRule="auto"/>
              <w:jc w:val="both"/>
            </w:pPr>
            <w:r w:rsidRPr="00EE4533">
              <w:rPr>
                <w:b/>
                <w:bCs/>
                <w:color w:val="000000"/>
              </w:rPr>
              <w:t>Variable</w:t>
            </w:r>
          </w:p>
        </w:tc>
        <w:tc>
          <w:tcPr>
            <w:tcW w:w="1921" w:type="dxa"/>
            <w:shd w:val="clear" w:color="auto" w:fill="E8E8E8"/>
            <w:vAlign w:val="center"/>
          </w:tcPr>
          <w:p w:rsidR="008F2AC3" w:rsidRPr="00EE4533" w:rsidRDefault="00A32C4E" w:rsidP="00EE4533">
            <w:pPr>
              <w:spacing w:line="360" w:lineRule="auto"/>
              <w:jc w:val="both"/>
            </w:pPr>
            <w:r w:rsidRPr="00EE4533">
              <w:rPr>
                <w:b/>
                <w:bCs/>
                <w:color w:val="000000"/>
              </w:rPr>
              <w:t>Adjusted OR</w:t>
            </w:r>
          </w:p>
        </w:tc>
        <w:tc>
          <w:tcPr>
            <w:tcW w:w="1921" w:type="dxa"/>
            <w:shd w:val="clear" w:color="auto" w:fill="E8E8E8"/>
            <w:vAlign w:val="center"/>
          </w:tcPr>
          <w:p w:rsidR="008F2AC3" w:rsidRPr="00EE4533" w:rsidRDefault="00A32C4E" w:rsidP="00EE4533">
            <w:pPr>
              <w:spacing w:line="360" w:lineRule="auto"/>
              <w:jc w:val="both"/>
            </w:pPr>
            <w:r w:rsidRPr="00EE4533">
              <w:rPr>
                <w:b/>
                <w:bCs/>
                <w:color w:val="000000"/>
              </w:rPr>
              <w:t>95% CI</w:t>
            </w:r>
          </w:p>
        </w:tc>
        <w:tc>
          <w:tcPr>
            <w:tcW w:w="1746" w:type="dxa"/>
            <w:shd w:val="clear" w:color="auto" w:fill="E8E8E8"/>
            <w:vAlign w:val="center"/>
          </w:tcPr>
          <w:p w:rsidR="008F2AC3" w:rsidRPr="00EE4533" w:rsidRDefault="00A32C4E" w:rsidP="00EE4533">
            <w:pPr>
              <w:spacing w:line="360" w:lineRule="auto"/>
              <w:jc w:val="both"/>
            </w:pPr>
            <w:r w:rsidRPr="00EE4533">
              <w:rPr>
                <w:b/>
                <w:bCs/>
                <w:color w:val="000000"/>
              </w:rPr>
              <w:t>P-value</w:t>
            </w:r>
          </w:p>
        </w:tc>
      </w:tr>
      <w:tr w:rsidR="008F2AC3" w:rsidRPr="00EE4533" w:rsidTr="00EE4533">
        <w:trPr>
          <w:trHeight w:val="376"/>
        </w:trPr>
        <w:tc>
          <w:tcPr>
            <w:tcW w:w="4190" w:type="dxa"/>
            <w:vAlign w:val="center"/>
          </w:tcPr>
          <w:p w:rsidR="008F2AC3" w:rsidRPr="00EE4533" w:rsidRDefault="00A32C4E" w:rsidP="00EE4533">
            <w:pPr>
              <w:spacing w:line="360" w:lineRule="auto"/>
              <w:jc w:val="both"/>
            </w:pPr>
            <w:r w:rsidRPr="00EE4533">
              <w:rPr>
                <w:color w:val="000000"/>
              </w:rPr>
              <w:t>Diabetes duration &gt;10 years</w:t>
            </w:r>
          </w:p>
        </w:tc>
        <w:tc>
          <w:tcPr>
            <w:tcW w:w="1921" w:type="dxa"/>
            <w:vAlign w:val="center"/>
          </w:tcPr>
          <w:p w:rsidR="008F2AC3" w:rsidRPr="00EE4533" w:rsidRDefault="00A32C4E" w:rsidP="00EE4533">
            <w:pPr>
              <w:spacing w:line="360" w:lineRule="auto"/>
              <w:jc w:val="both"/>
            </w:pPr>
            <w:r w:rsidRPr="00EE4533">
              <w:rPr>
                <w:color w:val="000000"/>
              </w:rPr>
              <w:t>2.31</w:t>
            </w:r>
          </w:p>
        </w:tc>
        <w:tc>
          <w:tcPr>
            <w:tcW w:w="1921" w:type="dxa"/>
            <w:vAlign w:val="center"/>
          </w:tcPr>
          <w:p w:rsidR="008F2AC3" w:rsidRPr="00EE4533" w:rsidRDefault="00A32C4E" w:rsidP="00EE4533">
            <w:pPr>
              <w:spacing w:line="360" w:lineRule="auto"/>
              <w:jc w:val="both"/>
            </w:pPr>
            <w:r w:rsidRPr="00EE4533">
              <w:rPr>
                <w:color w:val="000000"/>
              </w:rPr>
              <w:t>1.21 – 4.41</w:t>
            </w:r>
          </w:p>
        </w:tc>
        <w:tc>
          <w:tcPr>
            <w:tcW w:w="1746" w:type="dxa"/>
            <w:vAlign w:val="center"/>
          </w:tcPr>
          <w:p w:rsidR="008F2AC3" w:rsidRPr="00EE4533" w:rsidRDefault="00A32C4E" w:rsidP="00EE4533">
            <w:pPr>
              <w:spacing w:line="360" w:lineRule="auto"/>
              <w:jc w:val="both"/>
            </w:pPr>
            <w:r w:rsidRPr="00EE4533">
              <w:rPr>
                <w:color w:val="000000"/>
              </w:rPr>
              <w:t>0.011</w:t>
            </w:r>
          </w:p>
        </w:tc>
      </w:tr>
      <w:tr w:rsidR="008F2AC3" w:rsidRPr="00EE4533" w:rsidTr="00EE4533">
        <w:trPr>
          <w:trHeight w:val="366"/>
        </w:trPr>
        <w:tc>
          <w:tcPr>
            <w:tcW w:w="4190" w:type="dxa"/>
            <w:vAlign w:val="center"/>
          </w:tcPr>
          <w:p w:rsidR="008F2AC3" w:rsidRPr="00EE4533" w:rsidRDefault="00A32C4E" w:rsidP="00EE4533">
            <w:pPr>
              <w:spacing w:line="360" w:lineRule="auto"/>
              <w:jc w:val="both"/>
            </w:pPr>
            <w:r w:rsidRPr="00EE4533">
              <w:rPr>
                <w:color w:val="000000"/>
              </w:rPr>
              <w:t>Estimated GFR &lt;60 mL/min/1.73m²</w:t>
            </w:r>
          </w:p>
        </w:tc>
        <w:tc>
          <w:tcPr>
            <w:tcW w:w="1921" w:type="dxa"/>
            <w:vAlign w:val="center"/>
          </w:tcPr>
          <w:p w:rsidR="008F2AC3" w:rsidRPr="00EE4533" w:rsidRDefault="00A32C4E" w:rsidP="00EE4533">
            <w:pPr>
              <w:spacing w:line="360" w:lineRule="auto"/>
              <w:jc w:val="both"/>
            </w:pPr>
            <w:r w:rsidRPr="00EE4533">
              <w:rPr>
                <w:color w:val="000000"/>
              </w:rPr>
              <w:t>3.22</w:t>
            </w:r>
          </w:p>
        </w:tc>
        <w:tc>
          <w:tcPr>
            <w:tcW w:w="1921" w:type="dxa"/>
            <w:vAlign w:val="center"/>
          </w:tcPr>
          <w:p w:rsidR="008F2AC3" w:rsidRPr="00EE4533" w:rsidRDefault="00A32C4E" w:rsidP="00EE4533">
            <w:pPr>
              <w:spacing w:line="360" w:lineRule="auto"/>
              <w:jc w:val="both"/>
            </w:pPr>
            <w:r w:rsidRPr="00EE4533">
              <w:rPr>
                <w:color w:val="000000"/>
              </w:rPr>
              <w:t>1.58 – 6.56</w:t>
            </w:r>
          </w:p>
        </w:tc>
        <w:tc>
          <w:tcPr>
            <w:tcW w:w="1746" w:type="dxa"/>
            <w:vAlign w:val="center"/>
          </w:tcPr>
          <w:p w:rsidR="008F2AC3" w:rsidRPr="00EE4533" w:rsidRDefault="00A32C4E" w:rsidP="00EE4533">
            <w:pPr>
              <w:spacing w:line="360" w:lineRule="auto"/>
              <w:jc w:val="both"/>
            </w:pPr>
            <w:r w:rsidRPr="00EE4533">
              <w:rPr>
                <w:color w:val="000000"/>
              </w:rPr>
              <w:t>0.001</w:t>
            </w:r>
          </w:p>
        </w:tc>
      </w:tr>
      <w:tr w:rsidR="008F2AC3" w:rsidRPr="00EE4533" w:rsidTr="00EE4533">
        <w:trPr>
          <w:trHeight w:val="366"/>
        </w:trPr>
        <w:tc>
          <w:tcPr>
            <w:tcW w:w="4190" w:type="dxa"/>
            <w:vAlign w:val="center"/>
          </w:tcPr>
          <w:p w:rsidR="008F2AC3" w:rsidRPr="00EE4533" w:rsidRDefault="00A32C4E" w:rsidP="00EE4533">
            <w:pPr>
              <w:spacing w:line="360" w:lineRule="auto"/>
              <w:jc w:val="both"/>
            </w:pPr>
            <w:r w:rsidRPr="00EE4533">
              <w:rPr>
                <w:color w:val="000000"/>
              </w:rPr>
              <w:t>HbA1c ≥9%</w:t>
            </w:r>
          </w:p>
        </w:tc>
        <w:tc>
          <w:tcPr>
            <w:tcW w:w="1921" w:type="dxa"/>
            <w:vAlign w:val="center"/>
          </w:tcPr>
          <w:p w:rsidR="008F2AC3" w:rsidRPr="00EE4533" w:rsidRDefault="00A32C4E" w:rsidP="00EE4533">
            <w:pPr>
              <w:spacing w:line="360" w:lineRule="auto"/>
              <w:jc w:val="both"/>
            </w:pPr>
            <w:r w:rsidRPr="00EE4533">
              <w:rPr>
                <w:color w:val="000000"/>
              </w:rPr>
              <w:t>1.98</w:t>
            </w:r>
          </w:p>
        </w:tc>
        <w:tc>
          <w:tcPr>
            <w:tcW w:w="1921" w:type="dxa"/>
            <w:vAlign w:val="center"/>
          </w:tcPr>
          <w:p w:rsidR="008F2AC3" w:rsidRPr="00EE4533" w:rsidRDefault="00A32C4E" w:rsidP="00EE4533">
            <w:pPr>
              <w:spacing w:line="360" w:lineRule="auto"/>
              <w:jc w:val="both"/>
            </w:pPr>
            <w:r w:rsidRPr="00EE4533">
              <w:rPr>
                <w:color w:val="000000"/>
              </w:rPr>
              <w:t>1.01 – 3.88</w:t>
            </w:r>
          </w:p>
        </w:tc>
        <w:tc>
          <w:tcPr>
            <w:tcW w:w="1746" w:type="dxa"/>
            <w:vAlign w:val="center"/>
          </w:tcPr>
          <w:p w:rsidR="008F2AC3" w:rsidRPr="00EE4533" w:rsidRDefault="00A32C4E" w:rsidP="00EE4533">
            <w:pPr>
              <w:spacing w:line="360" w:lineRule="auto"/>
              <w:jc w:val="both"/>
            </w:pPr>
            <w:r w:rsidRPr="00EE4533">
              <w:rPr>
                <w:color w:val="000000"/>
              </w:rPr>
              <w:t>0.047</w:t>
            </w:r>
          </w:p>
        </w:tc>
      </w:tr>
    </w:tbl>
    <w:p w:rsidR="008F2AC3" w:rsidRPr="00EE4533" w:rsidRDefault="008F2AC3" w:rsidP="00EE4533">
      <w:pPr>
        <w:spacing w:line="360" w:lineRule="auto"/>
        <w:jc w:val="both"/>
      </w:pPr>
    </w:p>
    <w:p w:rsidR="008F2AC3" w:rsidRPr="00EE4533" w:rsidRDefault="00A32C4E" w:rsidP="00EE4533">
      <w:pPr>
        <w:spacing w:line="360" w:lineRule="auto"/>
        <w:jc w:val="both"/>
      </w:pPr>
      <w:r w:rsidRPr="00EE4533">
        <w:rPr>
          <w:noProof/>
          <w:lang w:eastAsia="en-IN"/>
        </w:rPr>
        <w:drawing>
          <wp:inline distT="0" distB="0" distL="0" distR="0" wp14:anchorId="2804C880" wp14:editId="5A8CA7F2">
            <wp:extent cx="3827158" cy="2870368"/>
            <wp:effectExtent l="0" t="0" r="0" b="0"/>
            <wp:docPr id="1848462989" name="Picture 184846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cstate="print"/>
                    <a:srcRect/>
                    <a:stretch>
                      <a:fillRect/>
                    </a:stretch>
                  </pic:blipFill>
                  <pic:spPr bwMode="auto">
                    <a:xfrm>
                      <a:off x="0" y="0"/>
                      <a:ext cx="3824736" cy="2868551"/>
                    </a:xfrm>
                    <a:prstGeom prst="rect">
                      <a:avLst/>
                    </a:prstGeom>
                  </pic:spPr>
                </pic:pic>
              </a:graphicData>
            </a:graphic>
          </wp:inline>
        </w:drawing>
      </w:r>
    </w:p>
    <w:p w:rsidR="008F2AC3" w:rsidRPr="00EE4533" w:rsidRDefault="00A32C4E" w:rsidP="00EE4533">
      <w:pPr>
        <w:spacing w:line="360" w:lineRule="auto"/>
        <w:jc w:val="both"/>
      </w:pPr>
      <w:r w:rsidRPr="00EE4533">
        <w:rPr>
          <w:color w:val="000000"/>
        </w:rPr>
        <w:t>Figure 5: Schematic illustration of proposed mechanisms of anaemia in type 2 diabetes mellitus.</w:t>
      </w:r>
    </w:p>
    <w:p w:rsidR="008F2AC3" w:rsidRPr="00EE4533" w:rsidRDefault="00A32C4E" w:rsidP="00EE4533">
      <w:pPr>
        <w:pStyle w:val="Heading1"/>
        <w:spacing w:line="360" w:lineRule="auto"/>
        <w:jc w:val="both"/>
        <w:rPr>
          <w:sz w:val="20"/>
          <w:szCs w:val="20"/>
        </w:rPr>
      </w:pPr>
      <w:r w:rsidRPr="00EE4533">
        <w:rPr>
          <w:b/>
          <w:bCs/>
          <w:color w:val="000000"/>
          <w:sz w:val="20"/>
          <w:szCs w:val="20"/>
        </w:rPr>
        <w:t>Discussion</w:t>
      </w:r>
    </w:p>
    <w:p w:rsidR="008F2AC3" w:rsidRPr="00EE4533" w:rsidRDefault="00A32C4E" w:rsidP="00EE4533">
      <w:pPr>
        <w:spacing w:line="360" w:lineRule="auto"/>
        <w:jc w:val="both"/>
      </w:pPr>
      <w:r w:rsidRPr="00EE4533">
        <w:rPr>
          <w:color w:val="000000"/>
        </w:rPr>
        <w:t>The prevalence of anaemia observed in this study (30.9%) is consistent with the substantial burden documented in earlier cross-sectional audits of diabetic populations, which similarly reported anaemia prevalence considerably higher than would be expected in the absence of diabetes, and often unrecognised in routine clinical practice.</w:t>
      </w:r>
      <w:r w:rsidRPr="00EE4533">
        <w:rPr>
          <w:color w:val="000000"/>
          <w:vertAlign w:val="superscript"/>
        </w:rPr>
        <w:t>2,3,9</w:t>
      </w:r>
      <w:r w:rsidRPr="00EE4533">
        <w:rPr>
          <w:color w:val="000000"/>
        </w:rPr>
        <w:t xml:space="preserve"> The predominance of normocytic normochromic anaemia observed in this study mirrors the pattern originally described by Bosman and colleagues, consistent with relative erythropoietin deficiency as the principal underlying mechanism, distinct from classical iron-deficiency anaemia.</w:t>
      </w:r>
      <w:r w:rsidRPr="00EE4533">
        <w:rPr>
          <w:color w:val="000000"/>
          <w:vertAlign w:val="superscript"/>
        </w:rPr>
        <w:t>1,4</w:t>
      </w:r>
    </w:p>
    <w:p w:rsidR="008F2AC3" w:rsidRPr="00EE4533" w:rsidRDefault="00A32C4E" w:rsidP="00EE4533">
      <w:pPr>
        <w:spacing w:line="360" w:lineRule="auto"/>
        <w:jc w:val="both"/>
      </w:pPr>
      <w:r w:rsidRPr="00EE4533">
        <w:rPr>
          <w:color w:val="000000"/>
        </w:rPr>
        <w:t>The strong, graded relationship observed between diabetes duration and anaemia prevalence in this study is consistent with the cross-sectional audit by Thomas and colleagues, which similarly demonstrated increasing anaemia burden with longer-standing disease, reflecting cumulative renal tubulointerstitial injury over time.</w:t>
      </w:r>
      <w:r w:rsidRPr="00EE4533">
        <w:rPr>
          <w:color w:val="000000"/>
          <w:vertAlign w:val="superscript"/>
        </w:rPr>
        <w:t>2</w:t>
      </w:r>
      <w:r w:rsidRPr="00EE4533">
        <w:rPr>
          <w:color w:val="000000"/>
        </w:rPr>
        <w:t xml:space="preserve"> The independent association observed between reduced estimated GFR and anaemia in this study reinforces the well-established relationship between declining kidney function and anaemia risk in diabetes, as demonstrated in the NHANES III analysis by Astor and colleagues, and is consistent with the pathophysiological framework proposed by Thomas and colleagues, in which relative erythropoietin deficiency develops earlier in diabetic kidney disease than in non-diabetic renal impairment.</w:t>
      </w:r>
      <w:r w:rsidRPr="00EE4533">
        <w:rPr>
          <w:color w:val="000000"/>
          <w:vertAlign w:val="superscript"/>
        </w:rPr>
        <w:t>4,7</w:t>
      </w:r>
    </w:p>
    <w:p w:rsidR="008F2AC3" w:rsidRPr="00EE4533" w:rsidRDefault="00A32C4E" w:rsidP="00EE4533">
      <w:pPr>
        <w:spacing w:line="360" w:lineRule="auto"/>
        <w:jc w:val="both"/>
      </w:pPr>
      <w:r w:rsidRPr="00EE4533">
        <w:rPr>
          <w:color w:val="000000"/>
        </w:rPr>
        <w:t>The independent association between poor glycaemic control and anaemia observed in this study is biologically plausible, given evidence that hyperglycaemia may directly impair erythropoietin-producing renal interstitial cells and promote a chronic inflammatory state that further suppresses erythropoiesis, as discussed in the review by Thomas and colleagues.</w:t>
      </w:r>
      <w:r w:rsidRPr="00EE4533">
        <w:rPr>
          <w:color w:val="000000"/>
          <w:vertAlign w:val="superscript"/>
        </w:rPr>
        <w:t>5</w:t>
      </w:r>
      <w:r w:rsidRPr="00EE4533">
        <w:rPr>
          <w:color w:val="000000"/>
        </w:rPr>
        <w:t xml:space="preserve"> These findings, taken together, support the clinical recommendation articulated by Stevens and colleagues that haemoglobin should be assessed routinely in patients with diabetes, particularly those with long-standing disease, poor glycaemic control, or early renal impairment, rather than reserved only for patients with overt nephropathy.</w:t>
      </w:r>
      <w:r w:rsidRPr="00EE4533">
        <w:rPr>
          <w:color w:val="000000"/>
          <w:vertAlign w:val="superscript"/>
        </w:rPr>
        <w:t>9,10</w:t>
      </w:r>
    </w:p>
    <w:p w:rsidR="008F2AC3" w:rsidRPr="00EE4533" w:rsidRDefault="00A32C4E" w:rsidP="00EE4533">
      <w:pPr>
        <w:pStyle w:val="Heading1"/>
        <w:spacing w:line="360" w:lineRule="auto"/>
        <w:jc w:val="both"/>
        <w:rPr>
          <w:sz w:val="20"/>
          <w:szCs w:val="20"/>
        </w:rPr>
      </w:pPr>
      <w:r w:rsidRPr="00EE4533">
        <w:rPr>
          <w:b/>
          <w:bCs/>
          <w:color w:val="000000"/>
          <w:sz w:val="20"/>
          <w:szCs w:val="20"/>
        </w:rPr>
        <w:t>Strengths and Limitations</w:t>
      </w:r>
    </w:p>
    <w:p w:rsidR="008F2AC3" w:rsidRPr="00EE4533" w:rsidRDefault="00A32C4E" w:rsidP="00EE4533">
      <w:pPr>
        <w:spacing w:line="360" w:lineRule="auto"/>
        <w:jc w:val="both"/>
      </w:pPr>
      <w:r w:rsidRPr="00EE4533">
        <w:rPr>
          <w:color w:val="000000"/>
        </w:rPr>
        <w:t>This study's strengths include direct biochemical assessment of renal function and standard morphological classification of anaemia rather than reliance on documented diagnosis alone. Limitations include the single-centre, hospital-based, cross-sectional design, which limits generalisability and precludes causal inference; the absence of iron studies beyond ferritin, limiting full characterisation of iron-deficiency anaemia; and the lack of direct erythropoietin level measurement, which would have allowed more precise mechanistic characterisation of the observed associations.</w:t>
      </w:r>
    </w:p>
    <w:p w:rsidR="008F2AC3" w:rsidRPr="00EE4533" w:rsidRDefault="00A32C4E" w:rsidP="00EE4533">
      <w:pPr>
        <w:pStyle w:val="Heading1"/>
        <w:spacing w:line="360" w:lineRule="auto"/>
        <w:jc w:val="both"/>
        <w:rPr>
          <w:sz w:val="20"/>
          <w:szCs w:val="20"/>
        </w:rPr>
      </w:pPr>
      <w:r w:rsidRPr="00EE4533">
        <w:rPr>
          <w:b/>
          <w:bCs/>
          <w:color w:val="000000"/>
          <w:sz w:val="20"/>
          <w:szCs w:val="20"/>
        </w:rPr>
        <w:t>Conclusion</w:t>
      </w:r>
    </w:p>
    <w:p w:rsidR="008F2AC3" w:rsidRPr="00EE4533" w:rsidRDefault="00A32C4E" w:rsidP="00EE4533">
      <w:pPr>
        <w:spacing w:line="360" w:lineRule="auto"/>
        <w:jc w:val="both"/>
      </w:pPr>
      <w:r w:rsidRPr="00EE4533">
        <w:rPr>
          <w:color w:val="000000"/>
        </w:rPr>
        <w:t>Anaemia is common among patients with type 2 diabetes mellitus attending this tertiary care hospital, with prevalence strongly related to diabetes duration, glycaemic control, and renal function. These findings support incorporating routine haemoglobin assessment into standard diabetes care, particularly for patients with long-standing or poorly controlled disease.</w:t>
      </w:r>
    </w:p>
    <w:p w:rsidR="00EE4533" w:rsidRDefault="00EE4533" w:rsidP="00EE4533">
      <w:pPr>
        <w:pStyle w:val="Heading1"/>
        <w:spacing w:line="360" w:lineRule="auto"/>
        <w:jc w:val="both"/>
        <w:rPr>
          <w:b/>
          <w:bCs/>
          <w:color w:val="000000"/>
          <w:sz w:val="20"/>
          <w:szCs w:val="20"/>
        </w:rPr>
      </w:pPr>
    </w:p>
    <w:p w:rsidR="008F2AC3" w:rsidRPr="00EE4533" w:rsidRDefault="00A32C4E" w:rsidP="00EE4533">
      <w:pPr>
        <w:pStyle w:val="Heading1"/>
        <w:spacing w:line="360" w:lineRule="auto"/>
        <w:jc w:val="both"/>
        <w:rPr>
          <w:sz w:val="20"/>
          <w:szCs w:val="20"/>
        </w:rPr>
      </w:pPr>
      <w:r w:rsidRPr="00EE4533">
        <w:rPr>
          <w:b/>
          <w:bCs/>
          <w:color w:val="000000"/>
          <w:sz w:val="20"/>
          <w:szCs w:val="20"/>
        </w:rPr>
        <w:t>References</w:t>
      </w:r>
    </w:p>
    <w:p w:rsidR="008F2AC3" w:rsidRPr="00EE4533" w:rsidRDefault="00A32C4E" w:rsidP="00EE4533">
      <w:pPr>
        <w:spacing w:line="360" w:lineRule="auto"/>
        <w:ind w:left="400" w:hanging="400"/>
        <w:jc w:val="both"/>
      </w:pPr>
      <w:r w:rsidRPr="00EE4533">
        <w:rPr>
          <w:color w:val="000000"/>
        </w:rPr>
        <w:t>1. Bosman DR, Winkler AS, Marsden JT, Macdougall IC, Watkins PJ. Anemia with erythropoietin deficiency occurs early in diabetic nephropathy. Diabetes Care. 2001;24(3):495-9.</w:t>
      </w:r>
    </w:p>
    <w:p w:rsidR="008F2AC3" w:rsidRPr="00EE4533" w:rsidRDefault="00A32C4E" w:rsidP="00EE4533">
      <w:pPr>
        <w:spacing w:line="360" w:lineRule="auto"/>
        <w:ind w:left="400" w:hanging="400"/>
        <w:jc w:val="both"/>
      </w:pPr>
      <w:r w:rsidRPr="00EE4533">
        <w:rPr>
          <w:color w:val="000000"/>
        </w:rPr>
        <w:t>2. Thomas MC, MacIsaac RJ, Tsalamandris C, Molyneaux L, Goubina I, Fulcher G, Yue D, Jerums G. The burden of anaemia in type 2 diabetes and the role of nephropathy: a cross-sectional audit. Nephrol Dial Transplant. 2004;19(7):1792-7.</w:t>
      </w:r>
    </w:p>
    <w:p w:rsidR="008F2AC3" w:rsidRPr="00EE4533" w:rsidRDefault="00A32C4E" w:rsidP="00EE4533">
      <w:pPr>
        <w:spacing w:line="360" w:lineRule="auto"/>
        <w:ind w:left="400" w:hanging="400"/>
        <w:jc w:val="both"/>
      </w:pPr>
      <w:r w:rsidRPr="00EE4533">
        <w:rPr>
          <w:color w:val="000000"/>
        </w:rPr>
        <w:t>3. Thomas MC, MacIsaac RJ, Tsalamandris C, Molyneaux L, Goubina I, Fulcher G, Yue D, Jerums G. Unrecognized anemia in patients with diabetes: a cross-sectional survey. Diabetes Care. 2003;26(4):1164-9.</w:t>
      </w:r>
    </w:p>
    <w:p w:rsidR="008F2AC3" w:rsidRPr="00EE4533" w:rsidRDefault="00A32C4E" w:rsidP="00EE4533">
      <w:pPr>
        <w:spacing w:line="360" w:lineRule="auto"/>
        <w:ind w:left="400" w:hanging="400"/>
        <w:jc w:val="both"/>
      </w:pPr>
      <w:r w:rsidRPr="00EE4533">
        <w:rPr>
          <w:color w:val="000000"/>
        </w:rPr>
        <w:t>4. Thomas MC, Tsalamandris C, MacIsaac RJ, Jerums G. Functional erythropoietin deficiency in patients with type 2 diabetes and anaemia. Diabet Med. 2006;23(5):502-9.</w:t>
      </w:r>
    </w:p>
    <w:p w:rsidR="008F2AC3" w:rsidRPr="00EE4533" w:rsidRDefault="00A32C4E" w:rsidP="00EE4533">
      <w:pPr>
        <w:spacing w:line="360" w:lineRule="auto"/>
        <w:ind w:left="400" w:hanging="400"/>
        <w:jc w:val="both"/>
      </w:pPr>
      <w:r w:rsidRPr="00EE4533">
        <w:rPr>
          <w:color w:val="000000"/>
        </w:rPr>
        <w:t>5. Thomas MC, Cooper ME, Rossing K, Parving HH. Anaemia in diabetes: is there a rationale to treat? Diabetologia. 2006;49(6):1151-7.</w:t>
      </w:r>
    </w:p>
    <w:p w:rsidR="008F2AC3" w:rsidRPr="00EE4533" w:rsidRDefault="00A32C4E" w:rsidP="00EE4533">
      <w:pPr>
        <w:spacing w:line="360" w:lineRule="auto"/>
        <w:ind w:left="400" w:hanging="400"/>
        <w:jc w:val="both"/>
      </w:pPr>
      <w:r w:rsidRPr="00EE4533">
        <w:rPr>
          <w:color w:val="000000"/>
        </w:rPr>
        <w:t>6. Craig KJ, Williams JD, Riley SG, Smith H, Owens DR, Worthing D, Cavill I, Phillips AO. Anemia and diabetes in the absence of nephropathy. Diabetes Care. 2005;28(5):1118-23.</w:t>
      </w:r>
    </w:p>
    <w:p w:rsidR="008F2AC3" w:rsidRPr="00EE4533" w:rsidRDefault="00A32C4E" w:rsidP="00EE4533">
      <w:pPr>
        <w:spacing w:line="360" w:lineRule="auto"/>
        <w:ind w:left="400" w:hanging="400"/>
        <w:jc w:val="both"/>
      </w:pPr>
      <w:r w:rsidRPr="00EE4533">
        <w:rPr>
          <w:color w:val="000000"/>
        </w:rPr>
        <w:t>7. Astor BC, Muntner P, Levin A, Eustace JA, Coresh J. Association of kidney function with anemia: the Third National Health and Nutrition Examination Survey (1988-1994). Arch Intern Med. 2002;162(12):1401-8.</w:t>
      </w:r>
    </w:p>
    <w:p w:rsidR="008F2AC3" w:rsidRPr="00EE4533" w:rsidRDefault="00A32C4E" w:rsidP="00EE4533">
      <w:pPr>
        <w:spacing w:line="360" w:lineRule="auto"/>
        <w:ind w:left="400" w:hanging="400"/>
        <w:jc w:val="both"/>
      </w:pPr>
      <w:r w:rsidRPr="00EE4533">
        <w:rPr>
          <w:color w:val="000000"/>
        </w:rPr>
        <w:t>8. Deray G, Heurtier A, Grimaldi A, Launay-Vacher V, Isnard-Bagnis C. Anemia and diabetes. Am J Nephrol. 2004;24(5):522-6.</w:t>
      </w:r>
    </w:p>
    <w:p w:rsidR="008F2AC3" w:rsidRPr="00EE4533" w:rsidRDefault="00A32C4E" w:rsidP="00EE4533">
      <w:pPr>
        <w:spacing w:line="360" w:lineRule="auto"/>
        <w:ind w:left="400" w:hanging="400"/>
        <w:jc w:val="both"/>
      </w:pPr>
      <w:r w:rsidRPr="00EE4533">
        <w:rPr>
          <w:color w:val="000000"/>
        </w:rPr>
        <w:t>9. El-Achkar TM, Ohmit SE, McCullough PA, et al. Higher prevalence of anemia with diabetes mellitus in moderate kidney insufficiency: The Kidney Early Evaluation Program. Kidney Int. 2005;67(4):1483-8.</w:t>
      </w:r>
    </w:p>
    <w:p w:rsidR="008F2AC3" w:rsidRPr="00EE4533" w:rsidRDefault="00A32C4E" w:rsidP="00EE4533">
      <w:pPr>
        <w:spacing w:line="360" w:lineRule="auto"/>
        <w:ind w:left="400" w:hanging="400"/>
        <w:jc w:val="both"/>
      </w:pPr>
      <w:r w:rsidRPr="00EE4533">
        <w:rPr>
          <w:color w:val="000000"/>
        </w:rPr>
        <w:t>10. Stevens PE, O'Donoghue DJ, Lameire NR. Anaemia in patients with diabetes: unrecognized, undetected and untreated? Curr Med Res Opin. 2003;19(5):395-401.</w:t>
      </w:r>
    </w:p>
    <w:p w:rsidR="008F2AC3" w:rsidRPr="00EE4533" w:rsidRDefault="00A32C4E" w:rsidP="00EE4533">
      <w:pPr>
        <w:spacing w:line="360" w:lineRule="auto"/>
        <w:ind w:left="400" w:hanging="400"/>
        <w:jc w:val="both"/>
      </w:pPr>
      <w:r w:rsidRPr="00EE4533">
        <w:rPr>
          <w:color w:val="000000"/>
        </w:rPr>
        <w:t>11. Bosman DR, Osborne CA, Marsden JT, Macdougall IC, Gordon C, Watkins PJ. Erythropoietin response to hypoxia in patients with diabetic autonomic neuropathy and non-diabetic chronic renal failure. Diabet Med. 2002;19(1):65-9.</w:t>
      </w:r>
    </w:p>
    <w:p w:rsidR="008F2AC3" w:rsidRPr="00EE4533" w:rsidRDefault="00A32C4E" w:rsidP="00EE4533">
      <w:pPr>
        <w:spacing w:line="360" w:lineRule="auto"/>
        <w:ind w:left="400" w:hanging="400"/>
        <w:jc w:val="both"/>
      </w:pPr>
      <w:r w:rsidRPr="00EE4533">
        <w:rPr>
          <w:color w:val="000000"/>
        </w:rPr>
        <w:t>12. National Kidney Foundation. K/DOQI clinical practice guidelines for chronic kidney disease: evaluation, classification, and stratification. Am J Kidney Dis. 2002;39(2 Suppl 1):S1-266.</w:t>
      </w:r>
    </w:p>
    <w:p w:rsidR="008F2AC3" w:rsidRPr="00EE4533" w:rsidRDefault="00A32C4E" w:rsidP="00EE4533">
      <w:pPr>
        <w:spacing w:line="360" w:lineRule="auto"/>
        <w:ind w:left="400" w:hanging="400"/>
        <w:jc w:val="both"/>
      </w:pPr>
      <w:r w:rsidRPr="00EE4533">
        <w:rPr>
          <w:color w:val="000000"/>
        </w:rPr>
        <w:t>13. Keane WF, Lyle PA. Recent advances in management of type 2 diabetic nephropathy. Kidney Int Suppl. 2003;(86):S85-8.</w:t>
      </w:r>
    </w:p>
    <w:p w:rsidR="008F2AC3" w:rsidRPr="00EE4533" w:rsidRDefault="00A32C4E" w:rsidP="00EE4533">
      <w:pPr>
        <w:spacing w:line="360" w:lineRule="auto"/>
        <w:ind w:left="400" w:hanging="400"/>
        <w:jc w:val="both"/>
      </w:pPr>
      <w:r w:rsidRPr="00EE4533">
        <w:rPr>
          <w:color w:val="000000"/>
        </w:rPr>
        <w:t>14. World Health Organization, UNICEF, United Nations University. Iron Deficiency Anaemia: Assessment, Prevention and Control. A Guide for Programme Managers. Geneva: WHO; 2001.</w:t>
      </w:r>
    </w:p>
    <w:p w:rsidR="008F2AC3" w:rsidRPr="00EE4533" w:rsidRDefault="00A32C4E" w:rsidP="00EE4533">
      <w:pPr>
        <w:spacing w:line="360" w:lineRule="auto"/>
        <w:ind w:left="400" w:hanging="400"/>
        <w:jc w:val="both"/>
      </w:pPr>
      <w:r w:rsidRPr="00EE4533">
        <w:rPr>
          <w:color w:val="000000"/>
        </w:rPr>
        <w:t>15. UK Prospective Diabetes Study (UKPDS) Group. Intensive blood-glucose control with sulphonylureas or insulin compared with conventional treatment in patients with type 2 diabetes (UKPDS 33). Lancet. 1998;352(9131):837-53.</w:t>
      </w:r>
    </w:p>
    <w:p w:rsidR="008F2AC3" w:rsidRPr="00EE4533" w:rsidRDefault="00A32C4E" w:rsidP="00EE4533">
      <w:pPr>
        <w:spacing w:line="360" w:lineRule="auto"/>
        <w:ind w:left="400" w:hanging="400"/>
        <w:jc w:val="both"/>
      </w:pPr>
      <w:r w:rsidRPr="00EE4533">
        <w:rPr>
          <w:color w:val="000000"/>
        </w:rPr>
        <w:t>16. Adler AI, Stevens RJ, Manley SE, Bilous RW, Cull CA, Holman RR; UKPDS Group. Development and progression of nephropathy in type 2 diabetes: the United Kingdom Prospective Diabetes Study (UKPDS 64). Kidney Int. 2003;63(1):225-32.</w:t>
      </w:r>
    </w:p>
    <w:p w:rsidR="008F2AC3" w:rsidRPr="00EE4533" w:rsidRDefault="00A32C4E" w:rsidP="00EE4533">
      <w:pPr>
        <w:spacing w:line="360" w:lineRule="auto"/>
        <w:ind w:left="400" w:hanging="400"/>
        <w:jc w:val="both"/>
      </w:pPr>
      <w:r w:rsidRPr="00EE4533">
        <w:rPr>
          <w:color w:val="000000"/>
        </w:rPr>
        <w:t>17. Wild S, Roglic G, Green A, Sicree R, King H. Global prevalence of diabetes: estimates for the year 2000 and projections for 2030. Diabetes Care. 2004;27(5):1047-53.</w:t>
      </w:r>
    </w:p>
    <w:p w:rsidR="008F2AC3" w:rsidRPr="00EE4533" w:rsidRDefault="00A32C4E" w:rsidP="00EE4533">
      <w:pPr>
        <w:spacing w:line="360" w:lineRule="auto"/>
        <w:ind w:left="400" w:hanging="400"/>
        <w:jc w:val="both"/>
      </w:pPr>
      <w:r w:rsidRPr="00EE4533">
        <w:rPr>
          <w:color w:val="000000"/>
        </w:rPr>
        <w:t>18. Ritz E, Rychlik I, Locatelli F, Halimi S. End-stage renal failure in type 2 diabetes: a medical catastrophe of worldwide dimensions. Am J Kidney Dis. 1999;34(5):795-808.</w:t>
      </w:r>
    </w:p>
    <w:p w:rsidR="008F2AC3" w:rsidRPr="00EE4533" w:rsidRDefault="00A32C4E" w:rsidP="00EE4533">
      <w:pPr>
        <w:spacing w:line="360" w:lineRule="auto"/>
        <w:ind w:left="400" w:hanging="400"/>
        <w:jc w:val="both"/>
      </w:pPr>
      <w:r w:rsidRPr="00EE4533">
        <w:rPr>
          <w:color w:val="000000"/>
        </w:rPr>
        <w:t>19. Ezenwaka CE, Jones-LeCointe A, Nwose E, Chen J, Anthony L. Erythropoietin therapy in type 2 diabetes: a review. Endocr Pract. 2008;14(7):893-901.</w:t>
      </w:r>
    </w:p>
    <w:p w:rsidR="008F2AC3" w:rsidRDefault="00A32C4E" w:rsidP="00EE4533">
      <w:pPr>
        <w:spacing w:line="360" w:lineRule="auto"/>
        <w:ind w:left="400" w:hanging="400"/>
        <w:jc w:val="both"/>
      </w:pPr>
      <w:r w:rsidRPr="00EE4533">
        <w:rPr>
          <w:color w:val="000000"/>
        </w:rPr>
        <w:t>20. Gray RS, Irvine WJ, Toft AD, Clarke BF, Seth J, Cameron EH. Unrecognised thyroid failure in diabetes mellitus. J Clin Lab Immunol. 1980;3(2):89-9</w:t>
      </w:r>
      <w:r>
        <w:rPr>
          <w:color w:val="000000"/>
        </w:rPr>
        <w:t>2.</w:t>
      </w:r>
    </w:p>
    <w:sectPr w:rsidR="008F2AC3" w:rsidSect="00EE4533">
      <w:headerReference w:type="default" r:id="rId13"/>
      <w:footerReference w:type="default" r:id="rId14"/>
      <w:pgSz w:w="11906" w:h="16838"/>
      <w:pgMar w:top="1440" w:right="1440" w:bottom="1440" w:left="1440" w:header="708" w:footer="708" w:gutter="0"/>
      <w:pgNumType w:start="36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53E" w:rsidRDefault="0084153E" w:rsidP="00EE4533">
      <w:r>
        <w:separator/>
      </w:r>
    </w:p>
  </w:endnote>
  <w:endnote w:type="continuationSeparator" w:id="0">
    <w:p w:rsidR="0084153E" w:rsidRDefault="0084153E" w:rsidP="00EE4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094649"/>
      <w:docPartObj>
        <w:docPartGallery w:val="Page Numbers (Bottom of Page)"/>
        <w:docPartUnique/>
      </w:docPartObj>
    </w:sdtPr>
    <w:sdtEndPr>
      <w:rPr>
        <w:noProof/>
      </w:rPr>
    </w:sdtEndPr>
    <w:sdtContent>
      <w:p w:rsidR="00EE4533" w:rsidRDefault="00EE4533">
        <w:pPr>
          <w:pStyle w:val="Footer"/>
          <w:jc w:val="right"/>
        </w:pPr>
        <w:r>
          <w:fldChar w:fldCharType="begin"/>
        </w:r>
        <w:r>
          <w:instrText xml:space="preserve"> PAGE   \* MERGEFORMAT </w:instrText>
        </w:r>
        <w:r>
          <w:fldChar w:fldCharType="separate"/>
        </w:r>
        <w:r w:rsidR="0084153E">
          <w:rPr>
            <w:noProof/>
          </w:rPr>
          <w:t>360</w:t>
        </w:r>
        <w:r>
          <w:rPr>
            <w:noProof/>
          </w:rPr>
          <w:fldChar w:fldCharType="end"/>
        </w:r>
      </w:p>
    </w:sdtContent>
  </w:sdt>
  <w:p w:rsidR="00EE4533" w:rsidRPr="00EE4533" w:rsidRDefault="00EE4533" w:rsidP="00EE4533">
    <w:pPr>
      <w:tabs>
        <w:tab w:val="center" w:pos="4513"/>
        <w:tab w:val="right" w:pos="9026"/>
      </w:tabs>
      <w:jc w:val="center"/>
      <w:rPr>
        <w:rFonts w:ascii="Calibri" w:hAnsi="Calibri" w:cs="Latha"/>
        <w:sz w:val="22"/>
        <w:szCs w:val="22"/>
        <w:lang w:val="en-US" w:eastAsia="en-IN" w:bidi="ta-IN"/>
      </w:rPr>
    </w:pPr>
    <w:r w:rsidRPr="00EE4533">
      <w:rPr>
        <w:rFonts w:ascii="Calibri" w:hAnsi="Calibri" w:cs="Latha"/>
        <w:sz w:val="22"/>
        <w:szCs w:val="22"/>
        <w:lang w:val="en-US" w:eastAsia="en-IN" w:bidi="ta-IN"/>
      </w:rPr>
      <w:t>www.ijbamr.com</w:t>
    </w:r>
  </w:p>
  <w:p w:rsidR="00EE4533" w:rsidRDefault="00EE45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53E" w:rsidRDefault="0084153E" w:rsidP="00EE4533">
      <w:r>
        <w:separator/>
      </w:r>
    </w:p>
  </w:footnote>
  <w:footnote w:type="continuationSeparator" w:id="0">
    <w:p w:rsidR="0084153E" w:rsidRDefault="0084153E" w:rsidP="00EE4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33" w:rsidRPr="00EE4533" w:rsidRDefault="00EE4533" w:rsidP="00EE4533">
    <w:pPr>
      <w:pStyle w:val="Header"/>
      <w:jc w:val="center"/>
      <w:rPr>
        <w:lang w:val="en-US"/>
      </w:rPr>
    </w:pPr>
    <w:r w:rsidRPr="00EE4533">
      <w:rPr>
        <w:lang w:val="en-US"/>
      </w:rPr>
      <w:t xml:space="preserve">Indian Journal of Basic &amp; Applied Medical Research; December 2011: Issue-1, Vol.-1, P. </w:t>
    </w:r>
    <w:r>
      <w:rPr>
        <w:lang w:val="en-US"/>
      </w:rPr>
      <w:t>360-367</w:t>
    </w:r>
  </w:p>
  <w:p w:rsidR="00EE4533" w:rsidRDefault="00EE45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D413E"/>
    <w:multiLevelType w:val="hybridMultilevel"/>
    <w:tmpl w:val="5C165616"/>
    <w:lvl w:ilvl="0" w:tplc="FB5C7F88">
      <w:start w:val="1"/>
      <w:numFmt w:val="bullet"/>
      <w:lvlText w:val="●"/>
      <w:lvlJc w:val="left"/>
      <w:pPr>
        <w:ind w:left="720" w:hanging="360"/>
      </w:pPr>
    </w:lvl>
    <w:lvl w:ilvl="1" w:tplc="E2044028">
      <w:start w:val="1"/>
      <w:numFmt w:val="bullet"/>
      <w:lvlText w:val="○"/>
      <w:lvlJc w:val="left"/>
      <w:pPr>
        <w:ind w:left="1440" w:hanging="360"/>
      </w:pPr>
    </w:lvl>
    <w:lvl w:ilvl="2" w:tplc="C5AAB474">
      <w:start w:val="1"/>
      <w:numFmt w:val="bullet"/>
      <w:lvlText w:val="■"/>
      <w:lvlJc w:val="left"/>
      <w:pPr>
        <w:ind w:left="2160" w:hanging="360"/>
      </w:pPr>
    </w:lvl>
    <w:lvl w:ilvl="3" w:tplc="6E788E9C">
      <w:start w:val="1"/>
      <w:numFmt w:val="bullet"/>
      <w:lvlText w:val="●"/>
      <w:lvlJc w:val="left"/>
      <w:pPr>
        <w:ind w:left="2880" w:hanging="360"/>
      </w:pPr>
    </w:lvl>
    <w:lvl w:ilvl="4" w:tplc="67DCC8C4">
      <w:start w:val="1"/>
      <w:numFmt w:val="bullet"/>
      <w:lvlText w:val="○"/>
      <w:lvlJc w:val="left"/>
      <w:pPr>
        <w:ind w:left="3600" w:hanging="360"/>
      </w:pPr>
    </w:lvl>
    <w:lvl w:ilvl="5" w:tplc="7D74602A">
      <w:start w:val="1"/>
      <w:numFmt w:val="bullet"/>
      <w:lvlText w:val="■"/>
      <w:lvlJc w:val="left"/>
      <w:pPr>
        <w:ind w:left="4320" w:hanging="360"/>
      </w:pPr>
    </w:lvl>
    <w:lvl w:ilvl="6" w:tplc="B434C744">
      <w:start w:val="1"/>
      <w:numFmt w:val="bullet"/>
      <w:lvlText w:val="●"/>
      <w:lvlJc w:val="left"/>
      <w:pPr>
        <w:ind w:left="5040" w:hanging="360"/>
      </w:pPr>
    </w:lvl>
    <w:lvl w:ilvl="7" w:tplc="20DE6332">
      <w:start w:val="1"/>
      <w:numFmt w:val="bullet"/>
      <w:lvlText w:val="●"/>
      <w:lvlJc w:val="left"/>
      <w:pPr>
        <w:ind w:left="5760" w:hanging="360"/>
      </w:pPr>
    </w:lvl>
    <w:lvl w:ilvl="8" w:tplc="D05E4F3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8F2AC3"/>
    <w:rsid w:val="004E597D"/>
    <w:rsid w:val="00507AE5"/>
    <w:rsid w:val="006B0A48"/>
    <w:rsid w:val="0084153E"/>
    <w:rsid w:val="008F2AC3"/>
    <w:rsid w:val="009F1F1C"/>
    <w:rsid w:val="00A32C4E"/>
    <w:rsid w:val="00C75B77"/>
    <w:rsid w:val="00D40513"/>
    <w:rsid w:val="00ED1A03"/>
    <w:rsid w:val="00EE4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AE5"/>
  </w:style>
  <w:style w:type="paragraph" w:styleId="Heading1">
    <w:name w:val="heading 1"/>
    <w:uiPriority w:val="9"/>
    <w:qFormat/>
    <w:rsid w:val="00507AE5"/>
    <w:pPr>
      <w:outlineLvl w:val="0"/>
    </w:pPr>
    <w:rPr>
      <w:color w:val="2E74B5"/>
      <w:sz w:val="32"/>
      <w:szCs w:val="32"/>
    </w:rPr>
  </w:style>
  <w:style w:type="paragraph" w:styleId="Heading2">
    <w:name w:val="heading 2"/>
    <w:uiPriority w:val="9"/>
    <w:unhideWhenUsed/>
    <w:qFormat/>
    <w:rsid w:val="00507AE5"/>
    <w:pPr>
      <w:outlineLvl w:val="1"/>
    </w:pPr>
    <w:rPr>
      <w:color w:val="2E74B5"/>
      <w:sz w:val="26"/>
      <w:szCs w:val="26"/>
    </w:rPr>
  </w:style>
  <w:style w:type="paragraph" w:styleId="Heading3">
    <w:name w:val="heading 3"/>
    <w:uiPriority w:val="9"/>
    <w:semiHidden/>
    <w:unhideWhenUsed/>
    <w:qFormat/>
    <w:rsid w:val="00507AE5"/>
    <w:pPr>
      <w:outlineLvl w:val="2"/>
    </w:pPr>
    <w:rPr>
      <w:color w:val="1F4D78"/>
      <w:sz w:val="24"/>
      <w:szCs w:val="24"/>
    </w:rPr>
  </w:style>
  <w:style w:type="paragraph" w:styleId="Heading4">
    <w:name w:val="heading 4"/>
    <w:uiPriority w:val="9"/>
    <w:semiHidden/>
    <w:unhideWhenUsed/>
    <w:qFormat/>
    <w:rsid w:val="00507AE5"/>
    <w:pPr>
      <w:outlineLvl w:val="3"/>
    </w:pPr>
    <w:rPr>
      <w:i/>
      <w:iCs/>
      <w:color w:val="2E74B5"/>
    </w:rPr>
  </w:style>
  <w:style w:type="paragraph" w:styleId="Heading5">
    <w:name w:val="heading 5"/>
    <w:uiPriority w:val="9"/>
    <w:semiHidden/>
    <w:unhideWhenUsed/>
    <w:qFormat/>
    <w:rsid w:val="00507AE5"/>
    <w:pPr>
      <w:outlineLvl w:val="4"/>
    </w:pPr>
    <w:rPr>
      <w:color w:val="2E74B5"/>
    </w:rPr>
  </w:style>
  <w:style w:type="paragraph" w:styleId="Heading6">
    <w:name w:val="heading 6"/>
    <w:uiPriority w:val="9"/>
    <w:semiHidden/>
    <w:unhideWhenUsed/>
    <w:qFormat/>
    <w:rsid w:val="00507AE5"/>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507AE5"/>
    <w:rPr>
      <w:sz w:val="56"/>
      <w:szCs w:val="56"/>
    </w:rPr>
  </w:style>
  <w:style w:type="paragraph" w:customStyle="1" w:styleId="Strong1">
    <w:name w:val="Strong1"/>
    <w:qFormat/>
    <w:rsid w:val="00507AE5"/>
    <w:rPr>
      <w:b/>
      <w:bCs/>
    </w:rPr>
  </w:style>
  <w:style w:type="paragraph" w:styleId="ListParagraph">
    <w:name w:val="List Paragraph"/>
    <w:qFormat/>
    <w:rsid w:val="00507AE5"/>
  </w:style>
  <w:style w:type="character" w:styleId="Hyperlink">
    <w:name w:val="Hyperlink"/>
    <w:uiPriority w:val="99"/>
    <w:unhideWhenUsed/>
    <w:rsid w:val="00507AE5"/>
    <w:rPr>
      <w:color w:val="0563C1"/>
      <w:u w:val="single"/>
    </w:rPr>
  </w:style>
  <w:style w:type="character" w:styleId="FootnoteReference">
    <w:name w:val="footnote reference"/>
    <w:uiPriority w:val="99"/>
    <w:semiHidden/>
    <w:unhideWhenUsed/>
    <w:rsid w:val="00507AE5"/>
    <w:rPr>
      <w:vertAlign w:val="superscript"/>
    </w:rPr>
  </w:style>
  <w:style w:type="paragraph" w:styleId="FootnoteText">
    <w:name w:val="footnote text"/>
    <w:link w:val="FootnoteTextChar"/>
    <w:uiPriority w:val="99"/>
    <w:semiHidden/>
    <w:unhideWhenUsed/>
    <w:rsid w:val="00507AE5"/>
  </w:style>
  <w:style w:type="character" w:customStyle="1" w:styleId="FootnoteTextChar">
    <w:name w:val="Footnote Text Char"/>
    <w:link w:val="FootnoteText"/>
    <w:uiPriority w:val="99"/>
    <w:semiHidden/>
    <w:unhideWhenUsed/>
    <w:rsid w:val="00507AE5"/>
    <w:rPr>
      <w:sz w:val="20"/>
      <w:szCs w:val="20"/>
    </w:rPr>
  </w:style>
  <w:style w:type="character" w:styleId="EndnoteReference">
    <w:name w:val="endnote reference"/>
    <w:uiPriority w:val="99"/>
    <w:semiHidden/>
    <w:unhideWhenUsed/>
    <w:rsid w:val="00507AE5"/>
    <w:rPr>
      <w:vertAlign w:val="superscript"/>
    </w:rPr>
  </w:style>
  <w:style w:type="paragraph" w:styleId="EndnoteText">
    <w:name w:val="endnote text"/>
    <w:link w:val="EndnoteTextChar"/>
    <w:uiPriority w:val="99"/>
    <w:semiHidden/>
    <w:unhideWhenUsed/>
    <w:rsid w:val="00507AE5"/>
  </w:style>
  <w:style w:type="character" w:customStyle="1" w:styleId="EndnoteTextChar">
    <w:name w:val="Endnote Text Char"/>
    <w:link w:val="EndnoteText"/>
    <w:uiPriority w:val="99"/>
    <w:semiHidden/>
    <w:unhideWhenUsed/>
    <w:rsid w:val="00507AE5"/>
    <w:rPr>
      <w:sz w:val="20"/>
      <w:szCs w:val="20"/>
    </w:rPr>
  </w:style>
  <w:style w:type="paragraph" w:styleId="BalloonText">
    <w:name w:val="Balloon Text"/>
    <w:basedOn w:val="Normal"/>
    <w:link w:val="BalloonTextChar"/>
    <w:uiPriority w:val="99"/>
    <w:semiHidden/>
    <w:unhideWhenUsed/>
    <w:rsid w:val="00EE4533"/>
    <w:rPr>
      <w:rFonts w:ascii="Tahoma" w:hAnsi="Tahoma" w:cs="Tahoma"/>
      <w:sz w:val="16"/>
      <w:szCs w:val="16"/>
    </w:rPr>
  </w:style>
  <w:style w:type="character" w:customStyle="1" w:styleId="BalloonTextChar">
    <w:name w:val="Balloon Text Char"/>
    <w:basedOn w:val="DefaultParagraphFont"/>
    <w:link w:val="BalloonText"/>
    <w:uiPriority w:val="99"/>
    <w:semiHidden/>
    <w:rsid w:val="00EE4533"/>
    <w:rPr>
      <w:rFonts w:ascii="Tahoma" w:hAnsi="Tahoma" w:cs="Tahoma"/>
      <w:sz w:val="16"/>
      <w:szCs w:val="16"/>
    </w:rPr>
  </w:style>
  <w:style w:type="paragraph" w:styleId="Header">
    <w:name w:val="header"/>
    <w:basedOn w:val="Normal"/>
    <w:link w:val="HeaderChar"/>
    <w:uiPriority w:val="99"/>
    <w:unhideWhenUsed/>
    <w:rsid w:val="00EE4533"/>
    <w:pPr>
      <w:tabs>
        <w:tab w:val="center" w:pos="4513"/>
        <w:tab w:val="right" w:pos="9026"/>
      </w:tabs>
    </w:pPr>
  </w:style>
  <w:style w:type="character" w:customStyle="1" w:styleId="HeaderChar">
    <w:name w:val="Header Char"/>
    <w:basedOn w:val="DefaultParagraphFont"/>
    <w:link w:val="Header"/>
    <w:uiPriority w:val="99"/>
    <w:rsid w:val="00EE4533"/>
  </w:style>
  <w:style w:type="paragraph" w:styleId="Footer">
    <w:name w:val="footer"/>
    <w:basedOn w:val="Normal"/>
    <w:link w:val="FooterChar"/>
    <w:uiPriority w:val="99"/>
    <w:unhideWhenUsed/>
    <w:rsid w:val="00EE4533"/>
    <w:pPr>
      <w:tabs>
        <w:tab w:val="center" w:pos="4513"/>
        <w:tab w:val="right" w:pos="9026"/>
      </w:tabs>
    </w:pPr>
  </w:style>
  <w:style w:type="character" w:customStyle="1" w:styleId="FooterChar">
    <w:name w:val="Footer Char"/>
    <w:basedOn w:val="DefaultParagraphFont"/>
    <w:link w:val="Footer"/>
    <w:uiPriority w:val="99"/>
    <w:rsid w:val="00EE4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624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2327</Words>
  <Characters>13269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RDRL</cp:lastModifiedBy>
  <cp:revision>5</cp:revision>
  <cp:lastPrinted>2026-07-23T16:18:00Z</cp:lastPrinted>
  <dcterms:created xsi:type="dcterms:W3CDTF">2026-07-23T05:12:00Z</dcterms:created>
  <dcterms:modified xsi:type="dcterms:W3CDTF">2026-07-23T16:18:00Z</dcterms:modified>
</cp:coreProperties>
</file>