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E89205" w14:textId="77777777" w:rsidR="00250B7D" w:rsidRDefault="00FD0306" w:rsidP="00250B7D">
      <w:pPr>
        <w:spacing w:line="360" w:lineRule="auto"/>
      </w:pPr>
      <w:r>
        <w:rPr>
          <w:rFonts w:ascii="Times New Roman"/>
          <w:spacing w:val="72"/>
          <w:sz w:val="20"/>
        </w:rPr>
        <w:t xml:space="preserve"> </w:t>
      </w:r>
      <w:r w:rsidR="00250B7D">
        <w:rPr>
          <w:b/>
          <w:bCs/>
          <w:i/>
          <w:iCs/>
          <w:sz w:val="24"/>
          <w:szCs w:val="24"/>
          <w:shd w:val="clear" w:color="auto" w:fill="C0C0C0"/>
        </w:rPr>
        <w:t>Original article</w:t>
      </w:r>
    </w:p>
    <w:p w14:paraId="0536B99D" w14:textId="77777777" w:rsidR="00250B7D" w:rsidRDefault="00250B7D" w:rsidP="00250B7D">
      <w:pPr>
        <w:spacing w:line="360" w:lineRule="auto"/>
        <w:rPr>
          <w:b/>
          <w:bCs/>
          <w:i/>
          <w:iCs/>
          <w:color w:val="0070C0"/>
          <w:sz w:val="28"/>
          <w:szCs w:val="28"/>
        </w:rPr>
      </w:pPr>
      <w:r>
        <w:rPr>
          <w:b/>
          <w:bCs/>
          <w:i/>
          <w:iCs/>
          <w:color w:val="0070C0"/>
          <w:sz w:val="28"/>
          <w:szCs w:val="28"/>
        </w:rPr>
        <w:t>Clinical and Functional Outcomes of Intertrochanteric Femur Fractures Treated with Proximal Femoral Nail: A Prospective Study</w:t>
      </w:r>
    </w:p>
    <w:p w14:paraId="1F7B6FD0" w14:textId="77777777" w:rsidR="00250B7D" w:rsidRDefault="00250B7D" w:rsidP="00250B7D">
      <w:pPr>
        <w:spacing w:line="360" w:lineRule="auto"/>
      </w:pPr>
      <w:r>
        <w:rPr>
          <w:b/>
          <w:bCs/>
          <w:i/>
          <w:iCs/>
          <w:sz w:val="20"/>
          <w:szCs w:val="20"/>
        </w:rPr>
        <w:t xml:space="preserve">Dr Ram Kalyan </w:t>
      </w:r>
      <w:proofErr w:type="gramStart"/>
      <w:r>
        <w:rPr>
          <w:b/>
          <w:bCs/>
          <w:i/>
          <w:iCs/>
          <w:sz w:val="20"/>
          <w:szCs w:val="20"/>
        </w:rPr>
        <w:t>T  ,</w:t>
      </w:r>
      <w:proofErr w:type="gramEnd"/>
      <w:r>
        <w:rPr>
          <w:b/>
          <w:bCs/>
          <w:i/>
          <w:iCs/>
          <w:sz w:val="20"/>
          <w:szCs w:val="20"/>
        </w:rPr>
        <w:t xml:space="preserve"> Dr Kalyan Kaushik Bharam*</w:t>
      </w:r>
    </w:p>
    <w:p w14:paraId="5D7D45BE" w14:textId="77777777" w:rsidR="00250B7D" w:rsidRDefault="00250B7D" w:rsidP="00250B7D">
      <w:pPr>
        <w:spacing w:line="360" w:lineRule="auto"/>
        <w:rPr>
          <w:i/>
          <w:iCs/>
          <w:sz w:val="20"/>
          <w:szCs w:val="20"/>
        </w:rPr>
      </w:pPr>
    </w:p>
    <w:p w14:paraId="29E9794B" w14:textId="77777777" w:rsidR="00250B7D" w:rsidRDefault="00250B7D" w:rsidP="00250B7D">
      <w:pPr>
        <w:spacing w:line="360" w:lineRule="auto"/>
        <w:rPr>
          <w:i/>
          <w:iCs/>
          <w:sz w:val="20"/>
          <w:szCs w:val="20"/>
        </w:rPr>
      </w:pPr>
      <w:r>
        <w:rPr>
          <w:i/>
          <w:iCs/>
          <w:sz w:val="20"/>
          <w:szCs w:val="20"/>
        </w:rPr>
        <w:t xml:space="preserve">Assistant professor </w:t>
      </w:r>
    </w:p>
    <w:p w14:paraId="7CDF01F7" w14:textId="77777777" w:rsidR="00250B7D" w:rsidRDefault="00250B7D" w:rsidP="00250B7D">
      <w:pPr>
        <w:spacing w:line="360" w:lineRule="auto"/>
        <w:rPr>
          <w:i/>
          <w:iCs/>
          <w:sz w:val="20"/>
          <w:szCs w:val="20"/>
        </w:rPr>
      </w:pPr>
      <w:proofErr w:type="spellStart"/>
      <w:r>
        <w:rPr>
          <w:i/>
          <w:iCs/>
          <w:sz w:val="20"/>
          <w:szCs w:val="20"/>
        </w:rPr>
        <w:t>MediCiti</w:t>
      </w:r>
      <w:proofErr w:type="spellEnd"/>
      <w:r>
        <w:rPr>
          <w:i/>
          <w:iCs/>
          <w:sz w:val="20"/>
          <w:szCs w:val="20"/>
        </w:rPr>
        <w:t xml:space="preserve"> Institute of Medical Sciences, </w:t>
      </w:r>
      <w:proofErr w:type="spellStart"/>
      <w:r>
        <w:rPr>
          <w:i/>
          <w:iCs/>
          <w:sz w:val="20"/>
          <w:szCs w:val="20"/>
        </w:rPr>
        <w:t>Ghanpur</w:t>
      </w:r>
      <w:proofErr w:type="spellEnd"/>
    </w:p>
    <w:p w14:paraId="125B6B20" w14:textId="77777777" w:rsidR="00250B7D" w:rsidRDefault="00250B7D" w:rsidP="00250B7D">
      <w:pPr>
        <w:spacing w:line="360" w:lineRule="auto"/>
        <w:rPr>
          <w:i/>
          <w:iCs/>
          <w:sz w:val="20"/>
          <w:szCs w:val="20"/>
        </w:rPr>
      </w:pPr>
      <w:r>
        <w:rPr>
          <w:i/>
          <w:iCs/>
          <w:sz w:val="20"/>
          <w:szCs w:val="20"/>
        </w:rPr>
        <w:t>Corresponding author*</w:t>
      </w:r>
    </w:p>
    <w:p w14:paraId="582970FB" w14:textId="77777777" w:rsidR="00250B7D" w:rsidRDefault="00250B7D" w:rsidP="00250B7D">
      <w:pPr>
        <w:spacing w:line="360" w:lineRule="auto"/>
        <w:rPr>
          <w:i/>
          <w:iCs/>
          <w:sz w:val="20"/>
          <w:szCs w:val="20"/>
        </w:rPr>
      </w:pPr>
    </w:p>
    <w:p w14:paraId="48E03C87" w14:textId="77777777" w:rsidR="00250B7D" w:rsidRDefault="00250B7D" w:rsidP="00250B7D">
      <w:pPr>
        <w:spacing w:line="360" w:lineRule="auto"/>
        <w:jc w:val="both"/>
        <w:rPr>
          <w:b/>
          <w:bCs/>
          <w:i/>
          <w:iCs/>
          <w:sz w:val="20"/>
          <w:szCs w:val="20"/>
        </w:rPr>
      </w:pPr>
      <w:r>
        <w:rPr>
          <w:b/>
          <w:bCs/>
          <w:i/>
          <w:iCs/>
          <w:sz w:val="20"/>
          <w:szCs w:val="20"/>
        </w:rPr>
        <w:t>Abstract</w:t>
      </w:r>
    </w:p>
    <w:p w14:paraId="5D7EDDBC" w14:textId="77777777" w:rsidR="00250B7D" w:rsidRDefault="00250B7D" w:rsidP="00250B7D">
      <w:pPr>
        <w:spacing w:line="360" w:lineRule="auto"/>
        <w:jc w:val="both"/>
        <w:rPr>
          <w:i/>
          <w:iCs/>
          <w:sz w:val="20"/>
          <w:szCs w:val="20"/>
        </w:rPr>
      </w:pPr>
      <w:r>
        <w:rPr>
          <w:i/>
          <w:iCs/>
          <w:sz w:val="20"/>
          <w:szCs w:val="20"/>
        </w:rPr>
        <w:t>Background: Intertrochanteric fractures of the femur are common injuries among elderly individuals, particularly those with osteoporosis. Proximal femoral nailing (PFN) is widely used for surgical stabilization because of its biomechanical advantages, minimally invasive approach, and potential for early mobilization.</w:t>
      </w:r>
    </w:p>
    <w:p w14:paraId="670D5534" w14:textId="77777777" w:rsidR="00250B7D" w:rsidRDefault="00250B7D" w:rsidP="00250B7D">
      <w:pPr>
        <w:spacing w:line="360" w:lineRule="auto"/>
        <w:jc w:val="both"/>
        <w:rPr>
          <w:i/>
          <w:iCs/>
          <w:sz w:val="20"/>
          <w:szCs w:val="20"/>
        </w:rPr>
      </w:pPr>
      <w:r>
        <w:rPr>
          <w:i/>
          <w:iCs/>
          <w:sz w:val="20"/>
          <w:szCs w:val="20"/>
        </w:rPr>
        <w:t>Aim: To evaluate the clinical, radiological, and functional outcomes of intertrochanteric femoral fractures treated with proximal femoral nailing.</w:t>
      </w:r>
    </w:p>
    <w:p w14:paraId="058A98EA" w14:textId="77777777" w:rsidR="00250B7D" w:rsidRDefault="00250B7D" w:rsidP="00250B7D">
      <w:pPr>
        <w:spacing w:line="360" w:lineRule="auto"/>
        <w:jc w:val="both"/>
        <w:rPr>
          <w:i/>
          <w:iCs/>
          <w:sz w:val="20"/>
          <w:szCs w:val="20"/>
        </w:rPr>
      </w:pPr>
      <w:r>
        <w:rPr>
          <w:i/>
          <w:iCs/>
          <w:sz w:val="20"/>
          <w:szCs w:val="20"/>
        </w:rPr>
        <w:t>Materials and Methods: This prospective observational study was designed to include 10 patients with intertrochanteric femoral fractures treated using PFN over six months. Clinical and radiological parameters included operative duration, blood loss, postoperative complications, fracture union, pain, mobility, and functional recovery. Functional outcomes were evaluated using the Harris Hip Score (HHS) at scheduled postoperative assessments. Descriptive statistical analysis was planned.</w:t>
      </w:r>
    </w:p>
    <w:p w14:paraId="31190780" w14:textId="77777777" w:rsidR="00250B7D" w:rsidRDefault="00250B7D" w:rsidP="00250B7D">
      <w:pPr>
        <w:spacing w:line="360" w:lineRule="auto"/>
        <w:jc w:val="both"/>
        <w:rPr>
          <w:i/>
          <w:iCs/>
          <w:sz w:val="20"/>
          <w:szCs w:val="20"/>
        </w:rPr>
      </w:pPr>
      <w:r>
        <w:rPr>
          <w:i/>
          <w:iCs/>
          <w:sz w:val="20"/>
          <w:szCs w:val="20"/>
        </w:rPr>
        <w:t xml:space="preserve">Results: In our study, mean patient age was 68.4 years, with six males and four females. The mean operative duration was 65.2 minutes, and mean estimated intraoperative blood loss was 115 </w:t>
      </w:r>
      <w:proofErr w:type="spellStart"/>
      <w:r>
        <w:rPr>
          <w:i/>
          <w:iCs/>
          <w:sz w:val="20"/>
          <w:szCs w:val="20"/>
        </w:rPr>
        <w:t>mL.</w:t>
      </w:r>
      <w:proofErr w:type="spellEnd"/>
      <w:r>
        <w:rPr>
          <w:i/>
          <w:iCs/>
          <w:sz w:val="20"/>
          <w:szCs w:val="20"/>
        </w:rPr>
        <w:t xml:space="preserve"> Radiological union was documented in nine patients by 12 weeks, while one patient demonstrated delayed union. The mean HHS improved from 58.6 at six weeks to 82.4 at 12 weeks. Eight patients achieved good or excellent functional outcomes. No implant breakage or deep infection was recorded.</w:t>
      </w:r>
    </w:p>
    <w:p w14:paraId="28417FB6" w14:textId="77777777" w:rsidR="00250B7D" w:rsidRDefault="00250B7D" w:rsidP="00250B7D">
      <w:pPr>
        <w:spacing w:line="360" w:lineRule="auto"/>
        <w:jc w:val="both"/>
      </w:pPr>
      <w:r>
        <w:rPr>
          <w:i/>
          <w:iCs/>
          <w:sz w:val="20"/>
          <w:szCs w:val="20"/>
        </w:rPr>
        <w:t xml:space="preserve">Conclusion: Our study findings suggest that </w:t>
      </w:r>
      <w:proofErr w:type="gramStart"/>
      <w:r>
        <w:rPr>
          <w:i/>
          <w:iCs/>
          <w:sz w:val="20"/>
          <w:szCs w:val="20"/>
        </w:rPr>
        <w:t>PFN  provide</w:t>
      </w:r>
      <w:proofErr w:type="gramEnd"/>
      <w:r>
        <w:rPr>
          <w:i/>
          <w:iCs/>
          <w:sz w:val="20"/>
          <w:szCs w:val="20"/>
        </w:rPr>
        <w:t xml:space="preserve"> satisfactory fracture stabilization and functional recovery in selected patients with intertrochanteric fractures</w:t>
      </w:r>
      <w:r>
        <w:rPr>
          <w:sz w:val="20"/>
          <w:szCs w:val="20"/>
        </w:rPr>
        <w:t xml:space="preserve">. </w:t>
      </w:r>
    </w:p>
    <w:p w14:paraId="73CD2428" w14:textId="77777777" w:rsidR="00250B7D" w:rsidRDefault="00250B7D" w:rsidP="00250B7D"/>
    <w:p w14:paraId="20A3A200" w14:textId="1FF117D5" w:rsidR="00527591" w:rsidRDefault="00527591">
      <w:pPr>
        <w:ind w:left="116"/>
        <w:rPr>
          <w:rFonts w:ascii="Times New Roman"/>
          <w:sz w:val="20"/>
        </w:rPr>
      </w:pPr>
    </w:p>
    <w:sectPr w:rsidR="00527591">
      <w:type w:val="continuous"/>
      <w:pgSz w:w="11910" w:h="16840"/>
      <w:pgMar w:top="1180" w:right="700" w:bottom="280" w:left="4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367D4E"/>
    <w:multiLevelType w:val="multilevel"/>
    <w:tmpl w:val="C282698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3632175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527591"/>
    <w:rsid w:val="0001795F"/>
    <w:rsid w:val="0002684E"/>
    <w:rsid w:val="001A4E85"/>
    <w:rsid w:val="00216B0E"/>
    <w:rsid w:val="00250B7D"/>
    <w:rsid w:val="002803A9"/>
    <w:rsid w:val="00396891"/>
    <w:rsid w:val="004D1CF1"/>
    <w:rsid w:val="004E2388"/>
    <w:rsid w:val="00527591"/>
    <w:rsid w:val="008E7B1C"/>
    <w:rsid w:val="00A30893"/>
    <w:rsid w:val="00AF3BD7"/>
    <w:rsid w:val="00BB4291"/>
    <w:rsid w:val="00BC6086"/>
    <w:rsid w:val="00C127B4"/>
    <w:rsid w:val="00D13E19"/>
    <w:rsid w:val="00DE3944"/>
    <w:rsid w:val="00FD030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D64101"/>
  <w15:docId w15:val="{2669F401-18EA-40B9-8B6D-2FA13A96BF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mbria" w:eastAsia="Cambria" w:hAnsi="Cambria" w:cs="Cambr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Title">
    <w:name w:val="Title"/>
    <w:basedOn w:val="Normal"/>
    <w:uiPriority w:val="1"/>
    <w:qFormat/>
    <w:pPr>
      <w:spacing w:before="223"/>
      <w:ind w:left="982"/>
    </w:pPr>
    <w:rPr>
      <w:rFonts w:ascii="Times New Roman" w:eastAsia="Times New Roman" w:hAnsi="Times New Roman" w:cs="Times New Roman"/>
      <w:i/>
      <w:iCs/>
      <w:sz w:val="32"/>
      <w:szCs w:val="32"/>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FD0306"/>
    <w:rPr>
      <w:rFonts w:ascii="Tahoma" w:hAnsi="Tahoma" w:cs="Tahoma"/>
      <w:sz w:val="16"/>
      <w:szCs w:val="16"/>
    </w:rPr>
  </w:style>
  <w:style w:type="character" w:customStyle="1" w:styleId="BalloonTextChar">
    <w:name w:val="Balloon Text Char"/>
    <w:basedOn w:val="DefaultParagraphFont"/>
    <w:link w:val="BalloonText"/>
    <w:uiPriority w:val="99"/>
    <w:semiHidden/>
    <w:rsid w:val="00FD0306"/>
    <w:rPr>
      <w:rFonts w:ascii="Tahoma" w:eastAsia="Cambria" w:hAnsi="Tahoma" w:cs="Tahoma"/>
      <w:sz w:val="16"/>
      <w:szCs w:val="16"/>
    </w:rPr>
  </w:style>
  <w:style w:type="paragraph" w:styleId="NormalWeb">
    <w:name w:val="Normal (Web)"/>
    <w:basedOn w:val="Normal"/>
    <w:uiPriority w:val="99"/>
    <w:semiHidden/>
    <w:unhideWhenUsed/>
    <w:rsid w:val="00396891"/>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Pages>
  <Words>284</Words>
  <Characters>1621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Microsoft Word - Document2</vt:lpstr>
    </vt:vector>
  </TitlesOfParts>
  <Company>HP</Company>
  <LinksUpToDate>false</LinksUpToDate>
  <CharactersWithSpaces>1902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Document2</dc:title>
  <dc:creator>RDRL</dc:creator>
  <cp:lastModifiedBy>hp</cp:lastModifiedBy>
  <cp:revision>16</cp:revision>
  <cp:lastPrinted>2026-10-13T10:01:00Z</cp:lastPrinted>
  <dcterms:created xsi:type="dcterms:W3CDTF">2024-06-25T10:33:00Z</dcterms:created>
  <dcterms:modified xsi:type="dcterms:W3CDTF">2026-10-13T16:07:00Z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2023-10-09T00:00:00Z</vt:filetime>
  </property>
  <property fmtid="{D5CDD505-2E9C-101B-9397-08002B2CF9AE}" pid="3" name="LastSaved">
    <vt:filetime>2023-11-01T00:00:00Z</vt:filetime>
  </property>
  <property fmtid="{D5CDD505-2E9C-101B-9397-08002B2CF9AE}" pid="4" name="Producer">
    <vt:lpwstr>Microsoft: Print To PDF</vt:lpwstr>
  </property>
</Properties>
</file>