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F02" w:rsidRPr="00980F02" w:rsidRDefault="00980F02" w:rsidP="00980F02">
      <w:pPr>
        <w:spacing w:line="360" w:lineRule="auto"/>
        <w:rPr>
          <w:rFonts w:asciiTheme="majorHAnsi" w:hAnsiTheme="majorHAnsi"/>
          <w:b/>
          <w:bCs/>
          <w:color w:val="000000"/>
          <w:sz w:val="24"/>
          <w:szCs w:val="24"/>
        </w:rPr>
      </w:pPr>
      <w:r w:rsidRPr="00980F02">
        <w:rPr>
          <w:rFonts w:asciiTheme="majorHAnsi" w:hAnsiTheme="majorHAnsi"/>
          <w:b/>
          <w:bCs/>
          <w:color w:val="000000"/>
          <w:sz w:val="24"/>
          <w:szCs w:val="24"/>
          <w:highlight w:val="lightGray"/>
        </w:rPr>
        <w:t>Original article</w:t>
      </w:r>
      <w:r w:rsidRPr="00980F02">
        <w:rPr>
          <w:rFonts w:asciiTheme="majorHAnsi" w:hAnsiTheme="majorHAnsi"/>
          <w:b/>
          <w:bCs/>
          <w:color w:val="000000"/>
          <w:sz w:val="24"/>
          <w:szCs w:val="24"/>
        </w:rPr>
        <w:t xml:space="preserve"> </w:t>
      </w:r>
    </w:p>
    <w:p w:rsidR="00980F02" w:rsidRPr="00980F02" w:rsidRDefault="00980F02" w:rsidP="00980F02">
      <w:pPr>
        <w:spacing w:line="360" w:lineRule="auto"/>
        <w:rPr>
          <w:rFonts w:asciiTheme="majorHAnsi" w:hAnsiTheme="majorHAnsi"/>
          <w:color w:val="0070C0"/>
          <w:sz w:val="28"/>
          <w:szCs w:val="28"/>
        </w:rPr>
      </w:pPr>
      <w:r w:rsidRPr="00980F02">
        <w:rPr>
          <w:rFonts w:asciiTheme="majorHAnsi" w:hAnsiTheme="majorHAnsi"/>
          <w:b/>
          <w:bCs/>
          <w:color w:val="0070C0"/>
          <w:sz w:val="28"/>
          <w:szCs w:val="28"/>
        </w:rPr>
        <w:t>Diagnostic Accuracy of High-Resolution Ultrasonography in the Evaluation of Thyroid Nodules with Cytological Correlation: A Cross-Sectional Study</w:t>
      </w:r>
    </w:p>
    <w:p w:rsidR="00F87EF0" w:rsidRPr="00980F02" w:rsidRDefault="00980F02" w:rsidP="00980F02">
      <w:pPr>
        <w:spacing w:line="360" w:lineRule="auto"/>
        <w:rPr>
          <w:rFonts w:asciiTheme="majorHAnsi" w:hAnsiTheme="majorHAnsi"/>
          <w:b/>
          <w:bCs/>
          <w:color w:val="000000"/>
        </w:rPr>
      </w:pPr>
      <w:r w:rsidRPr="00980F02">
        <w:rPr>
          <w:rFonts w:asciiTheme="majorHAnsi" w:hAnsiTheme="majorHAnsi"/>
          <w:b/>
          <w:bCs/>
          <w:color w:val="000000"/>
        </w:rPr>
        <w:t>*</w:t>
      </w:r>
      <w:r w:rsidR="00F87EF0" w:rsidRPr="00980F02">
        <w:rPr>
          <w:rFonts w:asciiTheme="majorHAnsi" w:hAnsiTheme="majorHAnsi"/>
          <w:b/>
          <w:bCs/>
          <w:color w:val="000000"/>
        </w:rPr>
        <w:t>Vaidya Snehal  Manik</w:t>
      </w:r>
      <w:r w:rsidR="00F87EF0" w:rsidRPr="00980F02">
        <w:rPr>
          <w:rFonts w:asciiTheme="majorHAnsi" w:hAnsiTheme="majorHAnsi"/>
          <w:b/>
          <w:bCs/>
          <w:color w:val="000000"/>
          <w:vertAlign w:val="superscript"/>
        </w:rPr>
        <w:t>1</w:t>
      </w:r>
      <w:r w:rsidR="00F87EF0" w:rsidRPr="00980F02">
        <w:rPr>
          <w:rFonts w:asciiTheme="majorHAnsi" w:hAnsiTheme="majorHAnsi"/>
          <w:b/>
          <w:bCs/>
          <w:color w:val="000000"/>
        </w:rPr>
        <w:t xml:space="preserve"> </w:t>
      </w:r>
    </w:p>
    <w:p w:rsidR="00980F02" w:rsidRPr="00980F02" w:rsidRDefault="00980F02" w:rsidP="00980F02">
      <w:pPr>
        <w:spacing w:line="360" w:lineRule="auto"/>
        <w:rPr>
          <w:rFonts w:asciiTheme="majorHAnsi" w:hAnsiTheme="majorHAnsi"/>
          <w:b/>
          <w:bCs/>
          <w:color w:val="000000"/>
          <w:vertAlign w:val="superscript"/>
        </w:rPr>
      </w:pPr>
    </w:p>
    <w:p w:rsidR="00F87EF0" w:rsidRPr="00980F02" w:rsidRDefault="00F87EF0" w:rsidP="00980F02">
      <w:pPr>
        <w:spacing w:line="360" w:lineRule="auto"/>
        <w:rPr>
          <w:rFonts w:asciiTheme="majorHAnsi" w:hAnsiTheme="majorHAnsi"/>
          <w:color w:val="1F1F1F"/>
          <w:shd w:val="clear" w:color="auto" w:fill="FFFFFF"/>
        </w:rPr>
      </w:pPr>
      <w:r w:rsidRPr="00980F02">
        <w:rPr>
          <w:rFonts w:asciiTheme="majorHAnsi" w:hAnsiTheme="majorHAnsi"/>
          <w:bCs/>
          <w:color w:val="000000"/>
          <w:vertAlign w:val="superscript"/>
        </w:rPr>
        <w:t>1</w:t>
      </w:r>
      <w:r w:rsidRPr="00980F02">
        <w:rPr>
          <w:rFonts w:asciiTheme="majorHAnsi" w:hAnsiTheme="majorHAnsi"/>
          <w:bCs/>
          <w:color w:val="000000"/>
        </w:rPr>
        <w:t>Assistant Professor ,Dept of Radiology,</w:t>
      </w:r>
      <w:r w:rsidRPr="00980F02">
        <w:rPr>
          <w:rFonts w:asciiTheme="majorHAnsi" w:hAnsiTheme="majorHAnsi"/>
          <w:bCs/>
          <w:color w:val="767676"/>
        </w:rPr>
        <w:t xml:space="preserve"> </w:t>
      </w:r>
      <w:r w:rsidRPr="00980F02">
        <w:rPr>
          <w:rFonts w:asciiTheme="majorHAnsi" w:hAnsiTheme="majorHAnsi"/>
          <w:bCs/>
          <w:color w:val="000000"/>
        </w:rPr>
        <w:t>Chalmeda AnandRao Institute of Medical Sciences,</w:t>
      </w:r>
      <w:r w:rsidRPr="00980F02">
        <w:rPr>
          <w:rFonts w:asciiTheme="majorHAnsi" w:hAnsiTheme="majorHAnsi"/>
          <w:color w:val="1F1F1F"/>
          <w:shd w:val="clear" w:color="auto" w:fill="FFFFFF"/>
        </w:rPr>
        <w:t xml:space="preserve"> Karimnagar, Telangana 505002</w:t>
      </w:r>
    </w:p>
    <w:p w:rsidR="00980F02" w:rsidRPr="00980F02" w:rsidRDefault="00980F02" w:rsidP="00980F02">
      <w:pPr>
        <w:spacing w:line="360" w:lineRule="auto"/>
        <w:rPr>
          <w:rFonts w:asciiTheme="majorHAnsi" w:hAnsiTheme="majorHAnsi"/>
          <w:color w:val="1F1F1F"/>
          <w:shd w:val="clear" w:color="auto" w:fill="FFFFFF"/>
        </w:rPr>
      </w:pPr>
      <w:r w:rsidRPr="00980F02">
        <w:rPr>
          <w:rFonts w:asciiTheme="majorHAnsi" w:hAnsiTheme="majorHAnsi"/>
          <w:color w:val="1F1F1F"/>
          <w:shd w:val="clear" w:color="auto" w:fill="FFFFFF"/>
        </w:rPr>
        <w:t>Corresponding author*</w:t>
      </w:r>
    </w:p>
    <w:p w:rsidR="00980F02" w:rsidRPr="00980F02" w:rsidRDefault="00980F02" w:rsidP="00980F02">
      <w:pPr>
        <w:pStyle w:val="Heading1"/>
        <w:spacing w:line="360" w:lineRule="auto"/>
        <w:jc w:val="both"/>
        <w:rPr>
          <w:rFonts w:asciiTheme="majorHAnsi" w:hAnsiTheme="majorHAnsi"/>
          <w:b/>
          <w:bCs/>
          <w:color w:val="000000"/>
          <w:sz w:val="20"/>
          <w:szCs w:val="20"/>
        </w:rPr>
      </w:pPr>
    </w:p>
    <w:p w:rsidR="008D3F32" w:rsidRPr="00980F02" w:rsidRDefault="00083449" w:rsidP="00980F02">
      <w:pPr>
        <w:pStyle w:val="Heading1"/>
        <w:spacing w:line="360" w:lineRule="auto"/>
        <w:jc w:val="both"/>
        <w:rPr>
          <w:rFonts w:asciiTheme="majorHAnsi" w:hAnsiTheme="majorHAnsi"/>
          <w:sz w:val="20"/>
          <w:szCs w:val="20"/>
        </w:rPr>
      </w:pPr>
      <w:r w:rsidRPr="00980F02">
        <w:rPr>
          <w:rFonts w:asciiTheme="majorHAnsi" w:hAnsiTheme="majorHAnsi"/>
          <w:b/>
          <w:bCs/>
          <w:color w:val="000000"/>
          <w:sz w:val="20"/>
          <w:szCs w:val="20"/>
        </w:rPr>
        <w:t>Abstract</w:t>
      </w:r>
    </w:p>
    <w:p w:rsidR="008D3F32" w:rsidRPr="00980F02" w:rsidRDefault="00083449" w:rsidP="00980F02">
      <w:pPr>
        <w:spacing w:line="360" w:lineRule="auto"/>
        <w:jc w:val="both"/>
        <w:rPr>
          <w:rFonts w:asciiTheme="majorHAnsi" w:hAnsiTheme="majorHAnsi"/>
          <w:sz w:val="18"/>
          <w:szCs w:val="18"/>
        </w:rPr>
      </w:pPr>
      <w:r w:rsidRPr="00980F02">
        <w:rPr>
          <w:rFonts w:asciiTheme="majorHAnsi" w:hAnsiTheme="majorHAnsi"/>
          <w:color w:val="000000"/>
          <w:sz w:val="18"/>
          <w:szCs w:val="18"/>
        </w:rPr>
        <w:t>Background: High-resolution ultrasonography (USG) is the primary imaging modality for the initial evaluation of thyroid nodules, with specific sonographic features used to stratify malignancy risk and guide selection for fine-needle aspiration cytology (FNAC).</w:t>
      </w:r>
      <w:r w:rsidRPr="00980F02">
        <w:rPr>
          <w:rFonts w:asciiTheme="majorHAnsi" w:hAnsiTheme="majorHAnsi"/>
          <w:color w:val="000000"/>
          <w:sz w:val="18"/>
          <w:szCs w:val="18"/>
          <w:vertAlign w:val="superscript"/>
        </w:rPr>
        <w:t>1,2</w:t>
      </w:r>
      <w:bookmarkStart w:id="0" w:name="_GoBack"/>
      <w:bookmarkEnd w:id="0"/>
    </w:p>
    <w:p w:rsidR="008D3F32" w:rsidRPr="00980F02" w:rsidRDefault="00083449" w:rsidP="00980F02">
      <w:pPr>
        <w:spacing w:line="360" w:lineRule="auto"/>
        <w:jc w:val="both"/>
        <w:rPr>
          <w:rFonts w:asciiTheme="majorHAnsi" w:hAnsiTheme="majorHAnsi"/>
          <w:sz w:val="18"/>
          <w:szCs w:val="18"/>
        </w:rPr>
      </w:pPr>
      <w:r w:rsidRPr="00980F02">
        <w:rPr>
          <w:rFonts w:asciiTheme="majorHAnsi" w:hAnsiTheme="majorHAnsi"/>
          <w:color w:val="000000"/>
          <w:sz w:val="18"/>
          <w:szCs w:val="18"/>
        </w:rPr>
        <w:t>Objectives: To evaluate the diagnostic accuracy of USG in differentiating benign from malignant thyroid nodules, using FNAC as the reference standard.</w:t>
      </w:r>
    </w:p>
    <w:p w:rsidR="008D3F32" w:rsidRPr="00980F02" w:rsidRDefault="00083449" w:rsidP="00980F02">
      <w:pPr>
        <w:spacing w:line="360" w:lineRule="auto"/>
        <w:jc w:val="both"/>
        <w:rPr>
          <w:rFonts w:asciiTheme="majorHAnsi" w:hAnsiTheme="majorHAnsi"/>
          <w:sz w:val="18"/>
          <w:szCs w:val="18"/>
        </w:rPr>
      </w:pPr>
      <w:r w:rsidRPr="00980F02">
        <w:rPr>
          <w:rFonts w:asciiTheme="majorHAnsi" w:hAnsiTheme="majorHAnsi"/>
          <w:color w:val="000000"/>
          <w:sz w:val="18"/>
          <w:szCs w:val="18"/>
        </w:rPr>
        <w:t>Methods: A cross-sectional study was conducted on 190 patients with thyroid nodules who underwent USG followed by USG-guided FNAC. Sonographic features suggestive of malignancy were recorded, and diagnostic accuracy was calculated against cytological diagnosis.</w:t>
      </w:r>
    </w:p>
    <w:p w:rsidR="008D3F32" w:rsidRPr="00980F02" w:rsidRDefault="00083449" w:rsidP="00980F02">
      <w:pPr>
        <w:spacing w:line="360" w:lineRule="auto"/>
        <w:jc w:val="both"/>
        <w:rPr>
          <w:rFonts w:asciiTheme="majorHAnsi" w:hAnsiTheme="majorHAnsi"/>
          <w:sz w:val="18"/>
          <w:szCs w:val="18"/>
        </w:rPr>
      </w:pPr>
      <w:r w:rsidRPr="00980F02">
        <w:rPr>
          <w:rFonts w:asciiTheme="majorHAnsi" w:hAnsiTheme="majorHAnsi"/>
          <w:color w:val="000000"/>
          <w:sz w:val="18"/>
          <w:szCs w:val="18"/>
        </w:rPr>
        <w:t>Results: FNAC confirmed malignancy in 17.9% of nodules. USG demonstrated a sensitivity of 85.3%, specificity of 87.8%, and overall diagnostic accuracy of 87.4% for predicting malignancy. Hypoechoic echo pattern (85.3%) and irregular margins (76.5%) were the most frequent sonographic features among malignant nodules.</w:t>
      </w:r>
    </w:p>
    <w:p w:rsidR="008D3F32" w:rsidRPr="00980F02" w:rsidRDefault="00083449" w:rsidP="00980F02">
      <w:pPr>
        <w:spacing w:line="360" w:lineRule="auto"/>
        <w:jc w:val="both"/>
        <w:rPr>
          <w:rFonts w:asciiTheme="majorHAnsi" w:hAnsiTheme="majorHAnsi"/>
          <w:sz w:val="18"/>
          <w:szCs w:val="18"/>
        </w:rPr>
      </w:pPr>
      <w:r w:rsidRPr="00980F02">
        <w:rPr>
          <w:rFonts w:asciiTheme="majorHAnsi" w:hAnsiTheme="majorHAnsi"/>
          <w:color w:val="000000"/>
          <w:sz w:val="18"/>
          <w:szCs w:val="18"/>
        </w:rPr>
        <w:t>Conclusion: High-resolution USG offers good diagnostic accuracy for the pre-cytological risk stratification of thyroid nodules and remains a valuable complementary tool alongside FNAC in the diagnostic pathway.</w:t>
      </w:r>
    </w:p>
    <w:p w:rsidR="008D3F32" w:rsidRPr="00980F02" w:rsidRDefault="00083449" w:rsidP="00980F02">
      <w:pPr>
        <w:spacing w:line="360" w:lineRule="auto"/>
        <w:jc w:val="both"/>
        <w:rPr>
          <w:rFonts w:asciiTheme="majorHAnsi" w:hAnsiTheme="majorHAnsi"/>
          <w:sz w:val="18"/>
          <w:szCs w:val="18"/>
        </w:rPr>
      </w:pPr>
      <w:r w:rsidRPr="00980F02">
        <w:rPr>
          <w:rFonts w:asciiTheme="majorHAnsi" w:hAnsiTheme="majorHAnsi"/>
          <w:i/>
          <w:iCs/>
          <w:color w:val="000000"/>
          <w:sz w:val="18"/>
          <w:szCs w:val="18"/>
        </w:rPr>
        <w:t>Keywords: Thyroid nodule, ultrasonography, fine-needle aspiration cytology, thyroid malignancy, radiology.</w:t>
      </w:r>
    </w:p>
    <w:p w:rsidR="00980F02" w:rsidRPr="00980F02" w:rsidRDefault="00980F02" w:rsidP="00980F02">
      <w:pPr>
        <w:pStyle w:val="Heading1"/>
        <w:spacing w:line="360" w:lineRule="auto"/>
        <w:jc w:val="both"/>
        <w:rPr>
          <w:b/>
          <w:bCs/>
          <w:color w:val="000000"/>
          <w:sz w:val="20"/>
          <w:szCs w:val="20"/>
        </w:rPr>
      </w:pPr>
    </w:p>
    <w:p w:rsidR="008D3F32" w:rsidRPr="00980F02" w:rsidRDefault="00083449" w:rsidP="00980F02">
      <w:pPr>
        <w:pStyle w:val="Heading1"/>
        <w:spacing w:line="360" w:lineRule="auto"/>
        <w:jc w:val="both"/>
        <w:rPr>
          <w:sz w:val="20"/>
          <w:szCs w:val="20"/>
        </w:rPr>
      </w:pPr>
      <w:r w:rsidRPr="00980F02">
        <w:rPr>
          <w:b/>
          <w:bCs/>
          <w:color w:val="000000"/>
          <w:sz w:val="20"/>
          <w:szCs w:val="20"/>
        </w:rPr>
        <w:t>Introduction</w:t>
      </w:r>
    </w:p>
    <w:p w:rsidR="008D3F32" w:rsidRPr="00980F02" w:rsidRDefault="00083449" w:rsidP="00980F02">
      <w:pPr>
        <w:spacing w:line="360" w:lineRule="auto"/>
        <w:jc w:val="both"/>
      </w:pPr>
      <w:r w:rsidRPr="00980F02">
        <w:rPr>
          <w:color w:val="000000"/>
        </w:rPr>
        <w:t>Thyroid nodules are a common clinical finding, with the increasing use of high-resolution ultrasonography (USG) leading to detection of an ever-growing number of incidental nodules, the majority of which are benign.</w:t>
      </w:r>
      <w:r w:rsidRPr="00980F02">
        <w:rPr>
          <w:color w:val="000000"/>
          <w:vertAlign w:val="superscript"/>
        </w:rPr>
        <w:t>11</w:t>
      </w:r>
      <w:r w:rsidRPr="00980F02">
        <w:rPr>
          <w:color w:val="000000"/>
        </w:rPr>
        <w:t xml:space="preserve"> Given that thyroid malignancy cannot be excluded by clinical examination alone, sonographic risk stratification combined with fine-needle aspiration cytology (FNAC) has become the standard diagnostic pathway for thyroid nodule evaluation.</w:t>
      </w:r>
      <w:r w:rsidRPr="00980F02">
        <w:rPr>
          <w:color w:val="000000"/>
          <w:vertAlign w:val="superscript"/>
        </w:rPr>
        <w:t>1,6</w:t>
      </w:r>
    </w:p>
    <w:p w:rsidR="008D3F32" w:rsidRPr="00980F02" w:rsidRDefault="00083449" w:rsidP="00980F02">
      <w:pPr>
        <w:spacing w:line="360" w:lineRule="auto"/>
        <w:jc w:val="both"/>
      </w:pPr>
      <w:r w:rsidRPr="00980F02">
        <w:rPr>
          <w:color w:val="000000"/>
        </w:rPr>
        <w:t>Several sonographic features have been consistently associated with an increased risk of malignancy, including hypoechogenicity, irregular or microlobulated margins, microcalcifications, a taller-than-wide shape, and absence of a peripheral halo, as established in the landmark study by Kim and colleagues proposing sonographic criteria for recommending biopsy of nonpalpable nodules, and further validated by Papini and colleagues examining the predictive value of ultrasound and colour Doppler features.</w:t>
      </w:r>
      <w:r w:rsidRPr="00980F02">
        <w:rPr>
          <w:color w:val="000000"/>
          <w:vertAlign w:val="superscript"/>
        </w:rPr>
        <w:t>1,2</w:t>
      </w:r>
    </w:p>
    <w:p w:rsidR="008D3F32" w:rsidRPr="00980F02" w:rsidRDefault="00083449" w:rsidP="00980F02">
      <w:pPr>
        <w:spacing w:line="360" w:lineRule="auto"/>
        <w:jc w:val="both"/>
      </w:pPr>
      <w:r w:rsidRPr="00980F02">
        <w:rPr>
          <w:color w:val="000000"/>
        </w:rPr>
        <w:t>The Society of Radiologists in Ultrasound consensus conference, led by Frates and colleagues, provided influential guidance on the management of sonographically detected thyroid nodules, helping standardise the threshold for FNAC referral based on nodule size and sonographic appearance.</w:t>
      </w:r>
      <w:r w:rsidRPr="00980F02">
        <w:rPr>
          <w:color w:val="000000"/>
          <w:vertAlign w:val="superscript"/>
        </w:rPr>
        <w:t>3</w:t>
      </w:r>
      <w:r w:rsidRPr="00980F02">
        <w:rPr>
          <w:color w:val="000000"/>
        </w:rPr>
        <w:t xml:space="preserve"> Subsequent multicentre work </w:t>
      </w:r>
      <w:r w:rsidRPr="00980F02">
        <w:rPr>
          <w:color w:val="000000"/>
        </w:rPr>
        <w:lastRenderedPageBreak/>
        <w:t>by Moon and colleagues further refined the sonographic differentiation of benign from malignant nodules, reinforcing the diagnostic value of a multi-feature assessment approach over reliance on any single sonographic characteristic.</w:t>
      </w:r>
      <w:r w:rsidRPr="00980F02">
        <w:rPr>
          <w:color w:val="000000"/>
          <w:vertAlign w:val="superscript"/>
        </w:rPr>
        <w:t>4</w:t>
      </w:r>
    </w:p>
    <w:p w:rsidR="008D3F32" w:rsidRPr="00980F02" w:rsidRDefault="00083449" w:rsidP="00980F02">
      <w:pPr>
        <w:spacing w:line="360" w:lineRule="auto"/>
        <w:jc w:val="both"/>
      </w:pPr>
      <w:r w:rsidRPr="00980F02">
        <w:rPr>
          <w:color w:val="000000"/>
        </w:rPr>
        <w:t>A systematic review and meta-analysis of observational studies by Remonti and colleagues confirmed the consistent, though individually imperfect, diagnostic value of these sonographic features across a large body of published literature, supporting the continued central role of USG in the initial risk stratification of thyroid nodules prior to FNAC.</w:t>
      </w:r>
      <w:r w:rsidRPr="00980F02">
        <w:rPr>
          <w:color w:val="000000"/>
          <w:vertAlign w:val="superscript"/>
        </w:rPr>
        <w:t>8</w:t>
      </w:r>
      <w:r w:rsidRPr="00980F02">
        <w:rPr>
          <w:color w:val="000000"/>
        </w:rPr>
        <w:t xml:space="preserve"> This study was undertaken to evaluate the diagnostic accuracy of high-resolution USG in differentiating benign from malignant thyroid nodules, using FNAC as the reference standard, and to characterise the sonographic feature pattern among malignant nodules in this population.</w:t>
      </w:r>
    </w:p>
    <w:p w:rsidR="008D3F32" w:rsidRPr="00980F02" w:rsidRDefault="00083449" w:rsidP="00980F02">
      <w:pPr>
        <w:pStyle w:val="Heading1"/>
        <w:spacing w:line="360" w:lineRule="auto"/>
        <w:jc w:val="both"/>
        <w:rPr>
          <w:sz w:val="20"/>
          <w:szCs w:val="20"/>
        </w:rPr>
      </w:pPr>
      <w:r w:rsidRPr="00980F02">
        <w:rPr>
          <w:b/>
          <w:bCs/>
          <w:color w:val="000000"/>
          <w:sz w:val="20"/>
          <w:szCs w:val="20"/>
        </w:rPr>
        <w:t>Materials and Methods</w:t>
      </w:r>
    </w:p>
    <w:p w:rsidR="008D3F32" w:rsidRPr="00980F02" w:rsidRDefault="00083449" w:rsidP="00980F02">
      <w:pPr>
        <w:pStyle w:val="Heading2"/>
        <w:spacing w:line="360" w:lineRule="auto"/>
        <w:jc w:val="both"/>
        <w:rPr>
          <w:sz w:val="20"/>
          <w:szCs w:val="20"/>
        </w:rPr>
      </w:pPr>
      <w:r w:rsidRPr="00980F02">
        <w:rPr>
          <w:b/>
          <w:bCs/>
          <w:color w:val="000000"/>
          <w:sz w:val="20"/>
          <w:szCs w:val="20"/>
        </w:rPr>
        <w:t>Study Design and Setting</w:t>
      </w:r>
    </w:p>
    <w:p w:rsidR="008D3F32" w:rsidRPr="00980F02" w:rsidRDefault="00083449" w:rsidP="00980F02">
      <w:pPr>
        <w:spacing w:line="360" w:lineRule="auto"/>
        <w:jc w:val="both"/>
      </w:pPr>
      <w:r w:rsidRPr="00980F02">
        <w:rPr>
          <w:color w:val="000000"/>
        </w:rPr>
        <w:t>This was a hospital-based, cross-sectional, analytical study conducted in the Department of Radiodiagnosis of a tertiary care teaching hospital over a period of twelve months.</w:t>
      </w:r>
    </w:p>
    <w:p w:rsidR="008D3F32" w:rsidRPr="00980F02" w:rsidRDefault="00083449" w:rsidP="00980F02">
      <w:pPr>
        <w:pStyle w:val="Heading2"/>
        <w:spacing w:line="360" w:lineRule="auto"/>
        <w:jc w:val="both"/>
        <w:rPr>
          <w:sz w:val="20"/>
          <w:szCs w:val="20"/>
        </w:rPr>
      </w:pPr>
      <w:r w:rsidRPr="00980F02">
        <w:rPr>
          <w:b/>
          <w:bCs/>
          <w:color w:val="000000"/>
          <w:sz w:val="20"/>
          <w:szCs w:val="20"/>
        </w:rPr>
        <w:t>Study Population</w:t>
      </w:r>
    </w:p>
    <w:p w:rsidR="008D3F32" w:rsidRPr="00980F02" w:rsidRDefault="00083449" w:rsidP="00980F02">
      <w:pPr>
        <w:spacing w:line="360" w:lineRule="auto"/>
        <w:jc w:val="both"/>
      </w:pPr>
      <w:r w:rsidRPr="00980F02">
        <w:rPr>
          <w:color w:val="000000"/>
        </w:rPr>
        <w:t>A total of 190 patients with clinically or incidentally detected thyroid nodules referred for USG evaluation were enrolled after obtaining informed consent.</w:t>
      </w:r>
    </w:p>
    <w:p w:rsidR="008D3F32" w:rsidRPr="00980F02" w:rsidRDefault="00083449" w:rsidP="00980F02">
      <w:pPr>
        <w:pStyle w:val="Heading2"/>
        <w:spacing w:line="360" w:lineRule="auto"/>
        <w:jc w:val="both"/>
        <w:rPr>
          <w:sz w:val="20"/>
          <w:szCs w:val="20"/>
        </w:rPr>
      </w:pPr>
      <w:r w:rsidRPr="00980F02">
        <w:rPr>
          <w:b/>
          <w:bCs/>
          <w:color w:val="000000"/>
          <w:sz w:val="20"/>
          <w:szCs w:val="20"/>
        </w:rPr>
        <w:t>Inclusion and Exclusion Criteria</w:t>
      </w:r>
    </w:p>
    <w:p w:rsidR="008D3F32" w:rsidRPr="00980F02" w:rsidRDefault="00083449" w:rsidP="00980F02">
      <w:pPr>
        <w:spacing w:line="360" w:lineRule="auto"/>
        <w:jc w:val="both"/>
      </w:pPr>
      <w:r w:rsidRPr="00980F02">
        <w:rPr>
          <w:color w:val="000000"/>
        </w:rPr>
        <w:t>Patients of any age with a thyroid nodule measuring 1 cm or greater in maximum dimension, who underwent both USG and subsequent USG-guided FNAC, were included. Patients with a prior diagnosis of thyroid malignancy, previous thyroid surgery, or non-diagnostic FNAC results not amenable to repeat sampling were excluded.</w:t>
      </w:r>
    </w:p>
    <w:p w:rsidR="008D3F32" w:rsidRPr="00980F02" w:rsidRDefault="00083449" w:rsidP="00980F02">
      <w:pPr>
        <w:pStyle w:val="Heading2"/>
        <w:spacing w:line="360" w:lineRule="auto"/>
        <w:jc w:val="both"/>
        <w:rPr>
          <w:sz w:val="20"/>
          <w:szCs w:val="20"/>
        </w:rPr>
      </w:pPr>
      <w:r w:rsidRPr="00980F02">
        <w:rPr>
          <w:b/>
          <w:bCs/>
          <w:color w:val="000000"/>
          <w:sz w:val="20"/>
          <w:szCs w:val="20"/>
        </w:rPr>
        <w:t>Imaging Protocol</w:t>
      </w:r>
    </w:p>
    <w:p w:rsidR="008D3F32" w:rsidRPr="00980F02" w:rsidRDefault="00083449" w:rsidP="00980F02">
      <w:pPr>
        <w:spacing w:line="360" w:lineRule="auto"/>
        <w:jc w:val="both"/>
      </w:pPr>
      <w:r w:rsidRPr="00980F02">
        <w:rPr>
          <w:color w:val="000000"/>
        </w:rPr>
        <w:t>All patients underwent grey-scale and colour Doppler USG of the thyroid using a high-frequency linear transducer (7.5–12 MHz), performed by an experienced radiologist. Nodules were assessed for echogenicity, margin characteristics, presence of microcalcifications, shape (taller-than-wide or wider-than-tall), presence or absence of a peripheral halo, and vascularity pattern. A nodule was classified as sonographically suspicious if it demonstrated two or more features associated with malignancy, per criteria adapted from Kim and colleagues.</w:t>
      </w:r>
      <w:r w:rsidRPr="00980F02">
        <w:rPr>
          <w:color w:val="000000"/>
          <w:vertAlign w:val="superscript"/>
        </w:rPr>
        <w:t>1</w:t>
      </w:r>
      <w:r w:rsidRPr="00980F02">
        <w:rPr>
          <w:color w:val="000000"/>
        </w:rPr>
        <w:t xml:space="preserve"> All patients subsequently underwent USG-guided FNAC of the dominant or most suspicious nodule.</w:t>
      </w:r>
    </w:p>
    <w:p w:rsidR="008D3F32" w:rsidRPr="00980F02" w:rsidRDefault="00083449" w:rsidP="00980F02">
      <w:pPr>
        <w:pStyle w:val="Heading2"/>
        <w:spacing w:line="360" w:lineRule="auto"/>
        <w:jc w:val="both"/>
        <w:rPr>
          <w:sz w:val="20"/>
          <w:szCs w:val="20"/>
        </w:rPr>
      </w:pPr>
      <w:r w:rsidRPr="00980F02">
        <w:rPr>
          <w:b/>
          <w:bCs/>
          <w:color w:val="000000"/>
          <w:sz w:val="20"/>
          <w:szCs w:val="20"/>
        </w:rPr>
        <w:t>Reference Standard</w:t>
      </w:r>
    </w:p>
    <w:p w:rsidR="008D3F32" w:rsidRPr="00980F02" w:rsidRDefault="00083449" w:rsidP="00980F02">
      <w:pPr>
        <w:spacing w:line="360" w:lineRule="auto"/>
        <w:jc w:val="both"/>
      </w:pPr>
      <w:r w:rsidRPr="00980F02">
        <w:rPr>
          <w:color w:val="000000"/>
        </w:rPr>
        <w:t>Cytological diagnosis on FNAC, reported according to standard cytopathological categories, was used as the reference standard for confirming or excluding malignancy.</w:t>
      </w:r>
    </w:p>
    <w:p w:rsidR="008D3F32" w:rsidRPr="00980F02" w:rsidRDefault="00083449" w:rsidP="00980F02">
      <w:pPr>
        <w:pStyle w:val="Heading2"/>
        <w:spacing w:line="360" w:lineRule="auto"/>
        <w:jc w:val="both"/>
        <w:rPr>
          <w:sz w:val="20"/>
          <w:szCs w:val="20"/>
        </w:rPr>
      </w:pPr>
      <w:r w:rsidRPr="00980F02">
        <w:rPr>
          <w:b/>
          <w:bCs/>
          <w:color w:val="000000"/>
          <w:sz w:val="20"/>
          <w:szCs w:val="20"/>
        </w:rPr>
        <w:t>Statistical Analysis</w:t>
      </w:r>
    </w:p>
    <w:p w:rsidR="008D3F32" w:rsidRPr="00980F02" w:rsidRDefault="00083449" w:rsidP="00980F02">
      <w:pPr>
        <w:spacing w:line="360" w:lineRule="auto"/>
        <w:jc w:val="both"/>
      </w:pPr>
      <w:r w:rsidRPr="00980F02">
        <w:rPr>
          <w:color w:val="000000"/>
        </w:rPr>
        <w:t>Data were entered into a 2×2 contingency table comparing sonographic diagnosis with cytological findings. Sensitivity, specificity, positive and negative predictive values, and overall diagnostic accuracy were calculated using standard formulae. Results were tabulated and represented graphically, including a schematic illustration of benign versus suspicious sonographic patterns.</w:t>
      </w:r>
    </w:p>
    <w:p w:rsidR="008D3F32" w:rsidRPr="00980F02" w:rsidRDefault="00083449" w:rsidP="00980F02">
      <w:pPr>
        <w:pStyle w:val="Heading1"/>
        <w:spacing w:line="360" w:lineRule="auto"/>
        <w:jc w:val="both"/>
        <w:rPr>
          <w:sz w:val="20"/>
          <w:szCs w:val="20"/>
        </w:rPr>
      </w:pPr>
      <w:r w:rsidRPr="00980F02">
        <w:rPr>
          <w:b/>
          <w:bCs/>
          <w:color w:val="000000"/>
          <w:sz w:val="20"/>
          <w:szCs w:val="20"/>
        </w:rPr>
        <w:t>Results</w:t>
      </w:r>
    </w:p>
    <w:p w:rsidR="008D3F32" w:rsidRPr="00980F02" w:rsidRDefault="00083449" w:rsidP="00980F02">
      <w:pPr>
        <w:spacing w:line="360" w:lineRule="auto"/>
        <w:jc w:val="both"/>
      </w:pPr>
      <w:r w:rsidRPr="00980F02">
        <w:rPr>
          <w:color w:val="000000"/>
        </w:rPr>
        <w:t>Of the 190 patients studied, 154 (81.1%) were female and 36 (18.9%) were male. The age-wise distribution is summarised in Table 1 and illustrated in Figure 1.</w:t>
      </w: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8D3F32" w:rsidRPr="00980F02" w:rsidRDefault="00083449" w:rsidP="00980F02">
      <w:pPr>
        <w:spacing w:line="360" w:lineRule="auto"/>
      </w:pPr>
      <w:r w:rsidRPr="00980F02">
        <w:rPr>
          <w:b/>
          <w:bCs/>
          <w:color w:val="000000"/>
        </w:rPr>
        <w:t>Table 1: Age and Gender-wise Distribution of Study Subjects (n = 190)</w:t>
      </w:r>
    </w:p>
    <w:tbl>
      <w:tblPr>
        <w:tblW w:w="8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4"/>
        <w:gridCol w:w="1429"/>
        <w:gridCol w:w="1429"/>
        <w:gridCol w:w="1429"/>
        <w:gridCol w:w="1747"/>
      </w:tblGrid>
      <w:tr w:rsidR="008D3F32" w:rsidRPr="00980F02" w:rsidTr="00980F02">
        <w:trPr>
          <w:trHeight w:val="376"/>
          <w:tblHeader/>
        </w:trPr>
        <w:tc>
          <w:tcPr>
            <w:tcW w:w="2064" w:type="dxa"/>
            <w:shd w:val="clear" w:color="auto" w:fill="E8E8E8"/>
            <w:vAlign w:val="center"/>
          </w:tcPr>
          <w:p w:rsidR="008D3F32" w:rsidRPr="00980F02" w:rsidRDefault="00083449" w:rsidP="00980F02">
            <w:pPr>
              <w:spacing w:line="360" w:lineRule="auto"/>
              <w:jc w:val="center"/>
            </w:pPr>
            <w:r w:rsidRPr="00980F02">
              <w:rPr>
                <w:b/>
                <w:bCs/>
                <w:color w:val="000000"/>
              </w:rPr>
              <w:t>Age Group (years)</w:t>
            </w:r>
          </w:p>
        </w:tc>
        <w:tc>
          <w:tcPr>
            <w:tcW w:w="1429" w:type="dxa"/>
            <w:shd w:val="clear" w:color="auto" w:fill="E8E8E8"/>
            <w:vAlign w:val="center"/>
          </w:tcPr>
          <w:p w:rsidR="008D3F32" w:rsidRPr="00980F02" w:rsidRDefault="00083449" w:rsidP="00980F02">
            <w:pPr>
              <w:spacing w:line="360" w:lineRule="auto"/>
              <w:jc w:val="center"/>
            </w:pPr>
            <w:r w:rsidRPr="00980F02">
              <w:rPr>
                <w:b/>
                <w:bCs/>
                <w:color w:val="000000"/>
              </w:rPr>
              <w:t>Male (n)</w:t>
            </w:r>
          </w:p>
        </w:tc>
        <w:tc>
          <w:tcPr>
            <w:tcW w:w="1429" w:type="dxa"/>
            <w:shd w:val="clear" w:color="auto" w:fill="E8E8E8"/>
            <w:vAlign w:val="center"/>
          </w:tcPr>
          <w:p w:rsidR="008D3F32" w:rsidRPr="00980F02" w:rsidRDefault="00083449" w:rsidP="00980F02">
            <w:pPr>
              <w:spacing w:line="360" w:lineRule="auto"/>
              <w:jc w:val="center"/>
            </w:pPr>
            <w:r w:rsidRPr="00980F02">
              <w:rPr>
                <w:b/>
                <w:bCs/>
                <w:color w:val="000000"/>
              </w:rPr>
              <w:t>Female (n)</w:t>
            </w:r>
          </w:p>
        </w:tc>
        <w:tc>
          <w:tcPr>
            <w:tcW w:w="1429" w:type="dxa"/>
            <w:shd w:val="clear" w:color="auto" w:fill="E8E8E8"/>
            <w:vAlign w:val="center"/>
          </w:tcPr>
          <w:p w:rsidR="008D3F32" w:rsidRPr="00980F02" w:rsidRDefault="00083449" w:rsidP="00980F02">
            <w:pPr>
              <w:spacing w:line="360" w:lineRule="auto"/>
              <w:jc w:val="center"/>
            </w:pPr>
            <w:r w:rsidRPr="00980F02">
              <w:rPr>
                <w:b/>
                <w:bCs/>
                <w:color w:val="000000"/>
              </w:rPr>
              <w:t>Total (n)</w:t>
            </w:r>
          </w:p>
        </w:tc>
        <w:tc>
          <w:tcPr>
            <w:tcW w:w="1747" w:type="dxa"/>
            <w:shd w:val="clear" w:color="auto" w:fill="E8E8E8"/>
            <w:vAlign w:val="center"/>
          </w:tcPr>
          <w:p w:rsidR="008D3F32" w:rsidRPr="00980F02" w:rsidRDefault="00083449" w:rsidP="00980F02">
            <w:pPr>
              <w:spacing w:line="360" w:lineRule="auto"/>
              <w:jc w:val="center"/>
            </w:pPr>
            <w:r w:rsidRPr="00980F02">
              <w:rPr>
                <w:b/>
                <w:bCs/>
                <w:color w:val="000000"/>
              </w:rPr>
              <w:t>Percentage (%)</w:t>
            </w:r>
          </w:p>
        </w:tc>
      </w:tr>
      <w:tr w:rsidR="008D3F32" w:rsidRPr="00980F02" w:rsidTr="00980F02">
        <w:trPr>
          <w:trHeight w:val="376"/>
        </w:trPr>
        <w:tc>
          <w:tcPr>
            <w:tcW w:w="2064" w:type="dxa"/>
            <w:vAlign w:val="center"/>
          </w:tcPr>
          <w:p w:rsidR="008D3F32" w:rsidRPr="00980F02" w:rsidRDefault="00083449" w:rsidP="00980F02">
            <w:pPr>
              <w:spacing w:line="360" w:lineRule="auto"/>
              <w:jc w:val="center"/>
            </w:pPr>
            <w:r w:rsidRPr="00980F02">
              <w:rPr>
                <w:color w:val="000000"/>
              </w:rPr>
              <w:t>20–29</w:t>
            </w:r>
          </w:p>
        </w:tc>
        <w:tc>
          <w:tcPr>
            <w:tcW w:w="1429" w:type="dxa"/>
            <w:vAlign w:val="center"/>
          </w:tcPr>
          <w:p w:rsidR="008D3F32" w:rsidRPr="00980F02" w:rsidRDefault="00083449" w:rsidP="00980F02">
            <w:pPr>
              <w:spacing w:line="360" w:lineRule="auto"/>
              <w:jc w:val="center"/>
            </w:pPr>
            <w:r w:rsidRPr="00980F02">
              <w:rPr>
                <w:color w:val="000000"/>
              </w:rPr>
              <w:t>4</w:t>
            </w:r>
          </w:p>
        </w:tc>
        <w:tc>
          <w:tcPr>
            <w:tcW w:w="1429" w:type="dxa"/>
            <w:vAlign w:val="center"/>
          </w:tcPr>
          <w:p w:rsidR="008D3F32" w:rsidRPr="00980F02" w:rsidRDefault="00083449" w:rsidP="00980F02">
            <w:pPr>
              <w:spacing w:line="360" w:lineRule="auto"/>
              <w:jc w:val="center"/>
            </w:pPr>
            <w:r w:rsidRPr="00980F02">
              <w:rPr>
                <w:color w:val="000000"/>
              </w:rPr>
              <w:t>18</w:t>
            </w:r>
          </w:p>
        </w:tc>
        <w:tc>
          <w:tcPr>
            <w:tcW w:w="1429" w:type="dxa"/>
            <w:vAlign w:val="center"/>
          </w:tcPr>
          <w:p w:rsidR="008D3F32" w:rsidRPr="00980F02" w:rsidRDefault="00083449" w:rsidP="00980F02">
            <w:pPr>
              <w:spacing w:line="360" w:lineRule="auto"/>
              <w:jc w:val="center"/>
            </w:pPr>
            <w:r w:rsidRPr="00980F02">
              <w:rPr>
                <w:color w:val="000000"/>
              </w:rPr>
              <w:t>22</w:t>
            </w:r>
          </w:p>
        </w:tc>
        <w:tc>
          <w:tcPr>
            <w:tcW w:w="1747" w:type="dxa"/>
            <w:vAlign w:val="center"/>
          </w:tcPr>
          <w:p w:rsidR="008D3F32" w:rsidRPr="00980F02" w:rsidRDefault="00083449" w:rsidP="00980F02">
            <w:pPr>
              <w:spacing w:line="360" w:lineRule="auto"/>
              <w:jc w:val="center"/>
            </w:pPr>
            <w:r w:rsidRPr="00980F02">
              <w:rPr>
                <w:color w:val="000000"/>
              </w:rPr>
              <w:t>11.6</w:t>
            </w:r>
          </w:p>
        </w:tc>
      </w:tr>
      <w:tr w:rsidR="008D3F32" w:rsidRPr="00980F02" w:rsidTr="00980F02">
        <w:trPr>
          <w:trHeight w:val="363"/>
        </w:trPr>
        <w:tc>
          <w:tcPr>
            <w:tcW w:w="2064" w:type="dxa"/>
            <w:vAlign w:val="center"/>
          </w:tcPr>
          <w:p w:rsidR="008D3F32" w:rsidRPr="00980F02" w:rsidRDefault="00083449" w:rsidP="00980F02">
            <w:pPr>
              <w:spacing w:line="360" w:lineRule="auto"/>
              <w:jc w:val="center"/>
            </w:pPr>
            <w:r w:rsidRPr="00980F02">
              <w:rPr>
                <w:color w:val="000000"/>
              </w:rPr>
              <w:t>30–39</w:t>
            </w:r>
          </w:p>
        </w:tc>
        <w:tc>
          <w:tcPr>
            <w:tcW w:w="1429" w:type="dxa"/>
            <w:vAlign w:val="center"/>
          </w:tcPr>
          <w:p w:rsidR="008D3F32" w:rsidRPr="00980F02" w:rsidRDefault="00083449" w:rsidP="00980F02">
            <w:pPr>
              <w:spacing w:line="360" w:lineRule="auto"/>
              <w:jc w:val="center"/>
            </w:pPr>
            <w:r w:rsidRPr="00980F02">
              <w:rPr>
                <w:color w:val="000000"/>
              </w:rPr>
              <w:t>8</w:t>
            </w:r>
          </w:p>
        </w:tc>
        <w:tc>
          <w:tcPr>
            <w:tcW w:w="1429" w:type="dxa"/>
            <w:vAlign w:val="center"/>
          </w:tcPr>
          <w:p w:rsidR="008D3F32" w:rsidRPr="00980F02" w:rsidRDefault="00083449" w:rsidP="00980F02">
            <w:pPr>
              <w:spacing w:line="360" w:lineRule="auto"/>
              <w:jc w:val="center"/>
            </w:pPr>
            <w:r w:rsidRPr="00980F02">
              <w:rPr>
                <w:color w:val="000000"/>
              </w:rPr>
              <w:t>38</w:t>
            </w:r>
          </w:p>
        </w:tc>
        <w:tc>
          <w:tcPr>
            <w:tcW w:w="1429" w:type="dxa"/>
            <w:vAlign w:val="center"/>
          </w:tcPr>
          <w:p w:rsidR="008D3F32" w:rsidRPr="00980F02" w:rsidRDefault="00083449" w:rsidP="00980F02">
            <w:pPr>
              <w:spacing w:line="360" w:lineRule="auto"/>
              <w:jc w:val="center"/>
            </w:pPr>
            <w:r w:rsidRPr="00980F02">
              <w:rPr>
                <w:color w:val="000000"/>
              </w:rPr>
              <w:t>46</w:t>
            </w:r>
          </w:p>
        </w:tc>
        <w:tc>
          <w:tcPr>
            <w:tcW w:w="1747" w:type="dxa"/>
            <w:vAlign w:val="center"/>
          </w:tcPr>
          <w:p w:rsidR="008D3F32" w:rsidRPr="00980F02" w:rsidRDefault="00083449" w:rsidP="00980F02">
            <w:pPr>
              <w:spacing w:line="360" w:lineRule="auto"/>
              <w:jc w:val="center"/>
            </w:pPr>
            <w:r w:rsidRPr="00980F02">
              <w:rPr>
                <w:color w:val="000000"/>
              </w:rPr>
              <w:t>24.2</w:t>
            </w:r>
          </w:p>
        </w:tc>
      </w:tr>
      <w:tr w:rsidR="008D3F32" w:rsidRPr="00980F02" w:rsidTr="00980F02">
        <w:trPr>
          <w:trHeight w:val="376"/>
        </w:trPr>
        <w:tc>
          <w:tcPr>
            <w:tcW w:w="2064" w:type="dxa"/>
            <w:vAlign w:val="center"/>
          </w:tcPr>
          <w:p w:rsidR="008D3F32" w:rsidRPr="00980F02" w:rsidRDefault="00083449" w:rsidP="00980F02">
            <w:pPr>
              <w:spacing w:line="360" w:lineRule="auto"/>
              <w:jc w:val="center"/>
            </w:pPr>
            <w:r w:rsidRPr="00980F02">
              <w:rPr>
                <w:color w:val="000000"/>
              </w:rPr>
              <w:t>40–49</w:t>
            </w:r>
          </w:p>
        </w:tc>
        <w:tc>
          <w:tcPr>
            <w:tcW w:w="1429" w:type="dxa"/>
            <w:vAlign w:val="center"/>
          </w:tcPr>
          <w:p w:rsidR="008D3F32" w:rsidRPr="00980F02" w:rsidRDefault="00083449" w:rsidP="00980F02">
            <w:pPr>
              <w:spacing w:line="360" w:lineRule="auto"/>
              <w:jc w:val="center"/>
            </w:pPr>
            <w:r w:rsidRPr="00980F02">
              <w:rPr>
                <w:color w:val="000000"/>
              </w:rPr>
              <w:t>11</w:t>
            </w:r>
          </w:p>
        </w:tc>
        <w:tc>
          <w:tcPr>
            <w:tcW w:w="1429" w:type="dxa"/>
            <w:vAlign w:val="center"/>
          </w:tcPr>
          <w:p w:rsidR="008D3F32" w:rsidRPr="00980F02" w:rsidRDefault="00083449" w:rsidP="00980F02">
            <w:pPr>
              <w:spacing w:line="360" w:lineRule="auto"/>
              <w:jc w:val="center"/>
            </w:pPr>
            <w:r w:rsidRPr="00980F02">
              <w:rPr>
                <w:color w:val="000000"/>
              </w:rPr>
              <w:t>47</w:t>
            </w:r>
          </w:p>
        </w:tc>
        <w:tc>
          <w:tcPr>
            <w:tcW w:w="1429" w:type="dxa"/>
            <w:vAlign w:val="center"/>
          </w:tcPr>
          <w:p w:rsidR="008D3F32" w:rsidRPr="00980F02" w:rsidRDefault="00083449" w:rsidP="00980F02">
            <w:pPr>
              <w:spacing w:line="360" w:lineRule="auto"/>
              <w:jc w:val="center"/>
            </w:pPr>
            <w:r w:rsidRPr="00980F02">
              <w:rPr>
                <w:color w:val="000000"/>
              </w:rPr>
              <w:t>58</w:t>
            </w:r>
          </w:p>
        </w:tc>
        <w:tc>
          <w:tcPr>
            <w:tcW w:w="1747" w:type="dxa"/>
            <w:vAlign w:val="center"/>
          </w:tcPr>
          <w:p w:rsidR="008D3F32" w:rsidRPr="00980F02" w:rsidRDefault="00083449" w:rsidP="00980F02">
            <w:pPr>
              <w:spacing w:line="360" w:lineRule="auto"/>
              <w:jc w:val="center"/>
            </w:pPr>
            <w:r w:rsidRPr="00980F02">
              <w:rPr>
                <w:color w:val="000000"/>
              </w:rPr>
              <w:t>30.5</w:t>
            </w:r>
          </w:p>
        </w:tc>
      </w:tr>
      <w:tr w:rsidR="008D3F32" w:rsidRPr="00980F02" w:rsidTr="00980F02">
        <w:trPr>
          <w:trHeight w:val="363"/>
        </w:trPr>
        <w:tc>
          <w:tcPr>
            <w:tcW w:w="2064" w:type="dxa"/>
            <w:vAlign w:val="center"/>
          </w:tcPr>
          <w:p w:rsidR="008D3F32" w:rsidRPr="00980F02" w:rsidRDefault="00083449" w:rsidP="00980F02">
            <w:pPr>
              <w:spacing w:line="360" w:lineRule="auto"/>
              <w:jc w:val="center"/>
            </w:pPr>
            <w:r w:rsidRPr="00980F02">
              <w:rPr>
                <w:color w:val="000000"/>
              </w:rPr>
              <w:t>50–59</w:t>
            </w:r>
          </w:p>
        </w:tc>
        <w:tc>
          <w:tcPr>
            <w:tcW w:w="1429" w:type="dxa"/>
            <w:vAlign w:val="center"/>
          </w:tcPr>
          <w:p w:rsidR="008D3F32" w:rsidRPr="00980F02" w:rsidRDefault="00083449" w:rsidP="00980F02">
            <w:pPr>
              <w:spacing w:line="360" w:lineRule="auto"/>
              <w:jc w:val="center"/>
            </w:pPr>
            <w:r w:rsidRPr="00980F02">
              <w:rPr>
                <w:color w:val="000000"/>
              </w:rPr>
              <w:t>8</w:t>
            </w:r>
          </w:p>
        </w:tc>
        <w:tc>
          <w:tcPr>
            <w:tcW w:w="1429" w:type="dxa"/>
            <w:vAlign w:val="center"/>
          </w:tcPr>
          <w:p w:rsidR="008D3F32" w:rsidRPr="00980F02" w:rsidRDefault="00083449" w:rsidP="00980F02">
            <w:pPr>
              <w:spacing w:line="360" w:lineRule="auto"/>
              <w:jc w:val="center"/>
            </w:pPr>
            <w:r w:rsidRPr="00980F02">
              <w:rPr>
                <w:color w:val="000000"/>
              </w:rPr>
              <w:t>34</w:t>
            </w:r>
          </w:p>
        </w:tc>
        <w:tc>
          <w:tcPr>
            <w:tcW w:w="1429" w:type="dxa"/>
            <w:vAlign w:val="center"/>
          </w:tcPr>
          <w:p w:rsidR="008D3F32" w:rsidRPr="00980F02" w:rsidRDefault="00083449" w:rsidP="00980F02">
            <w:pPr>
              <w:spacing w:line="360" w:lineRule="auto"/>
              <w:jc w:val="center"/>
            </w:pPr>
            <w:r w:rsidRPr="00980F02">
              <w:rPr>
                <w:color w:val="000000"/>
              </w:rPr>
              <w:t>42</w:t>
            </w:r>
          </w:p>
        </w:tc>
        <w:tc>
          <w:tcPr>
            <w:tcW w:w="1747" w:type="dxa"/>
            <w:vAlign w:val="center"/>
          </w:tcPr>
          <w:p w:rsidR="008D3F32" w:rsidRPr="00980F02" w:rsidRDefault="00083449" w:rsidP="00980F02">
            <w:pPr>
              <w:spacing w:line="360" w:lineRule="auto"/>
              <w:jc w:val="center"/>
            </w:pPr>
            <w:r w:rsidRPr="00980F02">
              <w:rPr>
                <w:color w:val="000000"/>
              </w:rPr>
              <w:t>22.1</w:t>
            </w:r>
          </w:p>
        </w:tc>
      </w:tr>
      <w:tr w:rsidR="008D3F32" w:rsidRPr="00980F02" w:rsidTr="00980F02">
        <w:trPr>
          <w:trHeight w:val="376"/>
        </w:trPr>
        <w:tc>
          <w:tcPr>
            <w:tcW w:w="2064" w:type="dxa"/>
            <w:vAlign w:val="center"/>
          </w:tcPr>
          <w:p w:rsidR="008D3F32" w:rsidRPr="00980F02" w:rsidRDefault="00083449" w:rsidP="00980F02">
            <w:pPr>
              <w:spacing w:line="360" w:lineRule="auto"/>
              <w:jc w:val="center"/>
            </w:pPr>
            <w:r w:rsidRPr="00980F02">
              <w:rPr>
                <w:color w:val="000000"/>
              </w:rPr>
              <w:t>60 and above</w:t>
            </w:r>
          </w:p>
        </w:tc>
        <w:tc>
          <w:tcPr>
            <w:tcW w:w="1429" w:type="dxa"/>
            <w:vAlign w:val="center"/>
          </w:tcPr>
          <w:p w:rsidR="008D3F32" w:rsidRPr="00980F02" w:rsidRDefault="00083449" w:rsidP="00980F02">
            <w:pPr>
              <w:spacing w:line="360" w:lineRule="auto"/>
              <w:jc w:val="center"/>
            </w:pPr>
            <w:r w:rsidRPr="00980F02">
              <w:rPr>
                <w:color w:val="000000"/>
              </w:rPr>
              <w:t>5</w:t>
            </w:r>
          </w:p>
        </w:tc>
        <w:tc>
          <w:tcPr>
            <w:tcW w:w="1429" w:type="dxa"/>
            <w:vAlign w:val="center"/>
          </w:tcPr>
          <w:p w:rsidR="008D3F32" w:rsidRPr="00980F02" w:rsidRDefault="00083449" w:rsidP="00980F02">
            <w:pPr>
              <w:spacing w:line="360" w:lineRule="auto"/>
              <w:jc w:val="center"/>
            </w:pPr>
            <w:r w:rsidRPr="00980F02">
              <w:rPr>
                <w:color w:val="000000"/>
              </w:rPr>
              <w:t>17</w:t>
            </w:r>
          </w:p>
        </w:tc>
        <w:tc>
          <w:tcPr>
            <w:tcW w:w="1429" w:type="dxa"/>
            <w:vAlign w:val="center"/>
          </w:tcPr>
          <w:p w:rsidR="008D3F32" w:rsidRPr="00980F02" w:rsidRDefault="00083449" w:rsidP="00980F02">
            <w:pPr>
              <w:spacing w:line="360" w:lineRule="auto"/>
              <w:jc w:val="center"/>
            </w:pPr>
            <w:r w:rsidRPr="00980F02">
              <w:rPr>
                <w:color w:val="000000"/>
              </w:rPr>
              <w:t>22</w:t>
            </w:r>
          </w:p>
        </w:tc>
        <w:tc>
          <w:tcPr>
            <w:tcW w:w="1747" w:type="dxa"/>
            <w:vAlign w:val="center"/>
          </w:tcPr>
          <w:p w:rsidR="008D3F32" w:rsidRPr="00980F02" w:rsidRDefault="00083449" w:rsidP="00980F02">
            <w:pPr>
              <w:spacing w:line="360" w:lineRule="auto"/>
              <w:jc w:val="center"/>
            </w:pPr>
            <w:r w:rsidRPr="00980F02">
              <w:rPr>
                <w:color w:val="000000"/>
              </w:rPr>
              <w:t>11.6</w:t>
            </w:r>
          </w:p>
        </w:tc>
      </w:tr>
      <w:tr w:rsidR="008D3F32" w:rsidRPr="00980F02" w:rsidTr="00980F02">
        <w:trPr>
          <w:trHeight w:val="376"/>
        </w:trPr>
        <w:tc>
          <w:tcPr>
            <w:tcW w:w="2064" w:type="dxa"/>
            <w:vAlign w:val="center"/>
          </w:tcPr>
          <w:p w:rsidR="008D3F32" w:rsidRPr="00980F02" w:rsidRDefault="00083449" w:rsidP="00980F02">
            <w:pPr>
              <w:spacing w:line="360" w:lineRule="auto"/>
              <w:jc w:val="center"/>
            </w:pPr>
            <w:r w:rsidRPr="00980F02">
              <w:rPr>
                <w:color w:val="000000"/>
              </w:rPr>
              <w:t>Total</w:t>
            </w:r>
          </w:p>
        </w:tc>
        <w:tc>
          <w:tcPr>
            <w:tcW w:w="1429" w:type="dxa"/>
            <w:vAlign w:val="center"/>
          </w:tcPr>
          <w:p w:rsidR="008D3F32" w:rsidRPr="00980F02" w:rsidRDefault="00083449" w:rsidP="00980F02">
            <w:pPr>
              <w:spacing w:line="360" w:lineRule="auto"/>
              <w:jc w:val="center"/>
            </w:pPr>
            <w:r w:rsidRPr="00980F02">
              <w:rPr>
                <w:color w:val="000000"/>
              </w:rPr>
              <w:t>36</w:t>
            </w:r>
          </w:p>
        </w:tc>
        <w:tc>
          <w:tcPr>
            <w:tcW w:w="1429" w:type="dxa"/>
            <w:vAlign w:val="center"/>
          </w:tcPr>
          <w:p w:rsidR="008D3F32" w:rsidRPr="00980F02" w:rsidRDefault="00083449" w:rsidP="00980F02">
            <w:pPr>
              <w:spacing w:line="360" w:lineRule="auto"/>
              <w:jc w:val="center"/>
            </w:pPr>
            <w:r w:rsidRPr="00980F02">
              <w:rPr>
                <w:color w:val="000000"/>
              </w:rPr>
              <w:t>154</w:t>
            </w:r>
          </w:p>
        </w:tc>
        <w:tc>
          <w:tcPr>
            <w:tcW w:w="1429" w:type="dxa"/>
            <w:vAlign w:val="center"/>
          </w:tcPr>
          <w:p w:rsidR="008D3F32" w:rsidRPr="00980F02" w:rsidRDefault="00083449" w:rsidP="00980F02">
            <w:pPr>
              <w:spacing w:line="360" w:lineRule="auto"/>
              <w:jc w:val="center"/>
            </w:pPr>
            <w:r w:rsidRPr="00980F02">
              <w:rPr>
                <w:color w:val="000000"/>
              </w:rPr>
              <w:t>190</w:t>
            </w:r>
          </w:p>
        </w:tc>
        <w:tc>
          <w:tcPr>
            <w:tcW w:w="1747" w:type="dxa"/>
            <w:vAlign w:val="center"/>
          </w:tcPr>
          <w:p w:rsidR="008D3F32" w:rsidRPr="00980F02" w:rsidRDefault="00083449" w:rsidP="00980F02">
            <w:pPr>
              <w:spacing w:line="360" w:lineRule="auto"/>
              <w:jc w:val="center"/>
            </w:pPr>
            <w:r w:rsidRPr="00980F02">
              <w:rPr>
                <w:color w:val="000000"/>
              </w:rPr>
              <w:t>100.0</w:t>
            </w:r>
          </w:p>
        </w:tc>
      </w:tr>
    </w:tbl>
    <w:p w:rsidR="008D3F32" w:rsidRPr="00980F02" w:rsidRDefault="008D3F32" w:rsidP="00980F02">
      <w:pPr>
        <w:spacing w:line="360" w:lineRule="auto"/>
        <w:jc w:val="both"/>
      </w:pPr>
    </w:p>
    <w:p w:rsidR="008D3F32" w:rsidRPr="00980F02" w:rsidRDefault="00083449" w:rsidP="00980F02">
      <w:pPr>
        <w:spacing w:line="360" w:lineRule="auto"/>
        <w:jc w:val="both"/>
      </w:pPr>
      <w:r w:rsidRPr="00980F02">
        <w:rPr>
          <w:noProof/>
          <w:lang w:val="en-IN" w:eastAsia="en-IN"/>
        </w:rPr>
        <w:drawing>
          <wp:inline distT="0" distB="0" distL="0" distR="0" wp14:anchorId="5727B8AE" wp14:editId="29E4D5B0">
            <wp:extent cx="3599935" cy="2316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3599935" cy="2316480"/>
                    </a:xfrm>
                    <a:prstGeom prst="rect">
                      <a:avLst/>
                    </a:prstGeom>
                  </pic:spPr>
                </pic:pic>
              </a:graphicData>
            </a:graphic>
          </wp:inline>
        </w:drawing>
      </w:r>
    </w:p>
    <w:p w:rsidR="008D3F32" w:rsidRPr="00980F02" w:rsidRDefault="00083449" w:rsidP="00980F02">
      <w:pPr>
        <w:spacing w:line="360" w:lineRule="auto"/>
        <w:jc w:val="both"/>
      </w:pPr>
      <w:r w:rsidRPr="00980F02">
        <w:rPr>
          <w:color w:val="000000"/>
        </w:rPr>
        <w:t>FNAC confirmed malignancy in 34 of 190 nodules (17.9%), with the remainder classified as benign (Table 2, Figure 2).</w:t>
      </w:r>
    </w:p>
    <w:p w:rsidR="008D3F32" w:rsidRPr="00980F02" w:rsidRDefault="00083449" w:rsidP="00980F02">
      <w:pPr>
        <w:spacing w:line="360" w:lineRule="auto"/>
        <w:jc w:val="both"/>
      </w:pPr>
      <w:r w:rsidRPr="00980F02">
        <w:rPr>
          <w:b/>
          <w:bCs/>
          <w:color w:val="000000"/>
        </w:rPr>
        <w:t>Table 2: Cytological Diagnosis on FNAC</w:t>
      </w:r>
    </w:p>
    <w:tbl>
      <w:tblPr>
        <w:tblW w:w="7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5"/>
        <w:gridCol w:w="1731"/>
        <w:gridCol w:w="1731"/>
      </w:tblGrid>
      <w:tr w:rsidR="008D3F32" w:rsidRPr="00980F02" w:rsidTr="00980F02">
        <w:trPr>
          <w:trHeight w:val="373"/>
          <w:tblHeader/>
        </w:trPr>
        <w:tc>
          <w:tcPr>
            <w:tcW w:w="4215" w:type="dxa"/>
            <w:shd w:val="clear" w:color="auto" w:fill="E8E8E8"/>
            <w:vAlign w:val="center"/>
          </w:tcPr>
          <w:p w:rsidR="008D3F32" w:rsidRPr="00980F02" w:rsidRDefault="00083449" w:rsidP="00980F02">
            <w:pPr>
              <w:spacing w:line="360" w:lineRule="auto"/>
              <w:jc w:val="center"/>
            </w:pPr>
            <w:r w:rsidRPr="00980F02">
              <w:rPr>
                <w:b/>
                <w:bCs/>
                <w:color w:val="000000"/>
              </w:rPr>
              <w:t>Cytological Diagnosis (FNAC)</w:t>
            </w:r>
          </w:p>
        </w:tc>
        <w:tc>
          <w:tcPr>
            <w:tcW w:w="1731" w:type="dxa"/>
            <w:shd w:val="clear" w:color="auto" w:fill="E8E8E8"/>
            <w:vAlign w:val="center"/>
          </w:tcPr>
          <w:p w:rsidR="008D3F32" w:rsidRPr="00980F02" w:rsidRDefault="00083449" w:rsidP="00980F02">
            <w:pPr>
              <w:spacing w:line="360" w:lineRule="auto"/>
              <w:jc w:val="center"/>
            </w:pPr>
            <w:r w:rsidRPr="00980F02">
              <w:rPr>
                <w:b/>
                <w:bCs/>
                <w:color w:val="000000"/>
              </w:rPr>
              <w:t>n</w:t>
            </w:r>
          </w:p>
        </w:tc>
        <w:tc>
          <w:tcPr>
            <w:tcW w:w="1731" w:type="dxa"/>
            <w:shd w:val="clear" w:color="auto" w:fill="E8E8E8"/>
            <w:vAlign w:val="center"/>
          </w:tcPr>
          <w:p w:rsidR="008D3F32" w:rsidRPr="00980F02" w:rsidRDefault="00083449" w:rsidP="00980F02">
            <w:pPr>
              <w:spacing w:line="360" w:lineRule="auto"/>
              <w:jc w:val="center"/>
            </w:pPr>
            <w:r w:rsidRPr="00980F02">
              <w:rPr>
                <w:b/>
                <w:bCs/>
                <w:color w:val="000000"/>
              </w:rPr>
              <w:t>Percentage (%)</w:t>
            </w:r>
          </w:p>
        </w:tc>
      </w:tr>
      <w:tr w:rsidR="008D3F32" w:rsidRPr="00980F02" w:rsidTr="00980F02">
        <w:trPr>
          <w:trHeight w:val="386"/>
        </w:trPr>
        <w:tc>
          <w:tcPr>
            <w:tcW w:w="4215" w:type="dxa"/>
            <w:vAlign w:val="center"/>
          </w:tcPr>
          <w:p w:rsidR="008D3F32" w:rsidRPr="00980F02" w:rsidRDefault="00083449" w:rsidP="00980F02">
            <w:pPr>
              <w:spacing w:line="360" w:lineRule="auto"/>
              <w:jc w:val="center"/>
            </w:pPr>
            <w:r w:rsidRPr="00980F02">
              <w:rPr>
                <w:color w:val="000000"/>
              </w:rPr>
              <w:t>Benign</w:t>
            </w:r>
          </w:p>
        </w:tc>
        <w:tc>
          <w:tcPr>
            <w:tcW w:w="1731" w:type="dxa"/>
            <w:vAlign w:val="center"/>
          </w:tcPr>
          <w:p w:rsidR="008D3F32" w:rsidRPr="00980F02" w:rsidRDefault="00083449" w:rsidP="00980F02">
            <w:pPr>
              <w:spacing w:line="360" w:lineRule="auto"/>
              <w:jc w:val="center"/>
            </w:pPr>
            <w:r w:rsidRPr="00980F02">
              <w:rPr>
                <w:color w:val="000000"/>
              </w:rPr>
              <w:t>156</w:t>
            </w:r>
          </w:p>
        </w:tc>
        <w:tc>
          <w:tcPr>
            <w:tcW w:w="1731" w:type="dxa"/>
            <w:vAlign w:val="center"/>
          </w:tcPr>
          <w:p w:rsidR="008D3F32" w:rsidRPr="00980F02" w:rsidRDefault="00083449" w:rsidP="00980F02">
            <w:pPr>
              <w:spacing w:line="360" w:lineRule="auto"/>
              <w:jc w:val="center"/>
            </w:pPr>
            <w:r w:rsidRPr="00980F02">
              <w:rPr>
                <w:color w:val="000000"/>
              </w:rPr>
              <w:t>82.1</w:t>
            </w:r>
          </w:p>
        </w:tc>
      </w:tr>
      <w:tr w:rsidR="008D3F32" w:rsidRPr="00980F02" w:rsidTr="00980F02">
        <w:trPr>
          <w:trHeight w:val="386"/>
        </w:trPr>
        <w:tc>
          <w:tcPr>
            <w:tcW w:w="4215" w:type="dxa"/>
            <w:vAlign w:val="center"/>
          </w:tcPr>
          <w:p w:rsidR="008D3F32" w:rsidRPr="00980F02" w:rsidRDefault="00083449" w:rsidP="00980F02">
            <w:pPr>
              <w:spacing w:line="360" w:lineRule="auto"/>
              <w:jc w:val="center"/>
            </w:pPr>
            <w:r w:rsidRPr="00980F02">
              <w:rPr>
                <w:color w:val="000000"/>
              </w:rPr>
              <w:t>Malignant</w:t>
            </w:r>
          </w:p>
        </w:tc>
        <w:tc>
          <w:tcPr>
            <w:tcW w:w="1731" w:type="dxa"/>
            <w:vAlign w:val="center"/>
          </w:tcPr>
          <w:p w:rsidR="008D3F32" w:rsidRPr="00980F02" w:rsidRDefault="00083449" w:rsidP="00980F02">
            <w:pPr>
              <w:spacing w:line="360" w:lineRule="auto"/>
              <w:jc w:val="center"/>
            </w:pPr>
            <w:r w:rsidRPr="00980F02">
              <w:rPr>
                <w:color w:val="000000"/>
              </w:rPr>
              <w:t>34</w:t>
            </w:r>
          </w:p>
        </w:tc>
        <w:tc>
          <w:tcPr>
            <w:tcW w:w="1731" w:type="dxa"/>
            <w:vAlign w:val="center"/>
          </w:tcPr>
          <w:p w:rsidR="008D3F32" w:rsidRPr="00980F02" w:rsidRDefault="00083449" w:rsidP="00980F02">
            <w:pPr>
              <w:spacing w:line="360" w:lineRule="auto"/>
              <w:jc w:val="center"/>
            </w:pPr>
            <w:r w:rsidRPr="00980F02">
              <w:rPr>
                <w:color w:val="000000"/>
              </w:rPr>
              <w:t>17.9</w:t>
            </w:r>
          </w:p>
        </w:tc>
      </w:tr>
      <w:tr w:rsidR="008D3F32" w:rsidRPr="00980F02" w:rsidTr="00980F02">
        <w:trPr>
          <w:trHeight w:val="386"/>
        </w:trPr>
        <w:tc>
          <w:tcPr>
            <w:tcW w:w="4215" w:type="dxa"/>
            <w:vAlign w:val="center"/>
          </w:tcPr>
          <w:p w:rsidR="008D3F32" w:rsidRPr="00980F02" w:rsidRDefault="00083449" w:rsidP="00980F02">
            <w:pPr>
              <w:spacing w:line="360" w:lineRule="auto"/>
              <w:jc w:val="center"/>
            </w:pPr>
            <w:r w:rsidRPr="00980F02">
              <w:rPr>
                <w:color w:val="000000"/>
              </w:rPr>
              <w:t>Total</w:t>
            </w:r>
          </w:p>
        </w:tc>
        <w:tc>
          <w:tcPr>
            <w:tcW w:w="1731" w:type="dxa"/>
            <w:vAlign w:val="center"/>
          </w:tcPr>
          <w:p w:rsidR="008D3F32" w:rsidRPr="00980F02" w:rsidRDefault="00083449" w:rsidP="00980F02">
            <w:pPr>
              <w:spacing w:line="360" w:lineRule="auto"/>
              <w:jc w:val="center"/>
            </w:pPr>
            <w:r w:rsidRPr="00980F02">
              <w:rPr>
                <w:color w:val="000000"/>
              </w:rPr>
              <w:t>190</w:t>
            </w:r>
          </w:p>
        </w:tc>
        <w:tc>
          <w:tcPr>
            <w:tcW w:w="1731" w:type="dxa"/>
            <w:vAlign w:val="center"/>
          </w:tcPr>
          <w:p w:rsidR="008D3F32" w:rsidRPr="00980F02" w:rsidRDefault="00083449" w:rsidP="00980F02">
            <w:pPr>
              <w:spacing w:line="360" w:lineRule="auto"/>
              <w:jc w:val="center"/>
            </w:pPr>
            <w:r w:rsidRPr="00980F02">
              <w:rPr>
                <w:color w:val="000000"/>
              </w:rPr>
              <w:t>100.0</w:t>
            </w:r>
          </w:p>
        </w:tc>
      </w:tr>
    </w:tbl>
    <w:p w:rsidR="008D3F32" w:rsidRPr="00980F02" w:rsidRDefault="008D3F32" w:rsidP="00980F02">
      <w:pPr>
        <w:spacing w:line="360" w:lineRule="auto"/>
        <w:jc w:val="both"/>
      </w:pPr>
    </w:p>
    <w:p w:rsidR="008D3F32" w:rsidRPr="00980F02" w:rsidRDefault="00083449" w:rsidP="00980F02">
      <w:pPr>
        <w:spacing w:line="360" w:lineRule="auto"/>
        <w:jc w:val="both"/>
      </w:pPr>
      <w:r w:rsidRPr="00980F02">
        <w:rPr>
          <w:noProof/>
          <w:lang w:val="en-IN" w:eastAsia="en-IN"/>
        </w:rPr>
        <w:drawing>
          <wp:inline distT="0" distB="0" distL="0" distR="0" wp14:anchorId="4AE678AF" wp14:editId="06B0B0D0">
            <wp:extent cx="2840182" cy="2186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2840182" cy="2186940"/>
                    </a:xfrm>
                    <a:prstGeom prst="rect">
                      <a:avLst/>
                    </a:prstGeom>
                  </pic:spPr>
                </pic:pic>
              </a:graphicData>
            </a:graphic>
          </wp:inline>
        </w:drawing>
      </w:r>
    </w:p>
    <w:p w:rsidR="008D3F32" w:rsidRPr="00980F02" w:rsidRDefault="00083449" w:rsidP="00980F02">
      <w:pPr>
        <w:spacing w:line="360" w:lineRule="auto"/>
        <w:jc w:val="both"/>
      </w:pPr>
      <w:r w:rsidRPr="00980F02">
        <w:rPr>
          <w:color w:val="000000"/>
        </w:rPr>
        <w:t>The 2×2 contingency table comparing USG diagnosis with FNAC findings is presented in Table 3, with corresponding diagnostic accuracy parameters in Table 4.</w:t>
      </w:r>
    </w:p>
    <w:p w:rsidR="008D3F32" w:rsidRPr="00980F02" w:rsidRDefault="00083449" w:rsidP="00980F02">
      <w:pPr>
        <w:spacing w:line="360" w:lineRule="auto"/>
        <w:jc w:val="both"/>
      </w:pPr>
      <w:r w:rsidRPr="00980F02">
        <w:rPr>
          <w:b/>
          <w:bCs/>
          <w:color w:val="000000"/>
        </w:rPr>
        <w:t>Table 3: USG Findings Compared with FNAC Diagnosis (2×2 Contingency Table)</w:t>
      </w:r>
    </w:p>
    <w:tbl>
      <w:tblPr>
        <w:tblW w:w="7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1"/>
        <w:gridCol w:w="1902"/>
        <w:gridCol w:w="1902"/>
        <w:gridCol w:w="1317"/>
      </w:tblGrid>
      <w:tr w:rsidR="008D3F32" w:rsidRPr="00980F02" w:rsidTr="00980F02">
        <w:trPr>
          <w:trHeight w:val="377"/>
          <w:tblHeader/>
        </w:trPr>
        <w:tc>
          <w:tcPr>
            <w:tcW w:w="2341" w:type="dxa"/>
            <w:shd w:val="clear" w:color="auto" w:fill="E8E8E8"/>
            <w:vAlign w:val="center"/>
          </w:tcPr>
          <w:p w:rsidR="008D3F32" w:rsidRPr="00980F02" w:rsidRDefault="00083449" w:rsidP="00980F02">
            <w:pPr>
              <w:spacing w:line="360" w:lineRule="auto"/>
              <w:jc w:val="center"/>
            </w:pPr>
            <w:r w:rsidRPr="00980F02">
              <w:rPr>
                <w:b/>
                <w:bCs/>
                <w:color w:val="000000"/>
              </w:rPr>
              <w:t>USG Diagnosis</w:t>
            </w:r>
          </w:p>
        </w:tc>
        <w:tc>
          <w:tcPr>
            <w:tcW w:w="1902" w:type="dxa"/>
            <w:shd w:val="clear" w:color="auto" w:fill="E8E8E8"/>
            <w:vAlign w:val="center"/>
          </w:tcPr>
          <w:p w:rsidR="008D3F32" w:rsidRPr="00980F02" w:rsidRDefault="00083449" w:rsidP="00980F02">
            <w:pPr>
              <w:spacing w:line="360" w:lineRule="auto"/>
              <w:jc w:val="center"/>
            </w:pPr>
            <w:r w:rsidRPr="00980F02">
              <w:rPr>
                <w:b/>
                <w:bCs/>
                <w:color w:val="000000"/>
              </w:rPr>
              <w:t>FNAC Malignant</w:t>
            </w:r>
          </w:p>
        </w:tc>
        <w:tc>
          <w:tcPr>
            <w:tcW w:w="1902" w:type="dxa"/>
            <w:shd w:val="clear" w:color="auto" w:fill="E8E8E8"/>
            <w:vAlign w:val="center"/>
          </w:tcPr>
          <w:p w:rsidR="008D3F32" w:rsidRPr="00980F02" w:rsidRDefault="00083449" w:rsidP="00980F02">
            <w:pPr>
              <w:spacing w:line="360" w:lineRule="auto"/>
              <w:jc w:val="center"/>
            </w:pPr>
            <w:r w:rsidRPr="00980F02">
              <w:rPr>
                <w:b/>
                <w:bCs/>
                <w:color w:val="000000"/>
              </w:rPr>
              <w:t>FNAC Benign</w:t>
            </w:r>
          </w:p>
        </w:tc>
        <w:tc>
          <w:tcPr>
            <w:tcW w:w="1317" w:type="dxa"/>
            <w:shd w:val="clear" w:color="auto" w:fill="E8E8E8"/>
            <w:vAlign w:val="center"/>
          </w:tcPr>
          <w:p w:rsidR="008D3F32" w:rsidRPr="00980F02" w:rsidRDefault="00083449" w:rsidP="00980F02">
            <w:pPr>
              <w:spacing w:line="360" w:lineRule="auto"/>
              <w:jc w:val="center"/>
            </w:pPr>
            <w:r w:rsidRPr="00980F02">
              <w:rPr>
                <w:b/>
                <w:bCs/>
                <w:color w:val="000000"/>
              </w:rPr>
              <w:t>Total</w:t>
            </w:r>
          </w:p>
        </w:tc>
      </w:tr>
      <w:tr w:rsidR="008D3F32" w:rsidRPr="00980F02" w:rsidTr="00980F02">
        <w:trPr>
          <w:trHeight w:val="364"/>
        </w:trPr>
        <w:tc>
          <w:tcPr>
            <w:tcW w:w="2341" w:type="dxa"/>
            <w:vAlign w:val="center"/>
          </w:tcPr>
          <w:p w:rsidR="008D3F32" w:rsidRPr="00980F02" w:rsidRDefault="00083449" w:rsidP="00980F02">
            <w:pPr>
              <w:spacing w:line="360" w:lineRule="auto"/>
              <w:jc w:val="center"/>
            </w:pPr>
            <w:r w:rsidRPr="00980F02">
              <w:rPr>
                <w:color w:val="000000"/>
              </w:rPr>
              <w:t>USG Suspicious</w:t>
            </w:r>
          </w:p>
        </w:tc>
        <w:tc>
          <w:tcPr>
            <w:tcW w:w="1902" w:type="dxa"/>
            <w:vAlign w:val="center"/>
          </w:tcPr>
          <w:p w:rsidR="008D3F32" w:rsidRPr="00980F02" w:rsidRDefault="00083449" w:rsidP="00980F02">
            <w:pPr>
              <w:spacing w:line="360" w:lineRule="auto"/>
              <w:jc w:val="center"/>
            </w:pPr>
            <w:r w:rsidRPr="00980F02">
              <w:rPr>
                <w:color w:val="000000"/>
              </w:rPr>
              <w:t>29 (TP)</w:t>
            </w:r>
          </w:p>
        </w:tc>
        <w:tc>
          <w:tcPr>
            <w:tcW w:w="1902" w:type="dxa"/>
            <w:vAlign w:val="center"/>
          </w:tcPr>
          <w:p w:rsidR="008D3F32" w:rsidRPr="00980F02" w:rsidRDefault="00083449" w:rsidP="00980F02">
            <w:pPr>
              <w:spacing w:line="360" w:lineRule="auto"/>
              <w:jc w:val="center"/>
            </w:pPr>
            <w:r w:rsidRPr="00980F02">
              <w:rPr>
                <w:color w:val="000000"/>
              </w:rPr>
              <w:t>19 (FP)</w:t>
            </w:r>
          </w:p>
        </w:tc>
        <w:tc>
          <w:tcPr>
            <w:tcW w:w="1317" w:type="dxa"/>
            <w:vAlign w:val="center"/>
          </w:tcPr>
          <w:p w:rsidR="008D3F32" w:rsidRPr="00980F02" w:rsidRDefault="00083449" w:rsidP="00980F02">
            <w:pPr>
              <w:spacing w:line="360" w:lineRule="auto"/>
              <w:jc w:val="center"/>
            </w:pPr>
            <w:r w:rsidRPr="00980F02">
              <w:rPr>
                <w:color w:val="000000"/>
              </w:rPr>
              <w:t>48</w:t>
            </w:r>
          </w:p>
        </w:tc>
      </w:tr>
      <w:tr w:rsidR="008D3F32" w:rsidRPr="00980F02" w:rsidTr="00980F02">
        <w:trPr>
          <w:trHeight w:val="377"/>
        </w:trPr>
        <w:tc>
          <w:tcPr>
            <w:tcW w:w="2341" w:type="dxa"/>
            <w:vAlign w:val="center"/>
          </w:tcPr>
          <w:p w:rsidR="008D3F32" w:rsidRPr="00980F02" w:rsidRDefault="00083449" w:rsidP="00980F02">
            <w:pPr>
              <w:spacing w:line="360" w:lineRule="auto"/>
              <w:jc w:val="center"/>
            </w:pPr>
            <w:r w:rsidRPr="00980F02">
              <w:rPr>
                <w:color w:val="000000"/>
              </w:rPr>
              <w:t>USG Benign-appearing</w:t>
            </w:r>
          </w:p>
        </w:tc>
        <w:tc>
          <w:tcPr>
            <w:tcW w:w="1902" w:type="dxa"/>
            <w:vAlign w:val="center"/>
          </w:tcPr>
          <w:p w:rsidR="008D3F32" w:rsidRPr="00980F02" w:rsidRDefault="00083449" w:rsidP="00980F02">
            <w:pPr>
              <w:spacing w:line="360" w:lineRule="auto"/>
              <w:jc w:val="center"/>
            </w:pPr>
            <w:r w:rsidRPr="00980F02">
              <w:rPr>
                <w:color w:val="000000"/>
              </w:rPr>
              <w:t>5 (FN)</w:t>
            </w:r>
          </w:p>
        </w:tc>
        <w:tc>
          <w:tcPr>
            <w:tcW w:w="1902" w:type="dxa"/>
            <w:vAlign w:val="center"/>
          </w:tcPr>
          <w:p w:rsidR="008D3F32" w:rsidRPr="00980F02" w:rsidRDefault="00083449" w:rsidP="00980F02">
            <w:pPr>
              <w:spacing w:line="360" w:lineRule="auto"/>
              <w:jc w:val="center"/>
            </w:pPr>
            <w:r w:rsidRPr="00980F02">
              <w:rPr>
                <w:color w:val="000000"/>
              </w:rPr>
              <w:t>137 (TN)</w:t>
            </w:r>
          </w:p>
        </w:tc>
        <w:tc>
          <w:tcPr>
            <w:tcW w:w="1317" w:type="dxa"/>
            <w:vAlign w:val="center"/>
          </w:tcPr>
          <w:p w:rsidR="008D3F32" w:rsidRPr="00980F02" w:rsidRDefault="00083449" w:rsidP="00980F02">
            <w:pPr>
              <w:spacing w:line="360" w:lineRule="auto"/>
              <w:jc w:val="center"/>
            </w:pPr>
            <w:r w:rsidRPr="00980F02">
              <w:rPr>
                <w:color w:val="000000"/>
              </w:rPr>
              <w:t>142</w:t>
            </w:r>
          </w:p>
        </w:tc>
      </w:tr>
      <w:tr w:rsidR="008D3F32" w:rsidRPr="00980F02" w:rsidTr="00980F02">
        <w:trPr>
          <w:trHeight w:val="377"/>
        </w:trPr>
        <w:tc>
          <w:tcPr>
            <w:tcW w:w="2341" w:type="dxa"/>
            <w:vAlign w:val="center"/>
          </w:tcPr>
          <w:p w:rsidR="008D3F32" w:rsidRPr="00980F02" w:rsidRDefault="00083449" w:rsidP="00980F02">
            <w:pPr>
              <w:spacing w:line="360" w:lineRule="auto"/>
              <w:jc w:val="center"/>
            </w:pPr>
            <w:r w:rsidRPr="00980F02">
              <w:rPr>
                <w:color w:val="000000"/>
              </w:rPr>
              <w:t>Total</w:t>
            </w:r>
          </w:p>
        </w:tc>
        <w:tc>
          <w:tcPr>
            <w:tcW w:w="1902" w:type="dxa"/>
            <w:vAlign w:val="center"/>
          </w:tcPr>
          <w:p w:rsidR="008D3F32" w:rsidRPr="00980F02" w:rsidRDefault="00083449" w:rsidP="00980F02">
            <w:pPr>
              <w:spacing w:line="360" w:lineRule="auto"/>
              <w:jc w:val="center"/>
            </w:pPr>
            <w:r w:rsidRPr="00980F02">
              <w:rPr>
                <w:color w:val="000000"/>
              </w:rPr>
              <w:t>34</w:t>
            </w:r>
          </w:p>
        </w:tc>
        <w:tc>
          <w:tcPr>
            <w:tcW w:w="1902" w:type="dxa"/>
            <w:vAlign w:val="center"/>
          </w:tcPr>
          <w:p w:rsidR="008D3F32" w:rsidRPr="00980F02" w:rsidRDefault="00083449" w:rsidP="00980F02">
            <w:pPr>
              <w:spacing w:line="360" w:lineRule="auto"/>
              <w:jc w:val="center"/>
            </w:pPr>
            <w:r w:rsidRPr="00980F02">
              <w:rPr>
                <w:color w:val="000000"/>
              </w:rPr>
              <w:t>156</w:t>
            </w:r>
          </w:p>
        </w:tc>
        <w:tc>
          <w:tcPr>
            <w:tcW w:w="1317" w:type="dxa"/>
            <w:vAlign w:val="center"/>
          </w:tcPr>
          <w:p w:rsidR="008D3F32" w:rsidRPr="00980F02" w:rsidRDefault="00083449" w:rsidP="00980F02">
            <w:pPr>
              <w:spacing w:line="360" w:lineRule="auto"/>
              <w:jc w:val="center"/>
            </w:pPr>
            <w:r w:rsidRPr="00980F02">
              <w:rPr>
                <w:color w:val="000000"/>
              </w:rPr>
              <w:t>190</w:t>
            </w:r>
          </w:p>
        </w:tc>
      </w:tr>
    </w:tbl>
    <w:p w:rsidR="008D3F32" w:rsidRPr="00980F02" w:rsidRDefault="008D3F32" w:rsidP="00980F02">
      <w:pPr>
        <w:spacing w:line="360" w:lineRule="auto"/>
        <w:jc w:val="both"/>
      </w:pPr>
    </w:p>
    <w:p w:rsidR="008D3F32" w:rsidRPr="00980F02" w:rsidRDefault="00083449" w:rsidP="00980F02">
      <w:pPr>
        <w:spacing w:line="360" w:lineRule="auto"/>
        <w:jc w:val="both"/>
      </w:pPr>
      <w:r w:rsidRPr="00980F02">
        <w:rPr>
          <w:b/>
          <w:bCs/>
          <w:color w:val="000000"/>
        </w:rPr>
        <w:t>Table 4: Diagnostic Accuracy of Ultrasonography</w:t>
      </w:r>
    </w:p>
    <w:tbl>
      <w:tblPr>
        <w:tblW w:w="7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85"/>
        <w:gridCol w:w="3640"/>
      </w:tblGrid>
      <w:tr w:rsidR="008D3F32" w:rsidRPr="00980F02" w:rsidTr="00980F02">
        <w:trPr>
          <w:trHeight w:val="364"/>
          <w:tblHeader/>
        </w:trPr>
        <w:tc>
          <w:tcPr>
            <w:tcW w:w="3785" w:type="dxa"/>
            <w:shd w:val="clear" w:color="auto" w:fill="E8E8E8"/>
            <w:vAlign w:val="center"/>
          </w:tcPr>
          <w:p w:rsidR="008D3F32" w:rsidRPr="00980F02" w:rsidRDefault="00083449" w:rsidP="00980F02">
            <w:pPr>
              <w:spacing w:line="360" w:lineRule="auto"/>
              <w:jc w:val="center"/>
            </w:pPr>
            <w:r w:rsidRPr="00980F02">
              <w:rPr>
                <w:b/>
                <w:bCs/>
                <w:color w:val="000000"/>
              </w:rPr>
              <w:t>Diagnostic Parameter</w:t>
            </w:r>
          </w:p>
        </w:tc>
        <w:tc>
          <w:tcPr>
            <w:tcW w:w="3640" w:type="dxa"/>
            <w:shd w:val="clear" w:color="auto" w:fill="E8E8E8"/>
            <w:vAlign w:val="center"/>
          </w:tcPr>
          <w:p w:rsidR="008D3F32" w:rsidRPr="00980F02" w:rsidRDefault="00083449" w:rsidP="00980F02">
            <w:pPr>
              <w:spacing w:line="360" w:lineRule="auto"/>
              <w:jc w:val="center"/>
            </w:pPr>
            <w:r w:rsidRPr="00980F02">
              <w:rPr>
                <w:b/>
                <w:bCs/>
                <w:color w:val="000000"/>
              </w:rPr>
              <w:t>Value</w:t>
            </w:r>
          </w:p>
        </w:tc>
      </w:tr>
      <w:tr w:rsidR="008D3F32" w:rsidRPr="00980F02" w:rsidTr="00980F02">
        <w:trPr>
          <w:trHeight w:val="377"/>
        </w:trPr>
        <w:tc>
          <w:tcPr>
            <w:tcW w:w="3785" w:type="dxa"/>
            <w:vAlign w:val="center"/>
          </w:tcPr>
          <w:p w:rsidR="008D3F32" w:rsidRPr="00980F02" w:rsidRDefault="00083449" w:rsidP="00980F02">
            <w:pPr>
              <w:spacing w:line="360" w:lineRule="auto"/>
              <w:jc w:val="center"/>
            </w:pPr>
            <w:r w:rsidRPr="00980F02">
              <w:rPr>
                <w:color w:val="000000"/>
              </w:rPr>
              <w:t>Sensitivity</w:t>
            </w:r>
          </w:p>
        </w:tc>
        <w:tc>
          <w:tcPr>
            <w:tcW w:w="3640" w:type="dxa"/>
            <w:vAlign w:val="center"/>
          </w:tcPr>
          <w:p w:rsidR="008D3F32" w:rsidRPr="00980F02" w:rsidRDefault="00083449" w:rsidP="00980F02">
            <w:pPr>
              <w:spacing w:line="360" w:lineRule="auto"/>
              <w:jc w:val="center"/>
            </w:pPr>
            <w:r w:rsidRPr="00980F02">
              <w:rPr>
                <w:color w:val="000000"/>
              </w:rPr>
              <w:t>85.3%</w:t>
            </w:r>
          </w:p>
        </w:tc>
      </w:tr>
      <w:tr w:rsidR="008D3F32" w:rsidRPr="00980F02" w:rsidTr="00980F02">
        <w:trPr>
          <w:trHeight w:val="377"/>
        </w:trPr>
        <w:tc>
          <w:tcPr>
            <w:tcW w:w="3785" w:type="dxa"/>
            <w:vAlign w:val="center"/>
          </w:tcPr>
          <w:p w:rsidR="008D3F32" w:rsidRPr="00980F02" w:rsidRDefault="00083449" w:rsidP="00980F02">
            <w:pPr>
              <w:spacing w:line="360" w:lineRule="auto"/>
              <w:jc w:val="center"/>
            </w:pPr>
            <w:r w:rsidRPr="00980F02">
              <w:rPr>
                <w:color w:val="000000"/>
              </w:rPr>
              <w:t>Specificity</w:t>
            </w:r>
          </w:p>
        </w:tc>
        <w:tc>
          <w:tcPr>
            <w:tcW w:w="3640" w:type="dxa"/>
            <w:vAlign w:val="center"/>
          </w:tcPr>
          <w:p w:rsidR="008D3F32" w:rsidRPr="00980F02" w:rsidRDefault="00083449" w:rsidP="00980F02">
            <w:pPr>
              <w:spacing w:line="360" w:lineRule="auto"/>
              <w:jc w:val="center"/>
            </w:pPr>
            <w:r w:rsidRPr="00980F02">
              <w:rPr>
                <w:color w:val="000000"/>
              </w:rPr>
              <w:t>87.8%</w:t>
            </w:r>
          </w:p>
        </w:tc>
      </w:tr>
      <w:tr w:rsidR="008D3F32" w:rsidRPr="00980F02" w:rsidTr="00980F02">
        <w:trPr>
          <w:trHeight w:val="364"/>
        </w:trPr>
        <w:tc>
          <w:tcPr>
            <w:tcW w:w="3785" w:type="dxa"/>
            <w:vAlign w:val="center"/>
          </w:tcPr>
          <w:p w:rsidR="008D3F32" w:rsidRPr="00980F02" w:rsidRDefault="00083449" w:rsidP="00980F02">
            <w:pPr>
              <w:spacing w:line="360" w:lineRule="auto"/>
              <w:jc w:val="center"/>
            </w:pPr>
            <w:r w:rsidRPr="00980F02">
              <w:rPr>
                <w:color w:val="000000"/>
              </w:rPr>
              <w:t>Positive Predictive Value</w:t>
            </w:r>
          </w:p>
        </w:tc>
        <w:tc>
          <w:tcPr>
            <w:tcW w:w="3640" w:type="dxa"/>
            <w:vAlign w:val="center"/>
          </w:tcPr>
          <w:p w:rsidR="008D3F32" w:rsidRPr="00980F02" w:rsidRDefault="00083449" w:rsidP="00980F02">
            <w:pPr>
              <w:spacing w:line="360" w:lineRule="auto"/>
              <w:jc w:val="center"/>
            </w:pPr>
            <w:r w:rsidRPr="00980F02">
              <w:rPr>
                <w:color w:val="000000"/>
              </w:rPr>
              <w:t>60.4%</w:t>
            </w:r>
          </w:p>
        </w:tc>
      </w:tr>
      <w:tr w:rsidR="008D3F32" w:rsidRPr="00980F02" w:rsidTr="00980F02">
        <w:trPr>
          <w:trHeight w:val="377"/>
        </w:trPr>
        <w:tc>
          <w:tcPr>
            <w:tcW w:w="3785" w:type="dxa"/>
            <w:vAlign w:val="center"/>
          </w:tcPr>
          <w:p w:rsidR="008D3F32" w:rsidRPr="00980F02" w:rsidRDefault="00083449" w:rsidP="00980F02">
            <w:pPr>
              <w:spacing w:line="360" w:lineRule="auto"/>
              <w:jc w:val="center"/>
            </w:pPr>
            <w:r w:rsidRPr="00980F02">
              <w:rPr>
                <w:color w:val="000000"/>
              </w:rPr>
              <w:t>Negative Predictive Value</w:t>
            </w:r>
          </w:p>
        </w:tc>
        <w:tc>
          <w:tcPr>
            <w:tcW w:w="3640" w:type="dxa"/>
            <w:vAlign w:val="center"/>
          </w:tcPr>
          <w:p w:rsidR="008D3F32" w:rsidRPr="00980F02" w:rsidRDefault="00083449" w:rsidP="00980F02">
            <w:pPr>
              <w:spacing w:line="360" w:lineRule="auto"/>
              <w:jc w:val="center"/>
            </w:pPr>
            <w:r w:rsidRPr="00980F02">
              <w:rPr>
                <w:color w:val="000000"/>
              </w:rPr>
              <w:t>96.5%</w:t>
            </w:r>
          </w:p>
        </w:tc>
      </w:tr>
      <w:tr w:rsidR="008D3F32" w:rsidRPr="00980F02" w:rsidTr="00980F02">
        <w:trPr>
          <w:trHeight w:val="377"/>
        </w:trPr>
        <w:tc>
          <w:tcPr>
            <w:tcW w:w="3785" w:type="dxa"/>
            <w:vAlign w:val="center"/>
          </w:tcPr>
          <w:p w:rsidR="008D3F32" w:rsidRPr="00980F02" w:rsidRDefault="00083449" w:rsidP="00980F02">
            <w:pPr>
              <w:spacing w:line="360" w:lineRule="auto"/>
              <w:jc w:val="center"/>
            </w:pPr>
            <w:r w:rsidRPr="00980F02">
              <w:rPr>
                <w:color w:val="000000"/>
              </w:rPr>
              <w:t>Diagnostic Accuracy</w:t>
            </w:r>
          </w:p>
        </w:tc>
        <w:tc>
          <w:tcPr>
            <w:tcW w:w="3640" w:type="dxa"/>
            <w:vAlign w:val="center"/>
          </w:tcPr>
          <w:p w:rsidR="008D3F32" w:rsidRPr="00980F02" w:rsidRDefault="00083449" w:rsidP="00980F02">
            <w:pPr>
              <w:spacing w:line="360" w:lineRule="auto"/>
              <w:jc w:val="center"/>
            </w:pPr>
            <w:r w:rsidRPr="00980F02">
              <w:rPr>
                <w:color w:val="000000"/>
              </w:rPr>
              <w:t>87.4%</w:t>
            </w:r>
          </w:p>
        </w:tc>
      </w:tr>
    </w:tbl>
    <w:p w:rsidR="008D3F32" w:rsidRPr="00980F02" w:rsidRDefault="008D3F32" w:rsidP="00980F02">
      <w:pPr>
        <w:spacing w:line="360" w:lineRule="auto"/>
        <w:jc w:val="both"/>
      </w:pPr>
    </w:p>
    <w:p w:rsidR="008D3F32" w:rsidRPr="00980F02" w:rsidRDefault="00083449" w:rsidP="00980F02">
      <w:pPr>
        <w:spacing w:line="360" w:lineRule="auto"/>
        <w:jc w:val="both"/>
      </w:pPr>
      <w:r w:rsidRPr="00980F02">
        <w:rPr>
          <w:noProof/>
          <w:lang w:val="en-IN" w:eastAsia="en-IN"/>
        </w:rPr>
        <w:drawing>
          <wp:inline distT="0" distB="0" distL="0" distR="0" wp14:anchorId="437BC9DE" wp14:editId="7EFC2D3A">
            <wp:extent cx="3469674" cy="2232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3469674" cy="2232660"/>
                    </a:xfrm>
                    <a:prstGeom prst="rect">
                      <a:avLst/>
                    </a:prstGeom>
                  </pic:spPr>
                </pic:pic>
              </a:graphicData>
            </a:graphic>
          </wp:inline>
        </w:drawing>
      </w:r>
    </w:p>
    <w:p w:rsidR="008D3F32" w:rsidRPr="00980F02" w:rsidRDefault="00083449" w:rsidP="00980F02">
      <w:pPr>
        <w:spacing w:line="360" w:lineRule="auto"/>
        <w:jc w:val="both"/>
      </w:pPr>
      <w:r w:rsidRPr="00980F02">
        <w:rPr>
          <w:color w:val="000000"/>
        </w:rPr>
        <w:t>USG demonstrated a sensitivity of 85.3%, specificity of 87.8%, positive predictive value of 60.4%, negative predictive value of 96.5%, and overall diagnostic accuracy of 87.4% for predicting malignancy, using FNAC as the reference standard.</w:t>
      </w:r>
    </w:p>
    <w:p w:rsidR="008D3F32" w:rsidRPr="00980F02" w:rsidRDefault="00083449" w:rsidP="00980F02">
      <w:pPr>
        <w:spacing w:line="360" w:lineRule="auto"/>
        <w:jc w:val="both"/>
      </w:pPr>
      <w:r w:rsidRPr="00980F02">
        <w:rPr>
          <w:color w:val="000000"/>
        </w:rPr>
        <w:t>Among the 34 malignant nodules, hypoechoic echo pattern was the most frequent sonographic feature (85.3%), followed by irregular margins (76.5%) and absent halo (70.6%) (Table 5, Figure 3).</w:t>
      </w: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980F02" w:rsidRDefault="00980F02" w:rsidP="00980F02">
      <w:pPr>
        <w:spacing w:line="360" w:lineRule="auto"/>
        <w:jc w:val="both"/>
        <w:rPr>
          <w:b/>
          <w:bCs/>
          <w:color w:val="000000"/>
        </w:rPr>
      </w:pPr>
    </w:p>
    <w:p w:rsidR="008D3F32" w:rsidRPr="00980F02" w:rsidRDefault="00083449" w:rsidP="00980F02">
      <w:pPr>
        <w:spacing w:line="360" w:lineRule="auto"/>
        <w:jc w:val="both"/>
      </w:pPr>
      <w:r w:rsidRPr="00980F02">
        <w:rPr>
          <w:b/>
          <w:bCs/>
          <w:color w:val="000000"/>
        </w:rPr>
        <w:t>Table 5: Sonographic Features Among Malignant Nodules (n = 34)</w:t>
      </w:r>
    </w:p>
    <w:tbl>
      <w:tblPr>
        <w:tblW w:w="7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72"/>
        <w:gridCol w:w="1590"/>
        <w:gridCol w:w="1590"/>
      </w:tblGrid>
      <w:tr w:rsidR="008D3F32" w:rsidRPr="00980F02" w:rsidTr="00980F02">
        <w:trPr>
          <w:trHeight w:val="701"/>
          <w:tblHeader/>
        </w:trPr>
        <w:tc>
          <w:tcPr>
            <w:tcW w:w="3872" w:type="dxa"/>
            <w:shd w:val="clear" w:color="auto" w:fill="E8E8E8"/>
            <w:vAlign w:val="center"/>
          </w:tcPr>
          <w:p w:rsidR="008D3F32" w:rsidRPr="00980F02" w:rsidRDefault="00083449" w:rsidP="00980F02">
            <w:pPr>
              <w:spacing w:line="360" w:lineRule="auto"/>
              <w:jc w:val="center"/>
            </w:pPr>
            <w:r w:rsidRPr="00980F02">
              <w:rPr>
                <w:b/>
                <w:bCs/>
                <w:color w:val="000000"/>
              </w:rPr>
              <w:t>Sonographic Feature</w:t>
            </w:r>
          </w:p>
        </w:tc>
        <w:tc>
          <w:tcPr>
            <w:tcW w:w="1590" w:type="dxa"/>
            <w:shd w:val="clear" w:color="auto" w:fill="E8E8E8"/>
            <w:vAlign w:val="center"/>
          </w:tcPr>
          <w:p w:rsidR="008D3F32" w:rsidRPr="00980F02" w:rsidRDefault="00083449" w:rsidP="00980F02">
            <w:pPr>
              <w:spacing w:line="360" w:lineRule="auto"/>
              <w:jc w:val="center"/>
            </w:pPr>
            <w:r w:rsidRPr="00980F02">
              <w:rPr>
                <w:b/>
                <w:bCs/>
                <w:color w:val="000000"/>
              </w:rPr>
              <w:t>n</w:t>
            </w:r>
          </w:p>
        </w:tc>
        <w:tc>
          <w:tcPr>
            <w:tcW w:w="1590" w:type="dxa"/>
            <w:shd w:val="clear" w:color="auto" w:fill="E8E8E8"/>
            <w:vAlign w:val="center"/>
          </w:tcPr>
          <w:p w:rsidR="008D3F32" w:rsidRPr="00980F02" w:rsidRDefault="00083449" w:rsidP="00980F02">
            <w:pPr>
              <w:spacing w:line="360" w:lineRule="auto"/>
              <w:jc w:val="center"/>
            </w:pPr>
            <w:r w:rsidRPr="00980F02">
              <w:rPr>
                <w:b/>
                <w:bCs/>
                <w:color w:val="000000"/>
              </w:rPr>
              <w:t>Percentage of Malignant Nodules (%)</w:t>
            </w:r>
          </w:p>
        </w:tc>
      </w:tr>
      <w:tr w:rsidR="008D3F32" w:rsidRPr="00980F02" w:rsidTr="00980F02">
        <w:trPr>
          <w:trHeight w:val="338"/>
        </w:trPr>
        <w:tc>
          <w:tcPr>
            <w:tcW w:w="3872" w:type="dxa"/>
            <w:vAlign w:val="center"/>
          </w:tcPr>
          <w:p w:rsidR="008D3F32" w:rsidRPr="00980F02" w:rsidRDefault="00083449" w:rsidP="00980F02">
            <w:pPr>
              <w:spacing w:line="360" w:lineRule="auto"/>
              <w:jc w:val="center"/>
            </w:pPr>
            <w:r w:rsidRPr="00980F02">
              <w:rPr>
                <w:color w:val="000000"/>
              </w:rPr>
              <w:t>Hypoechoic echo pattern</w:t>
            </w:r>
          </w:p>
        </w:tc>
        <w:tc>
          <w:tcPr>
            <w:tcW w:w="1590" w:type="dxa"/>
            <w:vAlign w:val="center"/>
          </w:tcPr>
          <w:p w:rsidR="008D3F32" w:rsidRPr="00980F02" w:rsidRDefault="00083449" w:rsidP="00980F02">
            <w:pPr>
              <w:spacing w:line="360" w:lineRule="auto"/>
              <w:jc w:val="center"/>
            </w:pPr>
            <w:r w:rsidRPr="00980F02">
              <w:rPr>
                <w:color w:val="000000"/>
              </w:rPr>
              <w:t>29</w:t>
            </w:r>
          </w:p>
        </w:tc>
        <w:tc>
          <w:tcPr>
            <w:tcW w:w="1590" w:type="dxa"/>
            <w:vAlign w:val="center"/>
          </w:tcPr>
          <w:p w:rsidR="008D3F32" w:rsidRPr="00980F02" w:rsidRDefault="00083449" w:rsidP="00980F02">
            <w:pPr>
              <w:spacing w:line="360" w:lineRule="auto"/>
              <w:jc w:val="center"/>
            </w:pPr>
            <w:r w:rsidRPr="00980F02">
              <w:rPr>
                <w:color w:val="000000"/>
              </w:rPr>
              <w:t>85.3</w:t>
            </w:r>
          </w:p>
        </w:tc>
      </w:tr>
      <w:tr w:rsidR="008D3F32" w:rsidRPr="00980F02" w:rsidTr="00980F02">
        <w:trPr>
          <w:trHeight w:val="351"/>
        </w:trPr>
        <w:tc>
          <w:tcPr>
            <w:tcW w:w="3872" w:type="dxa"/>
            <w:vAlign w:val="center"/>
          </w:tcPr>
          <w:p w:rsidR="008D3F32" w:rsidRPr="00980F02" w:rsidRDefault="00083449" w:rsidP="00980F02">
            <w:pPr>
              <w:spacing w:line="360" w:lineRule="auto"/>
              <w:jc w:val="center"/>
            </w:pPr>
            <w:r w:rsidRPr="00980F02">
              <w:rPr>
                <w:color w:val="000000"/>
              </w:rPr>
              <w:t>Irregular margins</w:t>
            </w:r>
          </w:p>
        </w:tc>
        <w:tc>
          <w:tcPr>
            <w:tcW w:w="1590" w:type="dxa"/>
            <w:vAlign w:val="center"/>
          </w:tcPr>
          <w:p w:rsidR="008D3F32" w:rsidRPr="00980F02" w:rsidRDefault="00083449" w:rsidP="00980F02">
            <w:pPr>
              <w:spacing w:line="360" w:lineRule="auto"/>
              <w:jc w:val="center"/>
            </w:pPr>
            <w:r w:rsidRPr="00980F02">
              <w:rPr>
                <w:color w:val="000000"/>
              </w:rPr>
              <w:t>26</w:t>
            </w:r>
          </w:p>
        </w:tc>
        <w:tc>
          <w:tcPr>
            <w:tcW w:w="1590" w:type="dxa"/>
            <w:vAlign w:val="center"/>
          </w:tcPr>
          <w:p w:rsidR="008D3F32" w:rsidRPr="00980F02" w:rsidRDefault="00083449" w:rsidP="00980F02">
            <w:pPr>
              <w:spacing w:line="360" w:lineRule="auto"/>
              <w:jc w:val="center"/>
            </w:pPr>
            <w:r w:rsidRPr="00980F02">
              <w:rPr>
                <w:color w:val="000000"/>
              </w:rPr>
              <w:t>76.5</w:t>
            </w:r>
          </w:p>
        </w:tc>
      </w:tr>
      <w:tr w:rsidR="008D3F32" w:rsidRPr="00980F02" w:rsidTr="00980F02">
        <w:trPr>
          <w:trHeight w:val="351"/>
        </w:trPr>
        <w:tc>
          <w:tcPr>
            <w:tcW w:w="3872" w:type="dxa"/>
            <w:vAlign w:val="center"/>
          </w:tcPr>
          <w:p w:rsidR="008D3F32" w:rsidRPr="00980F02" w:rsidRDefault="00083449" w:rsidP="00980F02">
            <w:pPr>
              <w:spacing w:line="360" w:lineRule="auto"/>
              <w:jc w:val="center"/>
            </w:pPr>
            <w:r w:rsidRPr="00980F02">
              <w:rPr>
                <w:color w:val="000000"/>
              </w:rPr>
              <w:t>Microcalcifications</w:t>
            </w:r>
          </w:p>
        </w:tc>
        <w:tc>
          <w:tcPr>
            <w:tcW w:w="1590" w:type="dxa"/>
            <w:vAlign w:val="center"/>
          </w:tcPr>
          <w:p w:rsidR="008D3F32" w:rsidRPr="00980F02" w:rsidRDefault="00083449" w:rsidP="00980F02">
            <w:pPr>
              <w:spacing w:line="360" w:lineRule="auto"/>
              <w:jc w:val="center"/>
            </w:pPr>
            <w:r w:rsidRPr="00980F02">
              <w:rPr>
                <w:color w:val="000000"/>
              </w:rPr>
              <w:t>22</w:t>
            </w:r>
          </w:p>
        </w:tc>
        <w:tc>
          <w:tcPr>
            <w:tcW w:w="1590" w:type="dxa"/>
            <w:vAlign w:val="center"/>
          </w:tcPr>
          <w:p w:rsidR="008D3F32" w:rsidRPr="00980F02" w:rsidRDefault="00083449" w:rsidP="00980F02">
            <w:pPr>
              <w:spacing w:line="360" w:lineRule="auto"/>
              <w:jc w:val="center"/>
            </w:pPr>
            <w:r w:rsidRPr="00980F02">
              <w:rPr>
                <w:color w:val="000000"/>
              </w:rPr>
              <w:t>64.7</w:t>
            </w:r>
          </w:p>
        </w:tc>
      </w:tr>
      <w:tr w:rsidR="008D3F32" w:rsidRPr="00980F02" w:rsidTr="00980F02">
        <w:trPr>
          <w:trHeight w:val="351"/>
        </w:trPr>
        <w:tc>
          <w:tcPr>
            <w:tcW w:w="3872" w:type="dxa"/>
            <w:vAlign w:val="center"/>
          </w:tcPr>
          <w:p w:rsidR="008D3F32" w:rsidRPr="00980F02" w:rsidRDefault="00083449" w:rsidP="00980F02">
            <w:pPr>
              <w:spacing w:line="360" w:lineRule="auto"/>
              <w:jc w:val="center"/>
            </w:pPr>
            <w:r w:rsidRPr="00980F02">
              <w:rPr>
                <w:color w:val="000000"/>
              </w:rPr>
              <w:t>Taller-than-wide shape</w:t>
            </w:r>
          </w:p>
        </w:tc>
        <w:tc>
          <w:tcPr>
            <w:tcW w:w="1590" w:type="dxa"/>
            <w:vAlign w:val="center"/>
          </w:tcPr>
          <w:p w:rsidR="008D3F32" w:rsidRPr="00980F02" w:rsidRDefault="00083449" w:rsidP="00980F02">
            <w:pPr>
              <w:spacing w:line="360" w:lineRule="auto"/>
              <w:jc w:val="center"/>
            </w:pPr>
            <w:r w:rsidRPr="00980F02">
              <w:rPr>
                <w:color w:val="000000"/>
              </w:rPr>
              <w:t>19</w:t>
            </w:r>
          </w:p>
        </w:tc>
        <w:tc>
          <w:tcPr>
            <w:tcW w:w="1590" w:type="dxa"/>
            <w:vAlign w:val="center"/>
          </w:tcPr>
          <w:p w:rsidR="008D3F32" w:rsidRPr="00980F02" w:rsidRDefault="00083449" w:rsidP="00980F02">
            <w:pPr>
              <w:spacing w:line="360" w:lineRule="auto"/>
              <w:jc w:val="center"/>
            </w:pPr>
            <w:r w:rsidRPr="00980F02">
              <w:rPr>
                <w:color w:val="000000"/>
              </w:rPr>
              <w:t>55.9</w:t>
            </w:r>
          </w:p>
        </w:tc>
      </w:tr>
      <w:tr w:rsidR="008D3F32" w:rsidRPr="00980F02" w:rsidTr="00980F02">
        <w:trPr>
          <w:trHeight w:val="363"/>
        </w:trPr>
        <w:tc>
          <w:tcPr>
            <w:tcW w:w="3872" w:type="dxa"/>
            <w:vAlign w:val="center"/>
          </w:tcPr>
          <w:p w:rsidR="008D3F32" w:rsidRPr="00980F02" w:rsidRDefault="00083449" w:rsidP="00980F02">
            <w:pPr>
              <w:spacing w:line="360" w:lineRule="auto"/>
              <w:jc w:val="both"/>
            </w:pPr>
            <w:r w:rsidRPr="00980F02">
              <w:rPr>
                <w:color w:val="000000"/>
              </w:rPr>
              <w:t>Absent halo</w:t>
            </w:r>
          </w:p>
        </w:tc>
        <w:tc>
          <w:tcPr>
            <w:tcW w:w="1590" w:type="dxa"/>
            <w:vAlign w:val="center"/>
          </w:tcPr>
          <w:p w:rsidR="008D3F32" w:rsidRPr="00980F02" w:rsidRDefault="00083449" w:rsidP="00980F02">
            <w:pPr>
              <w:spacing w:line="360" w:lineRule="auto"/>
              <w:jc w:val="both"/>
            </w:pPr>
            <w:r w:rsidRPr="00980F02">
              <w:rPr>
                <w:color w:val="000000"/>
              </w:rPr>
              <w:t>24</w:t>
            </w:r>
          </w:p>
        </w:tc>
        <w:tc>
          <w:tcPr>
            <w:tcW w:w="1590" w:type="dxa"/>
            <w:vAlign w:val="center"/>
          </w:tcPr>
          <w:p w:rsidR="008D3F32" w:rsidRPr="00980F02" w:rsidRDefault="00083449" w:rsidP="00980F02">
            <w:pPr>
              <w:spacing w:line="360" w:lineRule="auto"/>
              <w:jc w:val="both"/>
            </w:pPr>
            <w:r w:rsidRPr="00980F02">
              <w:rPr>
                <w:color w:val="000000"/>
              </w:rPr>
              <w:t>70.6</w:t>
            </w:r>
          </w:p>
        </w:tc>
      </w:tr>
    </w:tbl>
    <w:p w:rsidR="008D3F32" w:rsidRPr="00980F02" w:rsidRDefault="008D3F32" w:rsidP="00980F02">
      <w:pPr>
        <w:spacing w:line="360" w:lineRule="auto"/>
        <w:jc w:val="both"/>
      </w:pPr>
    </w:p>
    <w:p w:rsidR="008D3F32" w:rsidRPr="00980F02" w:rsidRDefault="00083449" w:rsidP="00980F02">
      <w:pPr>
        <w:spacing w:line="360" w:lineRule="auto"/>
        <w:jc w:val="both"/>
      </w:pPr>
      <w:r w:rsidRPr="00980F02">
        <w:rPr>
          <w:noProof/>
          <w:lang w:val="en-IN" w:eastAsia="en-IN"/>
        </w:rPr>
        <w:drawing>
          <wp:inline distT="0" distB="0" distL="0" distR="0" wp14:anchorId="2B5FF345" wp14:editId="1B0478CF">
            <wp:extent cx="45720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srcRect/>
                    <a:stretch>
                      <a:fillRect/>
                    </a:stretch>
                  </pic:blipFill>
                  <pic:spPr bwMode="auto">
                    <a:xfrm>
                      <a:off x="0" y="0"/>
                      <a:ext cx="4572000" cy="2781300"/>
                    </a:xfrm>
                    <a:prstGeom prst="rect">
                      <a:avLst/>
                    </a:prstGeom>
                  </pic:spPr>
                </pic:pic>
              </a:graphicData>
            </a:graphic>
          </wp:inline>
        </w:drawing>
      </w:r>
    </w:p>
    <w:p w:rsidR="008D3F32" w:rsidRPr="00980F02" w:rsidRDefault="00083449" w:rsidP="00980F02">
      <w:pPr>
        <w:spacing w:line="360" w:lineRule="auto"/>
        <w:jc w:val="both"/>
      </w:pPr>
      <w:r w:rsidRPr="00980F02">
        <w:rPr>
          <w:noProof/>
          <w:lang w:val="en-IN" w:eastAsia="en-IN"/>
        </w:rPr>
        <w:drawing>
          <wp:inline distT="0" distB="0" distL="0" distR="0" wp14:anchorId="159B4F67" wp14:editId="0241F0B9">
            <wp:extent cx="4495800" cy="23827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srcRect/>
                    <a:stretch>
                      <a:fillRect/>
                    </a:stretch>
                  </pic:blipFill>
                  <pic:spPr bwMode="auto">
                    <a:xfrm>
                      <a:off x="0" y="0"/>
                      <a:ext cx="4499196" cy="2384574"/>
                    </a:xfrm>
                    <a:prstGeom prst="rect">
                      <a:avLst/>
                    </a:prstGeom>
                  </pic:spPr>
                </pic:pic>
              </a:graphicData>
            </a:graphic>
          </wp:inline>
        </w:drawing>
      </w:r>
    </w:p>
    <w:p w:rsidR="008D3F32" w:rsidRPr="00980F02" w:rsidRDefault="00083449" w:rsidP="00980F02">
      <w:pPr>
        <w:spacing w:line="360" w:lineRule="auto"/>
        <w:jc w:val="both"/>
      </w:pPr>
      <w:r w:rsidRPr="00980F02">
        <w:rPr>
          <w:color w:val="000000"/>
        </w:rPr>
        <w:t>Figure 5: Schematic illustration of benign versus suspicious sonographic patterns in thyroid nodules.</w:t>
      </w:r>
    </w:p>
    <w:p w:rsidR="008D3F32" w:rsidRPr="00980F02" w:rsidRDefault="00083449" w:rsidP="00980F02">
      <w:pPr>
        <w:pStyle w:val="Heading1"/>
        <w:spacing w:line="360" w:lineRule="auto"/>
        <w:jc w:val="both"/>
        <w:rPr>
          <w:sz w:val="20"/>
          <w:szCs w:val="20"/>
        </w:rPr>
      </w:pPr>
      <w:r w:rsidRPr="00980F02">
        <w:rPr>
          <w:b/>
          <w:bCs/>
          <w:color w:val="000000"/>
          <w:sz w:val="20"/>
          <w:szCs w:val="20"/>
        </w:rPr>
        <w:t>Discussion</w:t>
      </w:r>
    </w:p>
    <w:p w:rsidR="008D3F32" w:rsidRPr="00980F02" w:rsidRDefault="00083449" w:rsidP="00980F02">
      <w:pPr>
        <w:spacing w:line="360" w:lineRule="auto"/>
        <w:jc w:val="both"/>
      </w:pPr>
      <w:r w:rsidRPr="00980F02">
        <w:rPr>
          <w:color w:val="000000"/>
        </w:rPr>
        <w:t>The overall diagnostic accuracy of USG observed in this study (87.4%) is consistent with the range reported in earlier foundational studies establishing sonographic criteria for malignancy risk stratification, including the work of Kim and colleagues and Papini and colleagues, both of which demonstrated good, though imperfect, discriminatory performance of individual and combined sonographic features.</w:t>
      </w:r>
      <w:r w:rsidRPr="00980F02">
        <w:rPr>
          <w:color w:val="000000"/>
          <w:vertAlign w:val="superscript"/>
        </w:rPr>
        <w:t>1,2</w:t>
      </w:r>
      <w:r w:rsidRPr="00980F02">
        <w:rPr>
          <w:color w:val="000000"/>
        </w:rPr>
        <w:t xml:space="preserve"> The high negative predictive value observed in this study (96.5%) is particularly notable and consistent with the broader literature, supporting the clinical utility of USG in confidently identifying nodules at low risk of malignancy that may be suitable for observation rather than immediate biopsy.</w:t>
      </w:r>
      <w:r w:rsidRPr="00980F02">
        <w:rPr>
          <w:color w:val="000000"/>
          <w:vertAlign w:val="superscript"/>
        </w:rPr>
        <w:t>3,4</w:t>
      </w:r>
    </w:p>
    <w:p w:rsidR="008D3F32" w:rsidRPr="00980F02" w:rsidRDefault="00083449" w:rsidP="00980F02">
      <w:pPr>
        <w:spacing w:line="360" w:lineRule="auto"/>
        <w:jc w:val="both"/>
      </w:pPr>
      <w:r w:rsidRPr="00980F02">
        <w:rPr>
          <w:color w:val="000000"/>
        </w:rPr>
        <w:t>The predominance of hypoechoic echo pattern and irregular margins among malignant nodules in this study is consistent with the sonographic feature pattern described in the multicentre study by Moon and colleagues, reinforcing these as among the most reliable individual predictors of malignancy across different study populations.</w:t>
      </w:r>
      <w:r w:rsidRPr="00980F02">
        <w:rPr>
          <w:color w:val="000000"/>
          <w:vertAlign w:val="superscript"/>
        </w:rPr>
        <w:t>4</w:t>
      </w:r>
      <w:r w:rsidRPr="00980F02">
        <w:rPr>
          <w:color w:val="000000"/>
        </w:rPr>
        <w:t xml:space="preserve"> The relatively modest positive predictive value observed in this study (60.4%), despite good sensitivity and specificity, reflects the relatively low prevalence of malignancy among thyroid nodules overall, a statistical phenomenon well recognised in the diagnostic accuracy literature and consistent with the systematic review findings of Remonti and colleagues.</w:t>
      </w:r>
      <w:r w:rsidRPr="00980F02">
        <w:rPr>
          <w:color w:val="000000"/>
          <w:vertAlign w:val="superscript"/>
        </w:rPr>
        <w:t>8</w:t>
      </w:r>
    </w:p>
    <w:p w:rsidR="008D3F32" w:rsidRPr="00980F02" w:rsidRDefault="00083449" w:rsidP="00980F02">
      <w:pPr>
        <w:spacing w:line="360" w:lineRule="auto"/>
        <w:jc w:val="both"/>
      </w:pPr>
      <w:r w:rsidRPr="00980F02">
        <w:rPr>
          <w:color w:val="000000"/>
        </w:rPr>
        <w:t>These findings collectively reinforce the value of USG as a first-line risk-stratification tool in the thyroid nodule diagnostic pathway, consistent with the management framework established by the Society of Radiologists in Ultrasound consensus conference and subsequently incorporated into major clinical practice guidelines, including those of the American Thyroid Association.</w:t>
      </w:r>
      <w:r w:rsidRPr="00980F02">
        <w:rPr>
          <w:color w:val="000000"/>
          <w:vertAlign w:val="superscript"/>
        </w:rPr>
        <w:t>3,7</w:t>
      </w:r>
      <w:r w:rsidRPr="00980F02">
        <w:rPr>
          <w:color w:val="000000"/>
        </w:rPr>
        <w:t xml:space="preserve"> The complementary combination of sonographic risk stratification with FNAC, rather than reliance on either modality in isolation, remains the recommended approach for optimising diagnostic accuracy while minimising unnecessary biopsy of low-risk nodules.</w:t>
      </w:r>
      <w:r w:rsidRPr="00980F02">
        <w:rPr>
          <w:color w:val="000000"/>
          <w:vertAlign w:val="superscript"/>
        </w:rPr>
        <w:t>6,9</w:t>
      </w:r>
    </w:p>
    <w:p w:rsidR="008D3F32" w:rsidRPr="00980F02" w:rsidRDefault="00083449" w:rsidP="00980F02">
      <w:pPr>
        <w:spacing w:line="360" w:lineRule="auto"/>
        <w:jc w:val="both"/>
      </w:pPr>
      <w:r w:rsidRPr="00980F02">
        <w:rPr>
          <w:color w:val="000000"/>
        </w:rPr>
        <w:t>It is also worth noting that no single sonographic feature in isolation achieved sufficient diagnostic accuracy to reliably confirm or exclude malignancy, consistent with the broader literature indicating that combined multi-feature assessment consistently outperforms reliance on any individual sonographic characteristic.</w:t>
      </w:r>
      <w:r w:rsidRPr="00980F02">
        <w:rPr>
          <w:color w:val="000000"/>
          <w:vertAlign w:val="superscript"/>
        </w:rPr>
        <w:t>1,4</w:t>
      </w:r>
      <w:r w:rsidRPr="00980F02">
        <w:rPr>
          <w:color w:val="000000"/>
        </w:rPr>
        <w:t xml:space="preserve"> This observation supports the incorporation of structured, multi-feature risk-stratification systems, such as the Thyroid Imaging Reporting and Data System subsequently developed by Kwak and colleagues, which formalise the combination of sonographic features into a reproducible malignancy risk category, into routine departmental reporting practice going forward.</w:t>
      </w:r>
      <w:r w:rsidRPr="00980F02">
        <w:rPr>
          <w:color w:val="000000"/>
          <w:vertAlign w:val="superscript"/>
        </w:rPr>
        <w:t>10</w:t>
      </w:r>
    </w:p>
    <w:p w:rsidR="008D3F32" w:rsidRPr="00980F02" w:rsidRDefault="00083449" w:rsidP="00980F02">
      <w:pPr>
        <w:pStyle w:val="Heading1"/>
        <w:spacing w:line="360" w:lineRule="auto"/>
        <w:jc w:val="both"/>
        <w:rPr>
          <w:sz w:val="20"/>
          <w:szCs w:val="20"/>
        </w:rPr>
      </w:pPr>
      <w:r w:rsidRPr="00980F02">
        <w:rPr>
          <w:b/>
          <w:bCs/>
          <w:color w:val="000000"/>
          <w:sz w:val="20"/>
          <w:szCs w:val="20"/>
        </w:rPr>
        <w:t>Strengths and Limitations</w:t>
      </w:r>
    </w:p>
    <w:p w:rsidR="008D3F32" w:rsidRPr="00980F02" w:rsidRDefault="00083449" w:rsidP="00980F02">
      <w:pPr>
        <w:spacing w:line="360" w:lineRule="auto"/>
        <w:jc w:val="both"/>
      </w:pPr>
      <w:r w:rsidRPr="00980F02">
        <w:rPr>
          <w:color w:val="000000"/>
        </w:rPr>
        <w:t>This study's strengths include systematic, multi-feature sonographic assessment performed by an experienced radiologist and use of a well-established cytological reference standard. Limitations include the single-centre, single-observer design, which does not allow assessment of inter-observer variability in sonographic feature interpretation; the absence of a structured, weighted risk-stratification system such as TI-RADS, which has since been developed to further standardise sonographic reporting; and the relatively small number of malignant nodules, which limits the precision of positive predictive value estimation.</w:t>
      </w:r>
    </w:p>
    <w:p w:rsidR="008D3F32" w:rsidRPr="00980F02" w:rsidRDefault="00083449" w:rsidP="00980F02">
      <w:pPr>
        <w:pStyle w:val="Heading1"/>
        <w:spacing w:line="360" w:lineRule="auto"/>
        <w:jc w:val="both"/>
        <w:rPr>
          <w:sz w:val="20"/>
          <w:szCs w:val="20"/>
        </w:rPr>
      </w:pPr>
      <w:r w:rsidRPr="00980F02">
        <w:rPr>
          <w:b/>
          <w:bCs/>
          <w:color w:val="000000"/>
          <w:sz w:val="20"/>
          <w:szCs w:val="20"/>
        </w:rPr>
        <w:t>Conclusion</w:t>
      </w:r>
    </w:p>
    <w:p w:rsidR="008D3F32" w:rsidRPr="00980F02" w:rsidRDefault="00083449" w:rsidP="00980F02">
      <w:pPr>
        <w:spacing w:line="360" w:lineRule="auto"/>
        <w:jc w:val="both"/>
      </w:pPr>
      <w:r w:rsidRPr="00980F02">
        <w:rPr>
          <w:color w:val="000000"/>
        </w:rPr>
        <w:t>High-resolution ultrasonography offers good diagnostic accuracy, and particularly high negative predictive value, for the pre-cytological risk stratification of thyroid nodules. These findings support the continued central role of USG as a first-line, complementary tool alongside FNAC in the diagnostic evaluation of thyroid nodules.</w:t>
      </w:r>
    </w:p>
    <w:p w:rsidR="008D3F32" w:rsidRPr="00980F02" w:rsidRDefault="00083449" w:rsidP="00980F02">
      <w:pPr>
        <w:pStyle w:val="Heading1"/>
        <w:spacing w:line="360" w:lineRule="auto"/>
        <w:jc w:val="both"/>
        <w:rPr>
          <w:sz w:val="20"/>
          <w:szCs w:val="20"/>
        </w:rPr>
      </w:pPr>
      <w:r w:rsidRPr="00980F02">
        <w:rPr>
          <w:b/>
          <w:bCs/>
          <w:color w:val="000000"/>
          <w:sz w:val="20"/>
          <w:szCs w:val="20"/>
        </w:rPr>
        <w:t>References</w:t>
      </w:r>
    </w:p>
    <w:p w:rsidR="008D3F32" w:rsidRPr="00980F02" w:rsidRDefault="00083449" w:rsidP="00980F02">
      <w:pPr>
        <w:spacing w:line="360" w:lineRule="auto"/>
        <w:ind w:left="400" w:hanging="400"/>
        <w:jc w:val="both"/>
      </w:pPr>
      <w:r w:rsidRPr="00980F02">
        <w:rPr>
          <w:color w:val="000000"/>
        </w:rPr>
        <w:t>1. Kim EK, Park CS, Chung WY, et al. New sonographic criteria for recommending fine-needle aspiration biopsy of nonpalpable solid nodules of the thyroid. AJR Am J Roentgenol. 2002;178(3):687-91.</w:t>
      </w:r>
    </w:p>
    <w:p w:rsidR="008D3F32" w:rsidRPr="00980F02" w:rsidRDefault="00083449" w:rsidP="00980F02">
      <w:pPr>
        <w:spacing w:line="360" w:lineRule="auto"/>
        <w:ind w:left="400" w:hanging="400"/>
        <w:jc w:val="both"/>
      </w:pPr>
      <w:r w:rsidRPr="00980F02">
        <w:rPr>
          <w:color w:val="000000"/>
        </w:rPr>
        <w:t>2. Papini E, Guglielmi R, Bianchini A, et al. Risk of malignancy in nonpalpable thyroid nodules: predictive value of ultrasound and color-Doppler features. J Clin Endocrinol Metab. 2002;87(5):1941-6.</w:t>
      </w:r>
    </w:p>
    <w:p w:rsidR="008D3F32" w:rsidRPr="00980F02" w:rsidRDefault="00083449" w:rsidP="00980F02">
      <w:pPr>
        <w:spacing w:line="360" w:lineRule="auto"/>
        <w:ind w:left="400" w:hanging="400"/>
        <w:jc w:val="both"/>
      </w:pPr>
      <w:r w:rsidRPr="00980F02">
        <w:rPr>
          <w:color w:val="000000"/>
        </w:rPr>
        <w:t>3. Frates MC, Benson CB, Charboneau JW, et al. Management of thyroid nodules detected at US: Society of Radiologists in Ultrasound consensus conference statement. Radiology. 2005;237(3):794-800.</w:t>
      </w:r>
    </w:p>
    <w:p w:rsidR="008D3F32" w:rsidRPr="00980F02" w:rsidRDefault="00083449" w:rsidP="00980F02">
      <w:pPr>
        <w:spacing w:line="360" w:lineRule="auto"/>
        <w:ind w:left="400" w:hanging="400"/>
        <w:jc w:val="both"/>
      </w:pPr>
      <w:r w:rsidRPr="00980F02">
        <w:rPr>
          <w:color w:val="000000"/>
        </w:rPr>
        <w:t>4. Moon WJ, Jung SL, Lee JH, et al. Benign and malignant thyroid nodules: US differentiation--multicenter retrospective study. Radiology. 2008;247(3):762-70.</w:t>
      </w:r>
    </w:p>
    <w:p w:rsidR="008D3F32" w:rsidRPr="00980F02" w:rsidRDefault="00083449" w:rsidP="00980F02">
      <w:pPr>
        <w:spacing w:line="360" w:lineRule="auto"/>
        <w:ind w:left="400" w:hanging="400"/>
        <w:jc w:val="both"/>
      </w:pPr>
      <w:r w:rsidRPr="00980F02">
        <w:rPr>
          <w:color w:val="000000"/>
        </w:rPr>
        <w:t>5. Hegedus L. Clinical practice. The thyroid nodule. N Engl J Med. 2004;351(17):1764-71.</w:t>
      </w:r>
    </w:p>
    <w:p w:rsidR="008D3F32" w:rsidRPr="00980F02" w:rsidRDefault="00083449" w:rsidP="00980F02">
      <w:pPr>
        <w:spacing w:line="360" w:lineRule="auto"/>
        <w:ind w:left="400" w:hanging="400"/>
        <w:jc w:val="both"/>
      </w:pPr>
      <w:r w:rsidRPr="00980F02">
        <w:rPr>
          <w:color w:val="000000"/>
        </w:rPr>
        <w:t>6. Gharib H, Papini E. Thyroid nodules: clinical importance, assessment, and treatment. Endocrinol Metab Clin North Am. 2007;36(3):707-35.</w:t>
      </w:r>
    </w:p>
    <w:p w:rsidR="008D3F32" w:rsidRPr="00980F02" w:rsidRDefault="00083449" w:rsidP="00980F02">
      <w:pPr>
        <w:spacing w:line="360" w:lineRule="auto"/>
        <w:ind w:left="400" w:hanging="400"/>
        <w:jc w:val="both"/>
      </w:pPr>
      <w:r w:rsidRPr="00980F02">
        <w:rPr>
          <w:color w:val="000000"/>
        </w:rPr>
        <w:t>7. Cooper DS, Doherty GM, Haugen BR, et al. Revised American Thyroid Association management guidelines for patients with thyroid nodules and differentiated thyroid cancer. Thyroid. 2009;19(11):1167-214.</w:t>
      </w:r>
    </w:p>
    <w:p w:rsidR="008D3F32" w:rsidRPr="00980F02" w:rsidRDefault="00083449" w:rsidP="00980F02">
      <w:pPr>
        <w:spacing w:line="360" w:lineRule="auto"/>
        <w:ind w:left="400" w:hanging="400"/>
        <w:jc w:val="both"/>
      </w:pPr>
      <w:r w:rsidRPr="00980F02">
        <w:rPr>
          <w:color w:val="000000"/>
        </w:rPr>
        <w:t>8. Remonti LR, Kramer CK, Leitao CB, Pinto LC, Gross JL. Thyroid ultrasound features and risk of carcinoma: a systematic review and meta-analysis of observational studies. Thyroid. 2015;25(5):538-50.</w:t>
      </w:r>
    </w:p>
    <w:p w:rsidR="008D3F32" w:rsidRPr="00980F02" w:rsidRDefault="00083449" w:rsidP="00980F02">
      <w:pPr>
        <w:spacing w:line="360" w:lineRule="auto"/>
        <w:ind w:left="400" w:hanging="400"/>
        <w:jc w:val="both"/>
      </w:pPr>
      <w:r w:rsidRPr="00980F02">
        <w:rPr>
          <w:color w:val="000000"/>
        </w:rPr>
        <w:t>9. Gharib H, Papini E, Paschke R, et al. American Association of Clinical Endocrinologists, Associazione Medici Endocrinologi, and European Thyroid Association medical guidelines for clinical practice for the diagnosis and management of thyroid nodules. Endocr Pract. 2010;16(Suppl 1):1-43.</w:t>
      </w:r>
    </w:p>
    <w:p w:rsidR="008D3F32" w:rsidRPr="00980F02" w:rsidRDefault="00083449" w:rsidP="00980F02">
      <w:pPr>
        <w:spacing w:line="360" w:lineRule="auto"/>
        <w:ind w:left="400" w:hanging="400"/>
        <w:jc w:val="both"/>
      </w:pPr>
      <w:r w:rsidRPr="00980F02">
        <w:rPr>
          <w:color w:val="000000"/>
        </w:rPr>
        <w:t>10. Kwak JY, Han KH, Yoon JH, et al. Thyroid imaging reporting and data system for US features of nodules: a step in establishing better stratification of cancer risk. Radiology. 2011;260(3):892-9.</w:t>
      </w:r>
    </w:p>
    <w:p w:rsidR="008D3F32" w:rsidRPr="00980F02" w:rsidRDefault="00083449" w:rsidP="00980F02">
      <w:pPr>
        <w:spacing w:line="360" w:lineRule="auto"/>
        <w:ind w:left="400" w:hanging="400"/>
        <w:jc w:val="both"/>
      </w:pPr>
      <w:r w:rsidRPr="00980F02">
        <w:rPr>
          <w:color w:val="000000"/>
        </w:rPr>
        <w:t>11. Tan GH, Gharib H. Thyroid incidentalomas: management approaches to nonpalpable nodules discovered incidentally on thyroid imaging. Ann Intern Med. 1997;126(3):226-31.</w:t>
      </w:r>
    </w:p>
    <w:sectPr w:rsidR="008D3F32" w:rsidRPr="00980F02" w:rsidSect="00980F02">
      <w:headerReference w:type="default" r:id="rId13"/>
      <w:footerReference w:type="default" r:id="rId14"/>
      <w:pgSz w:w="11906" w:h="16838"/>
      <w:pgMar w:top="1440" w:right="1440" w:bottom="1440" w:left="1440" w:header="708" w:footer="708" w:gutter="0"/>
      <w:pgNumType w:start="5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958" w:rsidRDefault="00333958" w:rsidP="00980F02">
      <w:r>
        <w:separator/>
      </w:r>
    </w:p>
  </w:endnote>
  <w:endnote w:type="continuationSeparator" w:id="0">
    <w:p w:rsidR="00333958" w:rsidRDefault="00333958" w:rsidP="0098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36137"/>
      <w:docPartObj>
        <w:docPartGallery w:val="Page Numbers (Bottom of Page)"/>
        <w:docPartUnique/>
      </w:docPartObj>
    </w:sdtPr>
    <w:sdtEndPr>
      <w:rPr>
        <w:noProof/>
      </w:rPr>
    </w:sdtEndPr>
    <w:sdtContent>
      <w:p w:rsidR="00980F02" w:rsidRDefault="00980F02">
        <w:pPr>
          <w:pStyle w:val="Footer"/>
          <w:jc w:val="right"/>
        </w:pPr>
        <w:r>
          <w:fldChar w:fldCharType="begin"/>
        </w:r>
        <w:r>
          <w:instrText xml:space="preserve"> PAGE   \* MERGEFORMAT </w:instrText>
        </w:r>
        <w:r>
          <w:fldChar w:fldCharType="separate"/>
        </w:r>
        <w:r w:rsidR="00333958">
          <w:rPr>
            <w:noProof/>
          </w:rPr>
          <w:t>564</w:t>
        </w:r>
        <w:r>
          <w:rPr>
            <w:noProof/>
          </w:rPr>
          <w:fldChar w:fldCharType="end"/>
        </w:r>
      </w:p>
    </w:sdtContent>
  </w:sdt>
  <w:p w:rsidR="00980F02" w:rsidRPr="00980F02" w:rsidRDefault="00980F02" w:rsidP="00980F02">
    <w:pPr>
      <w:tabs>
        <w:tab w:val="center" w:pos="4513"/>
        <w:tab w:val="right" w:pos="9026"/>
      </w:tabs>
      <w:jc w:val="center"/>
      <w:rPr>
        <w:rFonts w:ascii="Calibri" w:eastAsia="Calibri" w:hAnsi="Calibri"/>
        <w:sz w:val="22"/>
        <w:szCs w:val="22"/>
      </w:rPr>
    </w:pPr>
    <w:r w:rsidRPr="00980F02">
      <w:rPr>
        <w:rFonts w:ascii="Calibri" w:eastAsia="Calibri" w:hAnsi="Calibri"/>
        <w:sz w:val="22"/>
        <w:szCs w:val="22"/>
      </w:rPr>
      <w:t>www.ijbamr.com   P ISSN: 2250-284X , E ISSN : 2250-2858</w:t>
    </w:r>
  </w:p>
  <w:p w:rsidR="00980F02" w:rsidRDefault="00980F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958" w:rsidRDefault="00333958" w:rsidP="00980F02">
      <w:r>
        <w:separator/>
      </w:r>
    </w:p>
  </w:footnote>
  <w:footnote w:type="continuationSeparator" w:id="0">
    <w:p w:rsidR="00333958" w:rsidRDefault="00333958" w:rsidP="00980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F02" w:rsidRPr="00980F02" w:rsidRDefault="00980F02" w:rsidP="00980F02">
    <w:pPr>
      <w:tabs>
        <w:tab w:val="center" w:pos="4513"/>
        <w:tab w:val="right" w:pos="9026"/>
      </w:tabs>
      <w:jc w:val="center"/>
      <w:rPr>
        <w:rFonts w:eastAsia="Calibri"/>
        <w:sz w:val="22"/>
        <w:szCs w:val="22"/>
      </w:rPr>
    </w:pPr>
    <w:r w:rsidRPr="00980F02">
      <w:rPr>
        <w:rFonts w:eastAsia="Calibri"/>
        <w:sz w:val="22"/>
        <w:szCs w:val="22"/>
      </w:rPr>
      <w:t xml:space="preserve">Indian Journal of Basic and Applied Medical Research; June 2018: Vol.-7, Issue- 3, P. </w:t>
    </w:r>
    <w:r>
      <w:rPr>
        <w:rFonts w:eastAsia="Calibri"/>
        <w:sz w:val="22"/>
        <w:szCs w:val="22"/>
      </w:rPr>
      <w:t>564-570</w:t>
    </w:r>
  </w:p>
  <w:p w:rsidR="00980F02" w:rsidRDefault="00980F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1360A"/>
    <w:multiLevelType w:val="hybridMultilevel"/>
    <w:tmpl w:val="2D7C6974"/>
    <w:lvl w:ilvl="0" w:tplc="169E01F0">
      <w:start w:val="1"/>
      <w:numFmt w:val="bullet"/>
      <w:lvlText w:val="●"/>
      <w:lvlJc w:val="left"/>
      <w:pPr>
        <w:ind w:left="720" w:hanging="360"/>
      </w:pPr>
    </w:lvl>
    <w:lvl w:ilvl="1" w:tplc="C39230A0">
      <w:start w:val="1"/>
      <w:numFmt w:val="bullet"/>
      <w:lvlText w:val="○"/>
      <w:lvlJc w:val="left"/>
      <w:pPr>
        <w:ind w:left="1440" w:hanging="360"/>
      </w:pPr>
    </w:lvl>
    <w:lvl w:ilvl="2" w:tplc="F61C1D00">
      <w:start w:val="1"/>
      <w:numFmt w:val="bullet"/>
      <w:lvlText w:val="■"/>
      <w:lvlJc w:val="left"/>
      <w:pPr>
        <w:ind w:left="2160" w:hanging="360"/>
      </w:pPr>
    </w:lvl>
    <w:lvl w:ilvl="3" w:tplc="DF58D1B0">
      <w:start w:val="1"/>
      <w:numFmt w:val="bullet"/>
      <w:lvlText w:val="●"/>
      <w:lvlJc w:val="left"/>
      <w:pPr>
        <w:ind w:left="2880" w:hanging="360"/>
      </w:pPr>
    </w:lvl>
    <w:lvl w:ilvl="4" w:tplc="E8D014B0">
      <w:start w:val="1"/>
      <w:numFmt w:val="bullet"/>
      <w:lvlText w:val="○"/>
      <w:lvlJc w:val="left"/>
      <w:pPr>
        <w:ind w:left="3600" w:hanging="360"/>
      </w:pPr>
    </w:lvl>
    <w:lvl w:ilvl="5" w:tplc="0D002370">
      <w:start w:val="1"/>
      <w:numFmt w:val="bullet"/>
      <w:lvlText w:val="■"/>
      <w:lvlJc w:val="left"/>
      <w:pPr>
        <w:ind w:left="4320" w:hanging="360"/>
      </w:pPr>
    </w:lvl>
    <w:lvl w:ilvl="6" w:tplc="CA5A54AC">
      <w:start w:val="1"/>
      <w:numFmt w:val="bullet"/>
      <w:lvlText w:val="●"/>
      <w:lvlJc w:val="left"/>
      <w:pPr>
        <w:ind w:left="5040" w:hanging="360"/>
      </w:pPr>
    </w:lvl>
    <w:lvl w:ilvl="7" w:tplc="AF1897D0">
      <w:start w:val="1"/>
      <w:numFmt w:val="bullet"/>
      <w:lvlText w:val="●"/>
      <w:lvlJc w:val="left"/>
      <w:pPr>
        <w:ind w:left="5760" w:hanging="360"/>
      </w:pPr>
    </w:lvl>
    <w:lvl w:ilvl="8" w:tplc="B36CC95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D3F32"/>
    <w:rsid w:val="00083449"/>
    <w:rsid w:val="001813E7"/>
    <w:rsid w:val="00333958"/>
    <w:rsid w:val="00471B23"/>
    <w:rsid w:val="00847286"/>
    <w:rsid w:val="008D3F32"/>
    <w:rsid w:val="00980F02"/>
    <w:rsid w:val="00F87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3E7"/>
  </w:style>
  <w:style w:type="paragraph" w:styleId="Heading1">
    <w:name w:val="heading 1"/>
    <w:qFormat/>
    <w:rsid w:val="008D3F32"/>
    <w:pPr>
      <w:outlineLvl w:val="0"/>
    </w:pPr>
    <w:rPr>
      <w:color w:val="2E74B5"/>
      <w:sz w:val="32"/>
      <w:szCs w:val="32"/>
    </w:rPr>
  </w:style>
  <w:style w:type="paragraph" w:styleId="Heading2">
    <w:name w:val="heading 2"/>
    <w:qFormat/>
    <w:rsid w:val="008D3F32"/>
    <w:pPr>
      <w:outlineLvl w:val="1"/>
    </w:pPr>
    <w:rPr>
      <w:color w:val="2E74B5"/>
      <w:sz w:val="26"/>
      <w:szCs w:val="26"/>
    </w:rPr>
  </w:style>
  <w:style w:type="paragraph" w:styleId="Heading3">
    <w:name w:val="heading 3"/>
    <w:qFormat/>
    <w:rsid w:val="008D3F32"/>
    <w:pPr>
      <w:outlineLvl w:val="2"/>
    </w:pPr>
    <w:rPr>
      <w:color w:val="1F4D78"/>
      <w:sz w:val="24"/>
      <w:szCs w:val="24"/>
    </w:rPr>
  </w:style>
  <w:style w:type="paragraph" w:styleId="Heading4">
    <w:name w:val="heading 4"/>
    <w:qFormat/>
    <w:rsid w:val="008D3F32"/>
    <w:pPr>
      <w:outlineLvl w:val="3"/>
    </w:pPr>
    <w:rPr>
      <w:i/>
      <w:iCs/>
      <w:color w:val="2E74B5"/>
    </w:rPr>
  </w:style>
  <w:style w:type="paragraph" w:styleId="Heading5">
    <w:name w:val="heading 5"/>
    <w:qFormat/>
    <w:rsid w:val="008D3F32"/>
    <w:pPr>
      <w:outlineLvl w:val="4"/>
    </w:pPr>
    <w:rPr>
      <w:color w:val="2E74B5"/>
    </w:rPr>
  </w:style>
  <w:style w:type="paragraph" w:styleId="Heading6">
    <w:name w:val="heading 6"/>
    <w:qFormat/>
    <w:rsid w:val="008D3F32"/>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8D3F32"/>
    <w:rPr>
      <w:sz w:val="56"/>
      <w:szCs w:val="56"/>
    </w:rPr>
  </w:style>
  <w:style w:type="paragraph" w:customStyle="1" w:styleId="Strong1">
    <w:name w:val="Strong1"/>
    <w:qFormat/>
    <w:rsid w:val="008D3F32"/>
    <w:rPr>
      <w:b/>
      <w:bCs/>
    </w:rPr>
  </w:style>
  <w:style w:type="paragraph" w:styleId="ListParagraph">
    <w:name w:val="List Paragraph"/>
    <w:qFormat/>
    <w:rsid w:val="008D3F32"/>
  </w:style>
  <w:style w:type="character" w:styleId="Hyperlink">
    <w:name w:val="Hyperlink"/>
    <w:uiPriority w:val="99"/>
    <w:unhideWhenUsed/>
    <w:rsid w:val="008D3F32"/>
    <w:rPr>
      <w:color w:val="0563C1"/>
      <w:u w:val="single"/>
    </w:rPr>
  </w:style>
  <w:style w:type="character" w:styleId="FootnoteReference">
    <w:name w:val="footnote reference"/>
    <w:uiPriority w:val="99"/>
    <w:semiHidden/>
    <w:unhideWhenUsed/>
    <w:rsid w:val="008D3F32"/>
    <w:rPr>
      <w:vertAlign w:val="superscript"/>
    </w:rPr>
  </w:style>
  <w:style w:type="paragraph" w:styleId="FootnoteText">
    <w:name w:val="footnote text"/>
    <w:link w:val="FootnoteTextChar"/>
    <w:uiPriority w:val="99"/>
    <w:semiHidden/>
    <w:unhideWhenUsed/>
    <w:rsid w:val="008D3F32"/>
  </w:style>
  <w:style w:type="character" w:customStyle="1" w:styleId="FootnoteTextChar">
    <w:name w:val="Footnote Text Char"/>
    <w:link w:val="FootnoteText"/>
    <w:uiPriority w:val="99"/>
    <w:semiHidden/>
    <w:unhideWhenUsed/>
    <w:rsid w:val="008D3F32"/>
    <w:rPr>
      <w:sz w:val="20"/>
      <w:szCs w:val="20"/>
    </w:rPr>
  </w:style>
  <w:style w:type="character" w:styleId="EndnoteReference">
    <w:name w:val="endnote reference"/>
    <w:uiPriority w:val="99"/>
    <w:semiHidden/>
    <w:unhideWhenUsed/>
    <w:rsid w:val="008D3F32"/>
    <w:rPr>
      <w:vertAlign w:val="superscript"/>
    </w:rPr>
  </w:style>
  <w:style w:type="paragraph" w:styleId="EndnoteText">
    <w:name w:val="endnote text"/>
    <w:link w:val="EndnoteTextChar"/>
    <w:uiPriority w:val="99"/>
    <w:semiHidden/>
    <w:unhideWhenUsed/>
    <w:rsid w:val="008D3F32"/>
  </w:style>
  <w:style w:type="character" w:customStyle="1" w:styleId="EndnoteTextChar">
    <w:name w:val="Endnote Text Char"/>
    <w:link w:val="EndnoteText"/>
    <w:uiPriority w:val="99"/>
    <w:semiHidden/>
    <w:unhideWhenUsed/>
    <w:rsid w:val="008D3F32"/>
    <w:rPr>
      <w:sz w:val="20"/>
      <w:szCs w:val="20"/>
    </w:rPr>
  </w:style>
  <w:style w:type="paragraph" w:styleId="BalloonText">
    <w:name w:val="Balloon Text"/>
    <w:basedOn w:val="Normal"/>
    <w:link w:val="BalloonTextChar"/>
    <w:uiPriority w:val="99"/>
    <w:semiHidden/>
    <w:unhideWhenUsed/>
    <w:rsid w:val="00980F02"/>
    <w:rPr>
      <w:rFonts w:ascii="Tahoma" w:hAnsi="Tahoma" w:cs="Tahoma"/>
      <w:sz w:val="16"/>
      <w:szCs w:val="16"/>
    </w:rPr>
  </w:style>
  <w:style w:type="character" w:customStyle="1" w:styleId="BalloonTextChar">
    <w:name w:val="Balloon Text Char"/>
    <w:basedOn w:val="DefaultParagraphFont"/>
    <w:link w:val="BalloonText"/>
    <w:uiPriority w:val="99"/>
    <w:semiHidden/>
    <w:rsid w:val="00980F02"/>
    <w:rPr>
      <w:rFonts w:ascii="Tahoma" w:hAnsi="Tahoma" w:cs="Tahoma"/>
      <w:sz w:val="16"/>
      <w:szCs w:val="16"/>
    </w:rPr>
  </w:style>
  <w:style w:type="paragraph" w:styleId="Header">
    <w:name w:val="header"/>
    <w:basedOn w:val="Normal"/>
    <w:link w:val="HeaderChar"/>
    <w:uiPriority w:val="99"/>
    <w:unhideWhenUsed/>
    <w:rsid w:val="00980F02"/>
    <w:pPr>
      <w:tabs>
        <w:tab w:val="center" w:pos="4513"/>
        <w:tab w:val="right" w:pos="9026"/>
      </w:tabs>
    </w:pPr>
  </w:style>
  <w:style w:type="character" w:customStyle="1" w:styleId="HeaderChar">
    <w:name w:val="Header Char"/>
    <w:basedOn w:val="DefaultParagraphFont"/>
    <w:link w:val="Header"/>
    <w:uiPriority w:val="99"/>
    <w:rsid w:val="00980F02"/>
  </w:style>
  <w:style w:type="paragraph" w:styleId="Footer">
    <w:name w:val="footer"/>
    <w:basedOn w:val="Normal"/>
    <w:link w:val="FooterChar"/>
    <w:uiPriority w:val="99"/>
    <w:unhideWhenUsed/>
    <w:rsid w:val="00980F02"/>
    <w:pPr>
      <w:tabs>
        <w:tab w:val="center" w:pos="4513"/>
        <w:tab w:val="right" w:pos="9026"/>
      </w:tabs>
    </w:pPr>
  </w:style>
  <w:style w:type="character" w:customStyle="1" w:styleId="FooterChar">
    <w:name w:val="Footer Char"/>
    <w:basedOn w:val="DefaultParagraphFont"/>
    <w:link w:val="Footer"/>
    <w:uiPriority w:val="99"/>
    <w:rsid w:val="00980F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29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2046</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5</cp:revision>
  <cp:lastPrinted>2026-07-24T04:47:00Z</cp:lastPrinted>
  <dcterms:created xsi:type="dcterms:W3CDTF">2026-07-23T05:16:00Z</dcterms:created>
  <dcterms:modified xsi:type="dcterms:W3CDTF">2026-07-24T04:47:00Z</dcterms:modified>
</cp:coreProperties>
</file>