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F9C" w:rsidRDefault="00262F9C">
      <w:pPr>
        <w:rPr>
          <w:lang w:val="en-US"/>
        </w:rPr>
      </w:pPr>
    </w:p>
    <w:p w:rsidR="00BC39E4" w:rsidRDefault="00BC39E4" w:rsidP="00BC39E4">
      <w:pPr>
        <w:pStyle w:val="Default"/>
      </w:pPr>
    </w:p>
    <w:p w:rsidR="00BC39E4" w:rsidRDefault="00BC39E4" w:rsidP="00BC39E4">
      <w:pPr>
        <w:pStyle w:val="Default"/>
        <w:rPr>
          <w:sz w:val="20"/>
          <w:szCs w:val="20"/>
        </w:rPr>
      </w:pPr>
      <w:r>
        <w:t xml:space="preserve"> </w:t>
      </w:r>
      <w:r>
        <w:rPr>
          <w:sz w:val="20"/>
          <w:szCs w:val="20"/>
        </w:rPr>
        <w:t xml:space="preserve">Indian Journal of Basic &amp; Applied Medical Research; September 2013: Issue-8, Vol.-2, P. 1236-1243 </w:t>
      </w:r>
    </w:p>
    <w:p w:rsidR="00BC39E4" w:rsidRDefault="00BC39E4" w:rsidP="00BC39E4">
      <w:pPr>
        <w:pStyle w:val="Default"/>
        <w:rPr>
          <w:color w:val="auto"/>
        </w:rPr>
      </w:pPr>
    </w:p>
    <w:p w:rsidR="00BC39E4" w:rsidRDefault="00BC39E4" w:rsidP="00BC39E4">
      <w:pPr>
        <w:pStyle w:val="Default"/>
        <w:rPr>
          <w:color w:val="auto"/>
        </w:rPr>
      </w:pPr>
    </w:p>
    <w:p w:rsidR="00BC39E4" w:rsidRDefault="00BC39E4" w:rsidP="00BC39E4">
      <w:pPr>
        <w:pStyle w:val="Default"/>
        <w:rPr>
          <w:rFonts w:ascii="Cambria" w:hAnsi="Cambria" w:cs="Cambria"/>
          <w:b/>
          <w:bCs/>
          <w:color w:val="auto"/>
          <w:sz w:val="23"/>
          <w:szCs w:val="23"/>
        </w:rPr>
      </w:pPr>
      <w:r>
        <w:rPr>
          <w:color w:val="auto"/>
        </w:rPr>
        <w:t xml:space="preserve"> </w:t>
      </w:r>
      <w:r>
        <w:rPr>
          <w:rFonts w:ascii="Cambria" w:hAnsi="Cambria" w:cs="Cambria"/>
          <w:b/>
          <w:bCs/>
          <w:color w:val="auto"/>
          <w:sz w:val="23"/>
          <w:szCs w:val="23"/>
        </w:rPr>
        <w:t xml:space="preserve">Original article: </w:t>
      </w:r>
    </w:p>
    <w:p w:rsidR="00BC39E4" w:rsidRDefault="00BC39E4" w:rsidP="00BC39E4">
      <w:pPr>
        <w:pStyle w:val="Default"/>
        <w:rPr>
          <w:rFonts w:ascii="Cambria" w:hAnsi="Cambria" w:cs="Cambria"/>
          <w:b/>
          <w:bCs/>
          <w:color w:val="1F487C"/>
          <w:sz w:val="28"/>
          <w:szCs w:val="28"/>
        </w:rPr>
      </w:pPr>
      <w:proofErr w:type="spellStart"/>
      <w:r>
        <w:rPr>
          <w:rFonts w:ascii="Cambria" w:hAnsi="Cambria" w:cs="Cambria"/>
          <w:b/>
          <w:bCs/>
          <w:color w:val="1F487C"/>
          <w:sz w:val="28"/>
          <w:szCs w:val="28"/>
        </w:rPr>
        <w:t>Procalcitonin</w:t>
      </w:r>
      <w:proofErr w:type="spellEnd"/>
      <w:r>
        <w:rPr>
          <w:rFonts w:ascii="Cambria" w:hAnsi="Cambria" w:cs="Cambria"/>
          <w:b/>
          <w:bCs/>
          <w:color w:val="1F487C"/>
          <w:sz w:val="28"/>
          <w:szCs w:val="28"/>
        </w:rPr>
        <w:t xml:space="preserve"> versus </w:t>
      </w:r>
      <w:proofErr w:type="gramStart"/>
      <w:r>
        <w:rPr>
          <w:rFonts w:ascii="Cambria" w:hAnsi="Cambria" w:cs="Cambria"/>
          <w:b/>
          <w:bCs/>
          <w:color w:val="1F487C"/>
          <w:sz w:val="28"/>
          <w:szCs w:val="28"/>
        </w:rPr>
        <w:t>C-Reactive Protein</w:t>
      </w:r>
      <w:proofErr w:type="gramEnd"/>
      <w:r>
        <w:rPr>
          <w:rFonts w:ascii="Cambria" w:hAnsi="Cambria" w:cs="Cambria"/>
          <w:b/>
          <w:bCs/>
          <w:color w:val="1F487C"/>
          <w:sz w:val="28"/>
          <w:szCs w:val="28"/>
        </w:rPr>
        <w:t xml:space="preserve">: Evaluating Their Role in Sepsis Severity and Prognosis </w:t>
      </w:r>
    </w:p>
    <w:p w:rsidR="00BC39E4" w:rsidRDefault="00BC39E4" w:rsidP="00BC39E4">
      <w:pPr>
        <w:pStyle w:val="Default"/>
        <w:rPr>
          <w:sz w:val="28"/>
          <w:szCs w:val="28"/>
        </w:rPr>
      </w:pPr>
    </w:p>
    <w:p w:rsidR="00BC39E4" w:rsidRDefault="00BC39E4" w:rsidP="00BC39E4">
      <w:pPr>
        <w:pStyle w:val="Default"/>
        <w:rPr>
          <w:rFonts w:ascii="Cambria" w:hAnsi="Cambria" w:cs="Cambria"/>
          <w:b/>
          <w:bCs/>
          <w:sz w:val="13"/>
          <w:szCs w:val="13"/>
        </w:rPr>
      </w:pPr>
      <w:proofErr w:type="spellStart"/>
      <w:r>
        <w:rPr>
          <w:rFonts w:ascii="Cambria" w:hAnsi="Cambria" w:cs="Cambria"/>
          <w:b/>
          <w:bCs/>
          <w:sz w:val="20"/>
          <w:szCs w:val="20"/>
        </w:rPr>
        <w:t>Smita</w:t>
      </w:r>
      <w:proofErr w:type="spellEnd"/>
      <w:r>
        <w:rPr>
          <w:rFonts w:ascii="Cambria" w:hAnsi="Cambria" w:cs="Cambria"/>
          <w:b/>
          <w:bCs/>
          <w:sz w:val="20"/>
          <w:szCs w:val="20"/>
        </w:rPr>
        <w:t xml:space="preserve"> Sood</w:t>
      </w:r>
      <w:r>
        <w:rPr>
          <w:rFonts w:ascii="Cambria" w:hAnsi="Cambria" w:cs="Cambria"/>
          <w:b/>
          <w:bCs/>
          <w:sz w:val="13"/>
          <w:szCs w:val="13"/>
        </w:rPr>
        <w:t>1</w:t>
      </w:r>
      <w:r>
        <w:rPr>
          <w:rFonts w:ascii="Cambria" w:hAnsi="Cambria" w:cs="Cambria"/>
          <w:b/>
          <w:bCs/>
          <w:sz w:val="20"/>
          <w:szCs w:val="20"/>
        </w:rPr>
        <w:t xml:space="preserve">, </w:t>
      </w:r>
      <w:proofErr w:type="spellStart"/>
      <w:r>
        <w:rPr>
          <w:rFonts w:ascii="Cambria" w:hAnsi="Cambria" w:cs="Cambria"/>
          <w:b/>
          <w:bCs/>
          <w:sz w:val="20"/>
          <w:szCs w:val="20"/>
        </w:rPr>
        <w:t>Shalini</w:t>
      </w:r>
      <w:proofErr w:type="spellEnd"/>
      <w:r>
        <w:rPr>
          <w:rFonts w:ascii="Cambria" w:hAnsi="Cambria" w:cs="Cambria"/>
          <w:b/>
          <w:bCs/>
          <w:sz w:val="20"/>
          <w:szCs w:val="20"/>
        </w:rPr>
        <w:t xml:space="preserve"> Gupta</w:t>
      </w:r>
      <w:r>
        <w:rPr>
          <w:rFonts w:ascii="Cambria" w:hAnsi="Cambria" w:cs="Cambria"/>
          <w:b/>
          <w:bCs/>
          <w:sz w:val="13"/>
          <w:szCs w:val="13"/>
        </w:rPr>
        <w:t xml:space="preserve">2 </w:t>
      </w:r>
    </w:p>
    <w:p w:rsidR="00BC39E4" w:rsidRDefault="00BC39E4" w:rsidP="00BC39E4">
      <w:pPr>
        <w:pStyle w:val="Default"/>
        <w:rPr>
          <w:sz w:val="13"/>
          <w:szCs w:val="13"/>
        </w:rPr>
      </w:pPr>
    </w:p>
    <w:p w:rsidR="00BC39E4" w:rsidRDefault="00BC39E4" w:rsidP="00BC39E4">
      <w:pPr>
        <w:pStyle w:val="Default"/>
        <w:rPr>
          <w:sz w:val="18"/>
          <w:szCs w:val="18"/>
        </w:rPr>
      </w:pPr>
      <w:r>
        <w:rPr>
          <w:rFonts w:ascii="Cambria" w:hAnsi="Cambria" w:cs="Cambria"/>
          <w:sz w:val="12"/>
          <w:szCs w:val="12"/>
        </w:rPr>
        <w:t>1,2</w:t>
      </w:r>
      <w:r>
        <w:rPr>
          <w:rFonts w:ascii="Cambria" w:hAnsi="Cambria" w:cs="Cambria"/>
          <w:sz w:val="18"/>
          <w:szCs w:val="18"/>
        </w:rPr>
        <w:t xml:space="preserve">Assistant Professor, Department of Microbiology, National Institute of Medical Sciences &amp; Research, NIMS University, Jaipur, Rajasthan, India. </w:t>
      </w:r>
    </w:p>
    <w:p w:rsidR="00BC39E4" w:rsidRDefault="00BC39E4" w:rsidP="00BC39E4">
      <w:pPr>
        <w:pStyle w:val="Default"/>
        <w:rPr>
          <w:sz w:val="18"/>
          <w:szCs w:val="18"/>
        </w:rPr>
      </w:pPr>
      <w:r>
        <w:rPr>
          <w:rFonts w:ascii="Cambria" w:hAnsi="Cambria" w:cs="Cambria"/>
          <w:sz w:val="18"/>
          <w:szCs w:val="18"/>
        </w:rPr>
        <w:t xml:space="preserve">Corresponding Author: </w:t>
      </w:r>
      <w:proofErr w:type="spellStart"/>
      <w:r>
        <w:rPr>
          <w:rFonts w:ascii="Cambria" w:hAnsi="Cambria" w:cs="Cambria"/>
          <w:sz w:val="18"/>
          <w:szCs w:val="18"/>
        </w:rPr>
        <w:t>Dr.</w:t>
      </w:r>
      <w:proofErr w:type="spellEnd"/>
      <w:r>
        <w:rPr>
          <w:rFonts w:ascii="Cambria" w:hAnsi="Cambria" w:cs="Cambria"/>
          <w:sz w:val="18"/>
          <w:szCs w:val="18"/>
        </w:rPr>
        <w:t xml:space="preserve"> </w:t>
      </w:r>
      <w:proofErr w:type="spellStart"/>
      <w:r>
        <w:rPr>
          <w:rFonts w:ascii="Cambria" w:hAnsi="Cambria" w:cs="Cambria"/>
          <w:sz w:val="18"/>
          <w:szCs w:val="18"/>
        </w:rPr>
        <w:t>Shalin</w:t>
      </w:r>
      <w:bookmarkStart w:id="0" w:name="_GoBack"/>
      <w:bookmarkEnd w:id="0"/>
      <w:r>
        <w:rPr>
          <w:rFonts w:ascii="Cambria" w:hAnsi="Cambria" w:cs="Cambria"/>
          <w:sz w:val="18"/>
          <w:szCs w:val="18"/>
        </w:rPr>
        <w:t>i</w:t>
      </w:r>
      <w:proofErr w:type="spellEnd"/>
      <w:r>
        <w:rPr>
          <w:rFonts w:ascii="Cambria" w:hAnsi="Cambria" w:cs="Cambria"/>
          <w:sz w:val="18"/>
          <w:szCs w:val="18"/>
        </w:rPr>
        <w:t xml:space="preserve"> Gupta, Assistant Professor, Department of Microbiology, National Institute of Medical Sciences &amp; Research, NIMS University, Jaipur, Rajasthan, India. </w:t>
      </w:r>
    </w:p>
    <w:p w:rsidR="00BC39E4" w:rsidRDefault="00BC39E4" w:rsidP="00BC39E4">
      <w:pPr>
        <w:pStyle w:val="Default"/>
        <w:rPr>
          <w:rFonts w:ascii="Cambria" w:hAnsi="Cambria" w:cs="Cambria"/>
          <w:sz w:val="18"/>
          <w:szCs w:val="18"/>
        </w:rPr>
      </w:pPr>
      <w:r>
        <w:rPr>
          <w:rFonts w:ascii="Cambria" w:hAnsi="Cambria" w:cs="Cambria"/>
          <w:sz w:val="18"/>
          <w:szCs w:val="18"/>
        </w:rPr>
        <w:t xml:space="preserve">Date of submission: 03 August 2013, Date of acceptance: 16 September 2013 </w:t>
      </w:r>
    </w:p>
    <w:p w:rsidR="00BC39E4" w:rsidRDefault="00BC39E4" w:rsidP="00BC39E4">
      <w:pPr>
        <w:pStyle w:val="Default"/>
        <w:rPr>
          <w:sz w:val="18"/>
          <w:szCs w:val="18"/>
        </w:rPr>
      </w:pPr>
    </w:p>
    <w:p w:rsidR="00BC39E4" w:rsidRDefault="00BC39E4" w:rsidP="00BC39E4">
      <w:pPr>
        <w:pStyle w:val="Default"/>
        <w:rPr>
          <w:sz w:val="20"/>
          <w:szCs w:val="20"/>
        </w:rPr>
      </w:pPr>
      <w:r>
        <w:rPr>
          <w:b/>
          <w:bCs/>
          <w:sz w:val="20"/>
          <w:szCs w:val="20"/>
        </w:rPr>
        <w:t xml:space="preserve">Abstract </w:t>
      </w:r>
    </w:p>
    <w:p w:rsidR="00BC39E4" w:rsidRDefault="00BC39E4" w:rsidP="00BC39E4">
      <w:pPr>
        <w:pStyle w:val="Default"/>
        <w:jc w:val="both"/>
        <w:rPr>
          <w:sz w:val="18"/>
          <w:szCs w:val="18"/>
        </w:rPr>
      </w:pPr>
      <w:r>
        <w:rPr>
          <w:b/>
          <w:bCs/>
          <w:sz w:val="18"/>
          <w:szCs w:val="18"/>
        </w:rPr>
        <w:t xml:space="preserve">Background: </w:t>
      </w:r>
      <w:r>
        <w:rPr>
          <w:sz w:val="18"/>
          <w:szCs w:val="18"/>
        </w:rPr>
        <w:t xml:space="preserve">Sepsis remains a major contributor to morbidity and mortality worldwide, particularly in hospitalized and critically ill patients. Early recognition of disease severity and accurate prediction of outcomes are essential for timely intervention and improved survival. Biomarkers play an important role in this process, with </w:t>
      </w:r>
      <w:proofErr w:type="spellStart"/>
      <w:r>
        <w:rPr>
          <w:sz w:val="18"/>
          <w:szCs w:val="18"/>
        </w:rPr>
        <w:t>procalcitonin</w:t>
      </w:r>
      <w:proofErr w:type="spellEnd"/>
      <w:r>
        <w:rPr>
          <w:sz w:val="18"/>
          <w:szCs w:val="18"/>
        </w:rPr>
        <w:t xml:space="preserve"> (PCT) and C-reactive protein (CRP) being among the most commonly utilized indicators of systemic inflammation. However, differences in their biological behavior may influence their effectiveness in clinical practice. </w:t>
      </w:r>
    </w:p>
    <w:p w:rsidR="00BC39E4" w:rsidRDefault="00BC39E4" w:rsidP="00BC39E4">
      <w:pPr>
        <w:pStyle w:val="Default"/>
        <w:jc w:val="both"/>
        <w:rPr>
          <w:sz w:val="18"/>
          <w:szCs w:val="18"/>
        </w:rPr>
      </w:pPr>
      <w:r>
        <w:rPr>
          <w:b/>
          <w:bCs/>
          <w:sz w:val="18"/>
          <w:szCs w:val="18"/>
        </w:rPr>
        <w:t xml:space="preserve">Objective: </w:t>
      </w:r>
      <w:r>
        <w:rPr>
          <w:sz w:val="18"/>
          <w:szCs w:val="18"/>
        </w:rPr>
        <w:t xml:space="preserve">To compare the effectiveness of </w:t>
      </w:r>
      <w:proofErr w:type="spellStart"/>
      <w:r>
        <w:rPr>
          <w:sz w:val="18"/>
          <w:szCs w:val="18"/>
        </w:rPr>
        <w:t>procalcitonin</w:t>
      </w:r>
      <w:proofErr w:type="spellEnd"/>
      <w:r>
        <w:rPr>
          <w:sz w:val="18"/>
          <w:szCs w:val="18"/>
        </w:rPr>
        <w:t xml:space="preserve"> and C-reactive protein as biomarkers in assessing severity and predicting outcomes in patients with sepsis. </w:t>
      </w:r>
    </w:p>
    <w:p w:rsidR="00BC39E4" w:rsidRDefault="00BC39E4" w:rsidP="00BC39E4">
      <w:pPr>
        <w:pStyle w:val="Default"/>
        <w:jc w:val="both"/>
        <w:rPr>
          <w:sz w:val="18"/>
          <w:szCs w:val="18"/>
        </w:rPr>
      </w:pPr>
      <w:r>
        <w:rPr>
          <w:b/>
          <w:bCs/>
          <w:sz w:val="18"/>
          <w:szCs w:val="18"/>
        </w:rPr>
        <w:t xml:space="preserve">Methods: </w:t>
      </w:r>
      <w:r>
        <w:rPr>
          <w:sz w:val="18"/>
          <w:szCs w:val="18"/>
        </w:rPr>
        <w:t xml:space="preserve">This prospective </w:t>
      </w:r>
      <w:proofErr w:type="spellStart"/>
      <w:r>
        <w:rPr>
          <w:sz w:val="18"/>
          <w:szCs w:val="18"/>
        </w:rPr>
        <w:t>clinico</w:t>
      </w:r>
      <w:proofErr w:type="spellEnd"/>
      <w:r>
        <w:rPr>
          <w:sz w:val="18"/>
          <w:szCs w:val="18"/>
        </w:rPr>
        <w:t xml:space="preserve">-microbiological study was conducted over a period of one year at a tertiary care teaching hospital and included 90 adult patients diagnosed with sepsis. Serum levels of </w:t>
      </w:r>
      <w:proofErr w:type="spellStart"/>
      <w:r>
        <w:rPr>
          <w:sz w:val="18"/>
          <w:szCs w:val="18"/>
        </w:rPr>
        <w:t>procalcitonin</w:t>
      </w:r>
      <w:proofErr w:type="spellEnd"/>
      <w:r>
        <w:rPr>
          <w:sz w:val="18"/>
          <w:szCs w:val="18"/>
        </w:rPr>
        <w:t xml:space="preserve"> and C-reactive protein were measured at the time of admission. These values were analyzed in relation to disease severity, microbiological findings, and clinical outcomes, including recovery, complications, and mortality. </w:t>
      </w:r>
    </w:p>
    <w:p w:rsidR="00BC39E4" w:rsidRDefault="00BC39E4" w:rsidP="00BC39E4">
      <w:pPr>
        <w:pStyle w:val="Default"/>
        <w:jc w:val="both"/>
        <w:rPr>
          <w:sz w:val="18"/>
          <w:szCs w:val="18"/>
        </w:rPr>
      </w:pPr>
      <w:r>
        <w:rPr>
          <w:b/>
          <w:bCs/>
          <w:sz w:val="18"/>
          <w:szCs w:val="18"/>
        </w:rPr>
        <w:t xml:space="preserve">Results: </w:t>
      </w:r>
      <w:r>
        <w:rPr>
          <w:sz w:val="18"/>
          <w:szCs w:val="18"/>
        </w:rPr>
        <w:t xml:space="preserve">Both biomarkers demonstrated a progressive increase with worsening severity of sepsis. However, </w:t>
      </w:r>
      <w:proofErr w:type="spellStart"/>
      <w:r>
        <w:rPr>
          <w:sz w:val="18"/>
          <w:szCs w:val="18"/>
        </w:rPr>
        <w:t>procalcitonin</w:t>
      </w:r>
      <w:proofErr w:type="spellEnd"/>
      <w:r>
        <w:rPr>
          <w:sz w:val="18"/>
          <w:szCs w:val="18"/>
        </w:rPr>
        <w:t xml:space="preserve"> showed a more marked rise, with mean levels increasing </w:t>
      </w:r>
      <w:proofErr w:type="gramStart"/>
      <w:r>
        <w:rPr>
          <w:sz w:val="18"/>
          <w:szCs w:val="18"/>
        </w:rPr>
        <w:t xml:space="preserve">from 1.8 </w:t>
      </w:r>
      <w:proofErr w:type="spellStart"/>
      <w:r>
        <w:rPr>
          <w:sz w:val="18"/>
          <w:szCs w:val="18"/>
        </w:rPr>
        <w:t>ng</w:t>
      </w:r>
      <w:proofErr w:type="spellEnd"/>
      <w:r>
        <w:rPr>
          <w:sz w:val="18"/>
          <w:szCs w:val="18"/>
        </w:rPr>
        <w:t>/mL in patients with sepsis</w:t>
      </w:r>
      <w:proofErr w:type="gramEnd"/>
      <w:r>
        <w:rPr>
          <w:sz w:val="18"/>
          <w:szCs w:val="18"/>
        </w:rPr>
        <w:t xml:space="preserve"> to 12.2 </w:t>
      </w:r>
      <w:proofErr w:type="spellStart"/>
      <w:r>
        <w:rPr>
          <w:sz w:val="18"/>
          <w:szCs w:val="18"/>
        </w:rPr>
        <w:t>ng</w:t>
      </w:r>
      <w:proofErr w:type="spellEnd"/>
      <w:r>
        <w:rPr>
          <w:sz w:val="18"/>
          <w:szCs w:val="18"/>
        </w:rPr>
        <w:t xml:space="preserve">/mL in those with septic shock. Patients with adverse outcomes exhibited significantly higher </w:t>
      </w:r>
      <w:proofErr w:type="spellStart"/>
      <w:r>
        <w:rPr>
          <w:sz w:val="18"/>
          <w:szCs w:val="18"/>
        </w:rPr>
        <w:t>procalcitonin</w:t>
      </w:r>
      <w:proofErr w:type="spellEnd"/>
      <w:r>
        <w:rPr>
          <w:sz w:val="18"/>
          <w:szCs w:val="18"/>
        </w:rPr>
        <w:t xml:space="preserve"> levels </w:t>
      </w:r>
      <w:proofErr w:type="gramStart"/>
      <w:r>
        <w:rPr>
          <w:sz w:val="18"/>
          <w:szCs w:val="18"/>
        </w:rPr>
        <w:t xml:space="preserve">(13.5 </w:t>
      </w:r>
      <w:proofErr w:type="spellStart"/>
      <w:r>
        <w:rPr>
          <w:sz w:val="18"/>
          <w:szCs w:val="18"/>
        </w:rPr>
        <w:t>ng</w:t>
      </w:r>
      <w:proofErr w:type="spellEnd"/>
      <w:r>
        <w:rPr>
          <w:sz w:val="18"/>
          <w:szCs w:val="18"/>
        </w:rPr>
        <w:t>/mL)</w:t>
      </w:r>
      <w:proofErr w:type="gramEnd"/>
      <w:r>
        <w:rPr>
          <w:sz w:val="18"/>
          <w:szCs w:val="18"/>
        </w:rPr>
        <w:t xml:space="preserve"> compared to those who recovered (3.2 </w:t>
      </w:r>
      <w:proofErr w:type="spellStart"/>
      <w:r>
        <w:rPr>
          <w:sz w:val="18"/>
          <w:szCs w:val="18"/>
        </w:rPr>
        <w:t>ng</w:t>
      </w:r>
      <w:proofErr w:type="spellEnd"/>
      <w:r>
        <w:rPr>
          <w:sz w:val="18"/>
          <w:szCs w:val="18"/>
        </w:rPr>
        <w:t xml:space="preserve">/mL). Receiver operating characteristic analysis indicated superior predictive performance of </w:t>
      </w:r>
      <w:proofErr w:type="spellStart"/>
      <w:r>
        <w:rPr>
          <w:sz w:val="18"/>
          <w:szCs w:val="18"/>
        </w:rPr>
        <w:t>procalcitonin</w:t>
      </w:r>
      <w:proofErr w:type="spellEnd"/>
      <w:r>
        <w:rPr>
          <w:sz w:val="18"/>
          <w:szCs w:val="18"/>
        </w:rPr>
        <w:t xml:space="preserve"> (AUC 0.89) compared to C-reactive protein (AUC 0.76). </w:t>
      </w:r>
    </w:p>
    <w:p w:rsidR="00BC39E4" w:rsidRPr="00BC39E4" w:rsidRDefault="00BC39E4" w:rsidP="00BC39E4">
      <w:pPr>
        <w:jc w:val="both"/>
        <w:rPr>
          <w:lang w:val="en-US"/>
        </w:rPr>
      </w:pPr>
      <w:r>
        <w:rPr>
          <w:b/>
          <w:bCs/>
          <w:sz w:val="18"/>
          <w:szCs w:val="18"/>
        </w:rPr>
        <w:t xml:space="preserve">Conclusion: </w:t>
      </w:r>
      <w:r>
        <w:rPr>
          <w:sz w:val="18"/>
          <w:szCs w:val="18"/>
        </w:rPr>
        <w:t xml:space="preserve">These findings indicate that </w:t>
      </w:r>
      <w:proofErr w:type="spellStart"/>
      <w:r>
        <w:rPr>
          <w:sz w:val="18"/>
          <w:szCs w:val="18"/>
        </w:rPr>
        <w:t>procalcitonin</w:t>
      </w:r>
      <w:proofErr w:type="spellEnd"/>
      <w:r>
        <w:rPr>
          <w:sz w:val="18"/>
          <w:szCs w:val="18"/>
        </w:rPr>
        <w:t xml:space="preserve"> provides better correlation with disease severity and clinical outcomes than C-reactive protein. Its use as part of routine evaluation may facilitate early risk stratification and support more effective clinical decision-making in the management of sepsis.</w:t>
      </w:r>
    </w:p>
    <w:sectPr w:rsidR="00BC39E4" w:rsidRPr="00BC39E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comment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E4"/>
    <w:rsid w:val="00262F9C"/>
    <w:rsid w:val="00BC39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39E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39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1</cp:revision>
  <dcterms:created xsi:type="dcterms:W3CDTF">2026-03-27T09:23:00Z</dcterms:created>
  <dcterms:modified xsi:type="dcterms:W3CDTF">2026-03-27T09:24:00Z</dcterms:modified>
</cp:coreProperties>
</file>