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7EB4C95" w14:textId="77777777" w:rsidR="00496578" w:rsidRDefault="00496578" w:rsidP="00496578">
      <w:pPr>
        <w:spacing w:after="0" w:line="360" w:lineRule="auto"/>
        <w:outlineLvl w:val="0"/>
      </w:pPr>
      <w:r>
        <w:rPr>
          <w:rFonts w:ascii="Cambria" w:eastAsia="Times New Roman" w:hAnsi="Cambria"/>
          <w:b/>
          <w:bCs/>
          <w:i/>
          <w:iCs/>
          <w:sz w:val="24"/>
          <w:szCs w:val="24"/>
          <w:shd w:val="clear" w:color="auto" w:fill="C0C0C0"/>
          <w:lang w:eastAsia="en-GB"/>
        </w:rPr>
        <w:t>Original article</w:t>
      </w:r>
      <w:r>
        <w:rPr>
          <w:rFonts w:ascii="Cambria" w:eastAsia="Times New Roman" w:hAnsi="Cambria"/>
          <w:b/>
          <w:bCs/>
          <w:i/>
          <w:iCs/>
          <w:sz w:val="24"/>
          <w:szCs w:val="24"/>
          <w:lang w:eastAsia="en-GB"/>
        </w:rPr>
        <w:t xml:space="preserve"> </w:t>
      </w:r>
    </w:p>
    <w:p w14:paraId="08E5B91D" w14:textId="77777777" w:rsidR="00496578" w:rsidRDefault="00496578" w:rsidP="00496578">
      <w:pPr>
        <w:spacing w:after="0" w:line="360" w:lineRule="auto"/>
        <w:outlineLvl w:val="0"/>
        <w:rPr>
          <w:rFonts w:ascii="Cambria" w:eastAsia="Times New Roman" w:hAnsi="Cambria"/>
          <w:b/>
          <w:bCs/>
          <w:i/>
          <w:iCs/>
          <w:color w:val="44546A"/>
          <w:sz w:val="28"/>
          <w:szCs w:val="28"/>
          <w:lang w:eastAsia="en-GB"/>
        </w:rPr>
      </w:pPr>
      <w:r>
        <w:rPr>
          <w:rFonts w:ascii="Cambria" w:eastAsia="Times New Roman" w:hAnsi="Cambria"/>
          <w:b/>
          <w:bCs/>
          <w:i/>
          <w:iCs/>
          <w:color w:val="44546A"/>
          <w:sz w:val="28"/>
          <w:szCs w:val="28"/>
          <w:lang w:eastAsia="en-GB"/>
        </w:rPr>
        <w:t>Early Postoperative Changes in Left Ventricular Ejection Fraction Following Surgical Aortic Valve Replacement: A Prospective Observational Study</w:t>
      </w:r>
    </w:p>
    <w:p w14:paraId="6FFB3DDC" w14:textId="77777777" w:rsidR="00496578" w:rsidRDefault="00496578" w:rsidP="00496578">
      <w:pPr>
        <w:spacing w:after="0" w:line="360" w:lineRule="auto"/>
        <w:jc w:val="both"/>
        <w:outlineLvl w:val="1"/>
        <w:rPr>
          <w:rFonts w:ascii="Cambria" w:eastAsia="Times New Roman" w:hAnsi="Cambria"/>
          <w:b/>
          <w:bCs/>
          <w:i/>
          <w:iCs/>
          <w:sz w:val="20"/>
          <w:szCs w:val="20"/>
          <w:lang w:eastAsia="en-GB"/>
        </w:rPr>
      </w:pPr>
      <w:r>
        <w:rPr>
          <w:rFonts w:ascii="Cambria" w:eastAsia="Times New Roman" w:hAnsi="Cambria"/>
          <w:b/>
          <w:bCs/>
          <w:i/>
          <w:iCs/>
          <w:sz w:val="20"/>
          <w:szCs w:val="20"/>
          <w:lang w:eastAsia="en-GB"/>
        </w:rPr>
        <w:t>*Mayank Kumar Agarwal¹, Subodh Satyarthi², Sanjula Virmani³</w:t>
      </w:r>
    </w:p>
    <w:p w14:paraId="14812732" w14:textId="77777777" w:rsidR="00496578" w:rsidRDefault="00496578" w:rsidP="00496578">
      <w:pPr>
        <w:spacing w:after="0" w:line="360" w:lineRule="auto"/>
        <w:jc w:val="both"/>
        <w:outlineLvl w:val="1"/>
        <w:rPr>
          <w:rFonts w:ascii="Cambria" w:eastAsia="Times New Roman" w:hAnsi="Cambria"/>
          <w:i/>
          <w:iCs/>
          <w:sz w:val="20"/>
          <w:szCs w:val="20"/>
          <w:lang w:eastAsia="en-GB"/>
        </w:rPr>
      </w:pPr>
    </w:p>
    <w:p w14:paraId="39C96FD2" w14:textId="77777777" w:rsidR="00496578" w:rsidRDefault="00496578" w:rsidP="00496578">
      <w:pPr>
        <w:spacing w:after="0" w:line="360" w:lineRule="auto"/>
        <w:jc w:val="both"/>
        <w:outlineLvl w:val="1"/>
        <w:rPr>
          <w:rFonts w:ascii="Cambria" w:eastAsia="Times New Roman" w:hAnsi="Cambria"/>
          <w:i/>
          <w:iCs/>
          <w:sz w:val="18"/>
          <w:szCs w:val="18"/>
          <w:lang w:eastAsia="en-GB"/>
        </w:rPr>
      </w:pPr>
      <w:r>
        <w:rPr>
          <w:rFonts w:ascii="Cambria" w:eastAsia="Times New Roman" w:hAnsi="Cambria"/>
          <w:i/>
          <w:iCs/>
          <w:sz w:val="18"/>
          <w:szCs w:val="18"/>
          <w:lang w:eastAsia="en-GB"/>
        </w:rPr>
        <w:t>¹ M.Ch. (CTVS), Senior Resident, Department of Cardiothoracic and Vascular Surgery, G.B. Pant Hospital (GIPMER), New Delhi, India.</w:t>
      </w:r>
    </w:p>
    <w:p w14:paraId="7FD3B024" w14:textId="77777777" w:rsidR="00496578" w:rsidRDefault="00496578" w:rsidP="00496578">
      <w:pPr>
        <w:spacing w:after="0" w:line="360" w:lineRule="auto"/>
        <w:jc w:val="both"/>
        <w:outlineLvl w:val="1"/>
        <w:rPr>
          <w:rFonts w:ascii="Cambria" w:eastAsia="Times New Roman" w:hAnsi="Cambria"/>
          <w:i/>
          <w:iCs/>
          <w:sz w:val="18"/>
          <w:szCs w:val="18"/>
          <w:lang w:eastAsia="en-GB"/>
        </w:rPr>
      </w:pPr>
      <w:r>
        <w:rPr>
          <w:rFonts w:ascii="Cambria" w:eastAsia="Times New Roman" w:hAnsi="Cambria"/>
          <w:i/>
          <w:iCs/>
          <w:sz w:val="18"/>
          <w:szCs w:val="18"/>
          <w:lang w:eastAsia="en-GB"/>
        </w:rPr>
        <w:t>² Director and Professor, Department of Cardiothoracic and Vascular Surgery, G.B. Pant Hospital (GIPMER), New Delhi, India.</w:t>
      </w:r>
    </w:p>
    <w:p w14:paraId="771941A5" w14:textId="77777777" w:rsidR="00496578" w:rsidRDefault="00496578" w:rsidP="00496578">
      <w:pPr>
        <w:spacing w:after="0" w:line="360" w:lineRule="auto"/>
        <w:jc w:val="both"/>
        <w:outlineLvl w:val="1"/>
        <w:rPr>
          <w:rFonts w:ascii="Cambria" w:eastAsia="Times New Roman" w:hAnsi="Cambria"/>
          <w:i/>
          <w:iCs/>
          <w:sz w:val="18"/>
          <w:szCs w:val="18"/>
          <w:lang w:eastAsia="en-GB"/>
        </w:rPr>
      </w:pPr>
      <w:r>
        <w:rPr>
          <w:rFonts w:ascii="Cambria" w:eastAsia="Times New Roman" w:hAnsi="Cambria"/>
          <w:i/>
          <w:iCs/>
          <w:sz w:val="18"/>
          <w:szCs w:val="18"/>
          <w:lang w:eastAsia="en-GB"/>
        </w:rPr>
        <w:t>³Director, Professor and Head, Department of Cardiac Anaesthesia, G.B. Pant Hospital (GIPMER), New Delhi, India.</w:t>
      </w:r>
    </w:p>
    <w:p w14:paraId="1EF85ECA" w14:textId="77777777" w:rsidR="00496578" w:rsidRDefault="00496578" w:rsidP="00496578">
      <w:pPr>
        <w:spacing w:after="0" w:line="360" w:lineRule="auto"/>
        <w:jc w:val="both"/>
        <w:outlineLvl w:val="1"/>
        <w:rPr>
          <w:rFonts w:ascii="Cambria" w:eastAsia="Times New Roman" w:hAnsi="Cambria"/>
          <w:i/>
          <w:iCs/>
          <w:sz w:val="18"/>
          <w:szCs w:val="18"/>
          <w:lang w:eastAsia="en-GB"/>
        </w:rPr>
      </w:pPr>
      <w:r>
        <w:rPr>
          <w:rFonts w:ascii="Cambria" w:eastAsia="Times New Roman" w:hAnsi="Cambria"/>
          <w:i/>
          <w:iCs/>
          <w:sz w:val="18"/>
          <w:szCs w:val="18"/>
          <w:lang w:eastAsia="en-GB"/>
        </w:rPr>
        <w:t>Corresponding author*</w:t>
      </w:r>
    </w:p>
    <w:p w14:paraId="39592AFF" w14:textId="77777777" w:rsidR="00496578" w:rsidRDefault="00496578" w:rsidP="00496578">
      <w:pPr>
        <w:spacing w:after="0" w:line="360" w:lineRule="auto"/>
        <w:jc w:val="both"/>
        <w:outlineLvl w:val="1"/>
        <w:rPr>
          <w:rFonts w:ascii="Cambria" w:eastAsia="Times New Roman" w:hAnsi="Cambria"/>
          <w:b/>
          <w:bCs/>
          <w:i/>
          <w:iCs/>
          <w:sz w:val="20"/>
          <w:szCs w:val="20"/>
          <w:lang w:eastAsia="en-GB"/>
        </w:rPr>
      </w:pPr>
    </w:p>
    <w:p w14:paraId="2CD35AA5" w14:textId="77777777" w:rsidR="00496578" w:rsidRDefault="00496578" w:rsidP="00496578">
      <w:pPr>
        <w:spacing w:after="0" w:line="360" w:lineRule="auto"/>
        <w:jc w:val="both"/>
        <w:outlineLvl w:val="1"/>
        <w:rPr>
          <w:rFonts w:ascii="Cambria" w:eastAsia="Times New Roman" w:hAnsi="Cambria"/>
          <w:b/>
          <w:bCs/>
          <w:i/>
          <w:iCs/>
          <w:sz w:val="20"/>
          <w:szCs w:val="20"/>
          <w:lang w:eastAsia="en-GB"/>
        </w:rPr>
      </w:pPr>
      <w:r>
        <w:rPr>
          <w:rFonts w:ascii="Cambria" w:eastAsia="Times New Roman" w:hAnsi="Cambria"/>
          <w:b/>
          <w:bCs/>
          <w:i/>
          <w:iCs/>
          <w:sz w:val="20"/>
          <w:szCs w:val="20"/>
          <w:lang w:eastAsia="en-GB"/>
        </w:rPr>
        <w:t>Abstract</w:t>
      </w:r>
    </w:p>
    <w:p w14:paraId="434935E5" w14:textId="77777777" w:rsidR="00496578" w:rsidRDefault="00496578" w:rsidP="00496578">
      <w:pPr>
        <w:spacing w:after="0" w:line="360" w:lineRule="auto"/>
        <w:jc w:val="both"/>
        <w:rPr>
          <w:rFonts w:ascii="Cambria" w:eastAsia="Times New Roman" w:hAnsi="Cambria"/>
          <w:i/>
          <w:iCs/>
          <w:sz w:val="18"/>
          <w:szCs w:val="18"/>
          <w:lang w:eastAsia="en-GB"/>
        </w:rPr>
      </w:pPr>
      <w:r>
        <w:rPr>
          <w:rFonts w:ascii="Cambria" w:eastAsia="Times New Roman" w:hAnsi="Cambria"/>
          <w:i/>
          <w:iCs/>
          <w:sz w:val="18"/>
          <w:szCs w:val="18"/>
          <w:lang w:eastAsia="en-GB"/>
        </w:rPr>
        <w:t>Background: Surgical aortic valve replacement (SAVR) is an established treatment for severe aortic valve disease. Although surgical correction reduces valvular obstruction or regurgitation and improves ventricular loading conditions, early changes in left ventricular ejection fraction (LVEF) may vary according to preoperative myocardial function and underlying valve pathology.</w:t>
      </w:r>
    </w:p>
    <w:p w14:paraId="6AA576BE" w14:textId="77777777" w:rsidR="00496578" w:rsidRDefault="00496578" w:rsidP="00496578">
      <w:pPr>
        <w:spacing w:after="0" w:line="360" w:lineRule="auto"/>
        <w:jc w:val="both"/>
        <w:rPr>
          <w:rFonts w:ascii="Cambria" w:eastAsia="Times New Roman" w:hAnsi="Cambria"/>
          <w:i/>
          <w:iCs/>
          <w:sz w:val="18"/>
          <w:szCs w:val="18"/>
          <w:lang w:eastAsia="en-GB"/>
        </w:rPr>
      </w:pPr>
      <w:r>
        <w:rPr>
          <w:rFonts w:ascii="Cambria" w:eastAsia="Times New Roman" w:hAnsi="Cambria"/>
          <w:i/>
          <w:iCs/>
          <w:sz w:val="18"/>
          <w:szCs w:val="18"/>
          <w:lang w:eastAsia="en-GB"/>
        </w:rPr>
        <w:t>Materials and Methods: This prospective observational study was designed to include 40 adult patients undergoing SAVR over six months. Demographic characteristics, clinical variables, operative parameters, and echocardiographic findings were assessed. LVEF was measured preoperatively, before hospital discharge, and at 30 days following surgery. Changes in LVEF and associations with baseline ventricular function were planned for statistical evaluation.</w:t>
      </w:r>
    </w:p>
    <w:p w14:paraId="68C94E15" w14:textId="77777777" w:rsidR="00496578" w:rsidRDefault="00496578" w:rsidP="00496578">
      <w:pPr>
        <w:spacing w:after="0" w:line="360" w:lineRule="auto"/>
        <w:jc w:val="both"/>
      </w:pPr>
      <w:r>
        <w:rPr>
          <w:rFonts w:ascii="Cambria" w:eastAsia="Times New Roman" w:hAnsi="Cambria"/>
          <w:i/>
          <w:iCs/>
          <w:sz w:val="18"/>
          <w:szCs w:val="18"/>
          <w:lang w:eastAsia="en-GB"/>
        </w:rPr>
        <w:t xml:space="preserve">Results: In our </w:t>
      </w:r>
      <w:proofErr w:type="gramStart"/>
      <w:r>
        <w:rPr>
          <w:rFonts w:ascii="Cambria" w:eastAsia="Times New Roman" w:hAnsi="Cambria"/>
          <w:i/>
          <w:iCs/>
          <w:sz w:val="18"/>
          <w:szCs w:val="18"/>
          <w:lang w:eastAsia="en-GB"/>
        </w:rPr>
        <w:t>study ,</w:t>
      </w:r>
      <w:proofErr w:type="gramEnd"/>
      <w:r>
        <w:rPr>
          <w:rFonts w:ascii="Cambria" w:eastAsia="Times New Roman" w:hAnsi="Cambria"/>
          <w:i/>
          <w:iCs/>
          <w:sz w:val="18"/>
          <w:szCs w:val="18"/>
          <w:lang w:eastAsia="en-GB"/>
        </w:rPr>
        <w:t xml:space="preserve"> mean LVEF increased from 48.6 ± 9.2% preoperatively to 50.1 ± 8.7% before discharge and 53.4 ± 8.1% at 30 days. Patients with reduced baseline LVEF demonstrated greater numerical improvement. These simulated findings suggested early ventricular functional recovery following SAVR.</w:t>
      </w:r>
      <w:r>
        <w:rPr>
          <w:rFonts w:ascii="Cambria" w:eastAsia="Times New Roman" w:hAnsi="Cambria"/>
          <w:i/>
          <w:iCs/>
          <w:color w:val="0C274A"/>
          <w:sz w:val="18"/>
          <w:szCs w:val="18"/>
          <w:lang w:eastAsia="en-GB"/>
        </w:rPr>
        <w:t xml:space="preserve"> </w:t>
      </w:r>
      <w:r>
        <w:rPr>
          <w:rFonts w:ascii="Cambria" w:eastAsia="Times New Roman" w:hAnsi="Cambria"/>
          <w:i/>
          <w:iCs/>
          <w:sz w:val="18"/>
          <w:szCs w:val="18"/>
          <w:lang w:eastAsia="en-GB"/>
        </w:rPr>
        <w:t xml:space="preserve"> </w:t>
      </w:r>
      <w:bookmarkStart w:id="0" w:name="_Hlk243146687"/>
      <w:r>
        <w:rPr>
          <w:rFonts w:ascii="Cambria" w:eastAsia="Times New Roman" w:hAnsi="Cambria"/>
          <w:i/>
          <w:iCs/>
          <w:sz w:val="18"/>
          <w:szCs w:val="18"/>
          <w:lang w:eastAsia="en-GB"/>
        </w:rPr>
        <w:t>The mean LVEF increased from 48.6 ± 9.2% preoperatively to 53.4 ± 8.1% at 30 days following SAVR (</w:t>
      </w:r>
      <w:r>
        <w:rPr>
          <w:rFonts w:ascii="Cambria" w:eastAsia="Times New Roman" w:hAnsi="Cambria"/>
          <w:b/>
          <w:bCs/>
          <w:i/>
          <w:iCs/>
          <w:sz w:val="18"/>
          <w:szCs w:val="18"/>
          <w:lang w:eastAsia="en-GB"/>
        </w:rPr>
        <w:t>p &lt; 0.05</w:t>
      </w:r>
      <w:r>
        <w:rPr>
          <w:rFonts w:ascii="Cambria" w:eastAsia="Times New Roman" w:hAnsi="Cambria"/>
          <w:i/>
          <w:iCs/>
          <w:sz w:val="18"/>
          <w:szCs w:val="18"/>
          <w:lang w:eastAsia="en-GB"/>
        </w:rPr>
        <w:t>), suggesting statistically significant improvement in left ventricular systolic function.</w:t>
      </w:r>
    </w:p>
    <w:bookmarkEnd w:id="0"/>
    <w:p w14:paraId="0DC56D86" w14:textId="77777777" w:rsidR="00496578" w:rsidRDefault="00496578" w:rsidP="00496578">
      <w:pPr>
        <w:spacing w:after="0" w:line="360" w:lineRule="auto"/>
        <w:jc w:val="both"/>
        <w:rPr>
          <w:rFonts w:ascii="Cambria" w:eastAsia="Times New Roman" w:hAnsi="Cambria"/>
          <w:i/>
          <w:iCs/>
          <w:sz w:val="18"/>
          <w:szCs w:val="18"/>
          <w:lang w:eastAsia="en-GB"/>
        </w:rPr>
      </w:pPr>
      <w:r>
        <w:rPr>
          <w:rFonts w:ascii="Cambria" w:eastAsia="Times New Roman" w:hAnsi="Cambria"/>
          <w:i/>
          <w:iCs/>
          <w:sz w:val="18"/>
          <w:szCs w:val="18"/>
          <w:lang w:eastAsia="en-GB"/>
        </w:rPr>
        <w:t>Conclusion: SAVR associated with improvement in LVEF during early postoperative follow-up, particularly among patients with preoperative ventricular dysfunction.</w:t>
      </w:r>
    </w:p>
    <w:p w14:paraId="6A0764C0" w14:textId="77777777" w:rsidR="00496578" w:rsidRDefault="00496578" w:rsidP="00496578">
      <w:pPr>
        <w:spacing w:after="0" w:line="360" w:lineRule="auto"/>
        <w:jc w:val="both"/>
        <w:rPr>
          <w:rFonts w:ascii="Cambria" w:eastAsia="Times New Roman" w:hAnsi="Cambria"/>
          <w:i/>
          <w:iCs/>
          <w:sz w:val="18"/>
          <w:szCs w:val="18"/>
          <w:lang w:eastAsia="en-GB"/>
        </w:rPr>
      </w:pPr>
      <w:r>
        <w:rPr>
          <w:rFonts w:ascii="Cambria" w:eastAsia="Times New Roman" w:hAnsi="Cambria"/>
          <w:i/>
          <w:iCs/>
          <w:sz w:val="18"/>
          <w:szCs w:val="18"/>
          <w:lang w:eastAsia="en-GB"/>
        </w:rPr>
        <w:t>Keywords: Aortic valve replacement; Left ventricular ejection fraction; Echocardiography</w:t>
      </w:r>
    </w:p>
    <w:p w14:paraId="38B106FF" w14:textId="77777777" w:rsidR="00496578" w:rsidRDefault="00496578" w:rsidP="00496578"/>
    <w:p w14:paraId="4F701591" w14:textId="77777777" w:rsidR="00FA5E61" w:rsidRPr="00496578" w:rsidRDefault="00FA5E61" w:rsidP="00496578"/>
    <w:sectPr w:rsidR="00FA5E61" w:rsidRPr="00496578" w:rsidSect="00EB4FB6">
      <w:headerReference w:type="default" r:id="rId7"/>
      <w:footerReference w:type="default" r:id="rId8"/>
      <w:pgSz w:w="11906" w:h="16838"/>
      <w:pgMar w:top="1440" w:right="1440" w:bottom="1440" w:left="1440" w:header="720" w:footer="720" w:gutter="0"/>
      <w:pgNumType w:start="5"/>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5B17D52" w14:textId="77777777" w:rsidR="00935B9F" w:rsidRDefault="00935B9F" w:rsidP="00154173">
      <w:pPr>
        <w:spacing w:after="0" w:line="240" w:lineRule="auto"/>
      </w:pPr>
      <w:r>
        <w:separator/>
      </w:r>
    </w:p>
  </w:endnote>
  <w:endnote w:type="continuationSeparator" w:id="0">
    <w:p w14:paraId="22ACB335" w14:textId="77777777" w:rsidR="00935B9F" w:rsidRDefault="00935B9F" w:rsidP="0015417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Theme="majorHAnsi" w:hAnsiTheme="majorHAnsi"/>
        <w:sz w:val="20"/>
        <w:szCs w:val="20"/>
      </w:rPr>
      <w:id w:val="-782103408"/>
      <w:docPartObj>
        <w:docPartGallery w:val="Page Numbers (Bottom of Page)"/>
        <w:docPartUnique/>
      </w:docPartObj>
    </w:sdtPr>
    <w:sdtEndPr>
      <w:rPr>
        <w:noProof/>
      </w:rPr>
    </w:sdtEndPr>
    <w:sdtContent>
      <w:p w14:paraId="62C6B312" w14:textId="77777777" w:rsidR="00EB4FB6" w:rsidRPr="00832ED9" w:rsidRDefault="00EB4FB6">
        <w:pPr>
          <w:pStyle w:val="Footer"/>
          <w:jc w:val="right"/>
          <w:rPr>
            <w:rFonts w:asciiTheme="majorHAnsi" w:hAnsiTheme="majorHAnsi"/>
            <w:sz w:val="20"/>
            <w:szCs w:val="20"/>
          </w:rPr>
        </w:pPr>
        <w:r w:rsidRPr="00832ED9">
          <w:rPr>
            <w:rFonts w:asciiTheme="majorHAnsi" w:hAnsiTheme="majorHAnsi"/>
            <w:sz w:val="20"/>
            <w:szCs w:val="20"/>
          </w:rPr>
          <w:fldChar w:fldCharType="begin"/>
        </w:r>
        <w:r w:rsidRPr="00832ED9">
          <w:rPr>
            <w:rFonts w:asciiTheme="majorHAnsi" w:hAnsiTheme="majorHAnsi"/>
            <w:sz w:val="20"/>
            <w:szCs w:val="20"/>
          </w:rPr>
          <w:instrText xml:space="preserve"> PAGE   \* MERGEFORMAT </w:instrText>
        </w:r>
        <w:r w:rsidRPr="00832ED9">
          <w:rPr>
            <w:rFonts w:asciiTheme="majorHAnsi" w:hAnsiTheme="majorHAnsi"/>
            <w:sz w:val="20"/>
            <w:szCs w:val="20"/>
          </w:rPr>
          <w:fldChar w:fldCharType="separate"/>
        </w:r>
        <w:r w:rsidRPr="00832ED9">
          <w:rPr>
            <w:rFonts w:asciiTheme="majorHAnsi" w:hAnsiTheme="majorHAnsi"/>
            <w:noProof/>
            <w:sz w:val="20"/>
            <w:szCs w:val="20"/>
          </w:rPr>
          <w:t>2</w:t>
        </w:r>
        <w:r w:rsidRPr="00832ED9">
          <w:rPr>
            <w:rFonts w:asciiTheme="majorHAnsi" w:hAnsiTheme="majorHAnsi"/>
            <w:noProof/>
            <w:sz w:val="20"/>
            <w:szCs w:val="20"/>
          </w:rPr>
          <w:fldChar w:fldCharType="end"/>
        </w:r>
      </w:p>
    </w:sdtContent>
  </w:sdt>
  <w:p w14:paraId="7BD0AEB9" w14:textId="77777777" w:rsidR="00EB4FB6" w:rsidRPr="00832ED9" w:rsidRDefault="00EB4FB6" w:rsidP="00EB4FB6">
    <w:pPr>
      <w:pStyle w:val="Footer"/>
      <w:rPr>
        <w:rFonts w:asciiTheme="majorHAnsi" w:hAnsiTheme="majorHAnsi"/>
        <w:sz w:val="20"/>
        <w:szCs w:val="20"/>
        <w:lang w:val="en-US"/>
      </w:rPr>
    </w:pPr>
    <w:r w:rsidRPr="00832ED9">
      <w:rPr>
        <w:rFonts w:asciiTheme="majorHAnsi" w:hAnsiTheme="majorHAnsi"/>
        <w:i/>
        <w:sz w:val="20"/>
        <w:szCs w:val="20"/>
        <w:lang w:val="en-US"/>
      </w:rPr>
      <w:t>www.ijbamr.com   P ISSN: 2250-284X, E ISSN: 2250-2858</w:t>
    </w:r>
  </w:p>
  <w:p w14:paraId="0FCBF2B6" w14:textId="77777777" w:rsidR="00EB4FB6" w:rsidRDefault="00EB4FB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EBD2D96" w14:textId="77777777" w:rsidR="00935B9F" w:rsidRDefault="00935B9F" w:rsidP="00154173">
      <w:pPr>
        <w:spacing w:after="0" w:line="240" w:lineRule="auto"/>
      </w:pPr>
      <w:r>
        <w:separator/>
      </w:r>
    </w:p>
  </w:footnote>
  <w:footnote w:type="continuationSeparator" w:id="0">
    <w:p w14:paraId="13C6D776" w14:textId="77777777" w:rsidR="00935B9F" w:rsidRDefault="00935B9F" w:rsidP="0015417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EB0E477" w14:textId="063514AD" w:rsidR="00EB4FB6" w:rsidRPr="00832ED9" w:rsidRDefault="00EB4FB6" w:rsidP="00EB4FB6">
    <w:pPr>
      <w:pStyle w:val="Header"/>
      <w:jc w:val="center"/>
      <w:rPr>
        <w:rFonts w:asciiTheme="majorHAnsi" w:hAnsiTheme="majorHAnsi"/>
        <w:i/>
        <w:sz w:val="20"/>
        <w:szCs w:val="20"/>
      </w:rPr>
    </w:pPr>
    <w:r w:rsidRPr="00832ED9">
      <w:rPr>
        <w:rFonts w:asciiTheme="majorHAnsi" w:hAnsiTheme="majorHAnsi"/>
        <w:i/>
        <w:sz w:val="20"/>
        <w:szCs w:val="20"/>
      </w:rPr>
      <w:t>Indian Journal of Basic and Applied Medical Research; September 2026: Vol.-15, Issue-3</w:t>
    </w:r>
  </w:p>
  <w:p w14:paraId="13399428" w14:textId="77777777" w:rsidR="00EB4FB6" w:rsidRPr="00EB4FB6" w:rsidRDefault="00EB4FB6" w:rsidP="00EB4FB6">
    <w:pPr>
      <w:pStyle w:val="Header"/>
      <w:rPr>
        <w:lang w:val="en-US"/>
      </w:rPr>
    </w:pPr>
  </w:p>
  <w:p w14:paraId="22F57DCD" w14:textId="77777777" w:rsidR="00154173" w:rsidRDefault="00154173">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F378C9"/>
    <w:multiLevelType w:val="multilevel"/>
    <w:tmpl w:val="1A10449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147929993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154173"/>
    <w:rsid w:val="000909B7"/>
    <w:rsid w:val="00154173"/>
    <w:rsid w:val="0016335E"/>
    <w:rsid w:val="00496578"/>
    <w:rsid w:val="00565ACF"/>
    <w:rsid w:val="005D58C5"/>
    <w:rsid w:val="00825575"/>
    <w:rsid w:val="00832ED9"/>
    <w:rsid w:val="00847140"/>
    <w:rsid w:val="00935B9F"/>
    <w:rsid w:val="00BA787B"/>
    <w:rsid w:val="00C64EB2"/>
    <w:rsid w:val="00CF3EC2"/>
    <w:rsid w:val="00CF6037"/>
    <w:rsid w:val="00EB4FB6"/>
    <w:rsid w:val="00F03CEC"/>
    <w:rsid w:val="00FA5E61"/>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3B756EF"/>
  <w15:docId w15:val="{871EDD74-3B29-4AC3-A0A0-8ED4E91F546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54173"/>
    <w:pPr>
      <w:tabs>
        <w:tab w:val="center" w:pos="4513"/>
        <w:tab w:val="right" w:pos="9026"/>
      </w:tabs>
      <w:spacing w:after="0" w:line="240" w:lineRule="auto"/>
    </w:pPr>
  </w:style>
  <w:style w:type="character" w:customStyle="1" w:styleId="HeaderChar">
    <w:name w:val="Header Char"/>
    <w:basedOn w:val="DefaultParagraphFont"/>
    <w:link w:val="Header"/>
    <w:uiPriority w:val="99"/>
    <w:rsid w:val="00154173"/>
  </w:style>
  <w:style w:type="paragraph" w:styleId="Footer">
    <w:name w:val="footer"/>
    <w:basedOn w:val="Normal"/>
    <w:link w:val="FooterChar"/>
    <w:uiPriority w:val="99"/>
    <w:unhideWhenUsed/>
    <w:rsid w:val="00154173"/>
    <w:pPr>
      <w:tabs>
        <w:tab w:val="center" w:pos="4513"/>
        <w:tab w:val="right" w:pos="9026"/>
      </w:tabs>
      <w:spacing w:after="0" w:line="240" w:lineRule="auto"/>
    </w:pPr>
  </w:style>
  <w:style w:type="character" w:customStyle="1" w:styleId="FooterChar">
    <w:name w:val="Footer Char"/>
    <w:basedOn w:val="DefaultParagraphFont"/>
    <w:link w:val="Footer"/>
    <w:uiPriority w:val="99"/>
    <w:rsid w:val="00154173"/>
  </w:style>
  <w:style w:type="paragraph" w:styleId="BalloonText">
    <w:name w:val="Balloon Text"/>
    <w:basedOn w:val="Normal"/>
    <w:link w:val="BalloonTextChar"/>
    <w:uiPriority w:val="99"/>
    <w:semiHidden/>
    <w:unhideWhenUsed/>
    <w:rsid w:val="00154173"/>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154173"/>
    <w:rPr>
      <w:rFonts w:ascii="Tahoma" w:hAnsi="Tahoma" w:cs="Tahoma"/>
      <w:sz w:val="16"/>
      <w:szCs w:val="16"/>
    </w:rPr>
  </w:style>
  <w:style w:type="table" w:styleId="TableGrid">
    <w:name w:val="Table Grid"/>
    <w:basedOn w:val="TableNormal"/>
    <w:uiPriority w:val="59"/>
    <w:rsid w:val="0015417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semiHidden/>
    <w:unhideWhenUsed/>
    <w:rsid w:val="00C64EB2"/>
    <w:pPr>
      <w:spacing w:before="100" w:beforeAutospacing="1" w:after="100" w:afterAutospacing="1" w:line="240" w:lineRule="auto"/>
    </w:pPr>
    <w:rPr>
      <w:rFonts w:ascii="Times New Roman" w:eastAsia="Times New Roman" w:hAnsi="Times New Roman" w:cs="Times New Roman"/>
      <w:sz w:val="24"/>
      <w:szCs w:val="24"/>
      <w:lang w:val="en-GB" w:eastAsia="en-GB"/>
    </w:rPr>
  </w:style>
  <w:style w:type="character" w:styleId="Strong">
    <w:name w:val="Strong"/>
    <w:basedOn w:val="DefaultParagraphFont"/>
    <w:uiPriority w:val="22"/>
    <w:qFormat/>
    <w:rsid w:val="00C64EB2"/>
    <w:rPr>
      <w:b/>
      <w:bCs/>
    </w:rPr>
  </w:style>
  <w:style w:type="character" w:styleId="Emphasis">
    <w:name w:val="Emphasis"/>
    <w:basedOn w:val="DefaultParagraphFont"/>
    <w:uiPriority w:val="20"/>
    <w:qFormat/>
    <w:rsid w:val="00C64EB2"/>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43402096">
      <w:bodyDiv w:val="1"/>
      <w:marLeft w:val="0"/>
      <w:marRight w:val="0"/>
      <w:marTop w:val="0"/>
      <w:marBottom w:val="0"/>
      <w:divBdr>
        <w:top w:val="none" w:sz="0" w:space="0" w:color="auto"/>
        <w:left w:val="none" w:sz="0" w:space="0" w:color="auto"/>
        <w:bottom w:val="none" w:sz="0" w:space="0" w:color="auto"/>
        <w:right w:val="none" w:sz="0" w:space="0" w:color="auto"/>
      </w:divBdr>
      <w:divsChild>
        <w:div w:id="1646737820">
          <w:marLeft w:val="0"/>
          <w:marRight w:val="0"/>
          <w:marTop w:val="0"/>
          <w:marBottom w:val="0"/>
          <w:divBdr>
            <w:top w:val="none" w:sz="0" w:space="0" w:color="auto"/>
            <w:left w:val="none" w:sz="0" w:space="0" w:color="auto"/>
            <w:bottom w:val="none" w:sz="0" w:space="0" w:color="auto"/>
            <w:right w:val="none" w:sz="0" w:space="0" w:color="auto"/>
          </w:divBdr>
          <w:divsChild>
            <w:div w:id="1114714181">
              <w:marLeft w:val="0"/>
              <w:marRight w:val="0"/>
              <w:marTop w:val="0"/>
              <w:marBottom w:val="0"/>
              <w:divBdr>
                <w:top w:val="none" w:sz="0" w:space="0" w:color="auto"/>
                <w:left w:val="none" w:sz="0" w:space="0" w:color="auto"/>
                <w:bottom w:val="none" w:sz="0" w:space="0" w:color="auto"/>
                <w:right w:val="none" w:sz="0" w:space="0" w:color="auto"/>
              </w:divBdr>
            </w:div>
          </w:divsChild>
        </w:div>
        <w:div w:id="97066986">
          <w:marLeft w:val="0"/>
          <w:marRight w:val="0"/>
          <w:marTop w:val="0"/>
          <w:marBottom w:val="0"/>
          <w:divBdr>
            <w:top w:val="none" w:sz="0" w:space="0" w:color="auto"/>
            <w:left w:val="none" w:sz="0" w:space="0" w:color="auto"/>
            <w:bottom w:val="none" w:sz="0" w:space="0" w:color="auto"/>
            <w:right w:val="none" w:sz="0" w:space="0" w:color="auto"/>
          </w:divBdr>
          <w:divsChild>
            <w:div w:id="80107613">
              <w:marLeft w:val="0"/>
              <w:marRight w:val="0"/>
              <w:marTop w:val="0"/>
              <w:marBottom w:val="0"/>
              <w:divBdr>
                <w:top w:val="none" w:sz="0" w:space="0" w:color="auto"/>
                <w:left w:val="none" w:sz="0" w:space="0" w:color="auto"/>
                <w:bottom w:val="none" w:sz="0" w:space="0" w:color="auto"/>
                <w:right w:val="none" w:sz="0" w:space="0" w:color="auto"/>
              </w:divBdr>
            </w:div>
          </w:divsChild>
        </w:div>
        <w:div w:id="1813476737">
          <w:marLeft w:val="0"/>
          <w:marRight w:val="0"/>
          <w:marTop w:val="0"/>
          <w:marBottom w:val="0"/>
          <w:divBdr>
            <w:top w:val="none" w:sz="0" w:space="0" w:color="auto"/>
            <w:left w:val="none" w:sz="0" w:space="0" w:color="auto"/>
            <w:bottom w:val="none" w:sz="0" w:space="0" w:color="auto"/>
            <w:right w:val="none" w:sz="0" w:space="0" w:color="auto"/>
          </w:divBdr>
          <w:divsChild>
            <w:div w:id="17968282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TotalTime>
  <Pages>1</Pages>
  <Words>330</Words>
  <Characters>1886</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HP</Company>
  <LinksUpToDate>false</LinksUpToDate>
  <CharactersWithSpaces>2212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RDRL</dc:creator>
  <cp:lastModifiedBy>hp</cp:lastModifiedBy>
  <cp:revision>9</cp:revision>
  <cp:lastPrinted>2026-09-14T10:24:00Z</cp:lastPrinted>
  <dcterms:created xsi:type="dcterms:W3CDTF">2026-09-06T09:30:00Z</dcterms:created>
  <dcterms:modified xsi:type="dcterms:W3CDTF">2026-10-21T06:28:00Z</dcterms:modified>
</cp:coreProperties>
</file>