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D8F" w:rsidRPr="00B51D6D" w:rsidRDefault="00526D8F" w:rsidP="00FE5F4F">
      <w:pPr>
        <w:spacing w:after="0" w:line="360" w:lineRule="auto"/>
        <w:rPr>
          <w:rFonts w:asciiTheme="majorHAnsi" w:hAnsiTheme="majorHAnsi" w:cs="Times New Roman"/>
          <w:b/>
          <w:sz w:val="24"/>
          <w:szCs w:val="24"/>
          <w:lang w:val="en-US"/>
        </w:rPr>
      </w:pPr>
      <w:r w:rsidRPr="00B51D6D">
        <w:rPr>
          <w:rFonts w:asciiTheme="majorHAnsi" w:hAnsiTheme="majorHAnsi" w:cs="Times New Roman"/>
          <w:b/>
          <w:sz w:val="24"/>
          <w:szCs w:val="24"/>
          <w:highlight w:val="lightGray"/>
          <w:lang w:val="en-US"/>
        </w:rPr>
        <w:t>Original article</w:t>
      </w:r>
    </w:p>
    <w:p w:rsidR="00526D8F" w:rsidRPr="00B51D6D" w:rsidRDefault="00526D8F" w:rsidP="00FE5F4F">
      <w:pPr>
        <w:spacing w:after="0" w:line="360" w:lineRule="auto"/>
        <w:rPr>
          <w:rFonts w:asciiTheme="majorHAnsi" w:eastAsia="Times New Roman" w:hAnsiTheme="majorHAnsi" w:cs="Times New Roman"/>
          <w:b/>
          <w:color w:val="0070C0"/>
          <w:sz w:val="28"/>
          <w:szCs w:val="28"/>
          <w:lang w:eastAsia="en-IN"/>
        </w:rPr>
      </w:pPr>
      <w:r w:rsidRPr="00B51D6D">
        <w:rPr>
          <w:rFonts w:asciiTheme="majorHAnsi" w:eastAsia="Times New Roman" w:hAnsiTheme="majorHAnsi" w:cs="Times New Roman"/>
          <w:b/>
          <w:color w:val="0070C0"/>
          <w:sz w:val="28"/>
          <w:szCs w:val="28"/>
          <w:lang w:eastAsia="en-IN"/>
        </w:rPr>
        <w:t>A Prospective Comparative Study of Functional and Radiological Outcomes of Proximal Femoral Nailing versus Dynamic Hip Screw in Stable Intertrochanteric Femur Fractures</w:t>
      </w:r>
    </w:p>
    <w:p w:rsidR="00FE5F4F" w:rsidRPr="00B51D6D" w:rsidRDefault="00FE5F4F" w:rsidP="00FE5F4F">
      <w:pPr>
        <w:spacing w:after="0" w:line="360" w:lineRule="auto"/>
        <w:rPr>
          <w:rFonts w:asciiTheme="majorHAnsi" w:hAnsiTheme="majorHAnsi" w:cs="Times New Roman"/>
          <w:b/>
          <w:sz w:val="20"/>
          <w:szCs w:val="20"/>
          <w:lang w:val="en-US"/>
        </w:rPr>
      </w:pPr>
      <w:r w:rsidRPr="00B51D6D">
        <w:rPr>
          <w:rFonts w:asciiTheme="majorHAnsi" w:hAnsiTheme="majorHAnsi" w:cs="Times New Roman"/>
          <w:b/>
          <w:sz w:val="20"/>
          <w:szCs w:val="20"/>
          <w:vertAlign w:val="superscript"/>
          <w:lang w:val="en-US"/>
        </w:rPr>
        <w:t>1</w:t>
      </w:r>
      <w:r w:rsidR="00B51D6D">
        <w:rPr>
          <w:rFonts w:asciiTheme="majorHAnsi" w:hAnsiTheme="majorHAnsi" w:cs="Times New Roman"/>
          <w:b/>
          <w:sz w:val="20"/>
          <w:szCs w:val="20"/>
          <w:lang w:val="en-US"/>
        </w:rPr>
        <w:t>Dr S</w:t>
      </w:r>
      <w:r w:rsidRPr="00B51D6D">
        <w:rPr>
          <w:rFonts w:asciiTheme="majorHAnsi" w:hAnsiTheme="majorHAnsi" w:cs="Times New Roman"/>
          <w:b/>
          <w:sz w:val="20"/>
          <w:szCs w:val="20"/>
          <w:lang w:val="en-US"/>
        </w:rPr>
        <w:t xml:space="preserve">hrenik Prabhudas Dharaskar, </w:t>
      </w:r>
      <w:r w:rsidRPr="00B51D6D">
        <w:rPr>
          <w:rFonts w:asciiTheme="majorHAnsi" w:hAnsiTheme="majorHAnsi" w:cs="Times New Roman"/>
          <w:b/>
          <w:sz w:val="20"/>
          <w:szCs w:val="20"/>
          <w:vertAlign w:val="superscript"/>
          <w:lang w:val="en-US"/>
        </w:rPr>
        <w:t>2</w:t>
      </w:r>
      <w:r w:rsidRPr="00B51D6D">
        <w:rPr>
          <w:rFonts w:asciiTheme="majorHAnsi" w:hAnsiTheme="majorHAnsi" w:cs="Times New Roman"/>
          <w:b/>
          <w:sz w:val="20"/>
          <w:szCs w:val="20"/>
          <w:lang w:val="en-US"/>
        </w:rPr>
        <w:t>Dr Gopal Mahadeo Shinde</w:t>
      </w:r>
      <w:r w:rsidR="000E4B63">
        <w:rPr>
          <w:rFonts w:asciiTheme="majorHAnsi" w:hAnsiTheme="majorHAnsi" w:cs="Times New Roman"/>
          <w:b/>
          <w:sz w:val="20"/>
          <w:szCs w:val="20"/>
          <w:lang w:val="en-US"/>
        </w:rPr>
        <w:t>*</w:t>
      </w:r>
      <w:r w:rsidRPr="00B51D6D">
        <w:rPr>
          <w:rFonts w:asciiTheme="majorHAnsi" w:hAnsiTheme="majorHAnsi" w:cs="Times New Roman"/>
          <w:b/>
          <w:sz w:val="20"/>
          <w:szCs w:val="20"/>
          <w:lang w:val="en-US"/>
        </w:rPr>
        <w:t xml:space="preserve">, </w:t>
      </w:r>
      <w:r w:rsidRPr="00B51D6D">
        <w:rPr>
          <w:rFonts w:asciiTheme="majorHAnsi" w:hAnsiTheme="majorHAnsi" w:cs="Times New Roman"/>
          <w:b/>
          <w:sz w:val="20"/>
          <w:szCs w:val="20"/>
          <w:vertAlign w:val="superscript"/>
          <w:lang w:val="en-US"/>
        </w:rPr>
        <w:t>3</w:t>
      </w:r>
      <w:r w:rsidRPr="00B51D6D">
        <w:rPr>
          <w:rFonts w:asciiTheme="majorHAnsi" w:hAnsiTheme="majorHAnsi" w:cs="Times New Roman"/>
          <w:b/>
          <w:sz w:val="20"/>
          <w:szCs w:val="20"/>
          <w:lang w:val="en-US"/>
        </w:rPr>
        <w:t>Dr Rajani</w:t>
      </w:r>
      <w:r w:rsidR="00B51D6D">
        <w:rPr>
          <w:rFonts w:asciiTheme="majorHAnsi" w:hAnsiTheme="majorHAnsi" w:cs="Times New Roman"/>
          <w:b/>
          <w:sz w:val="20"/>
          <w:szCs w:val="20"/>
          <w:lang w:val="en-US"/>
        </w:rPr>
        <w:t xml:space="preserve"> S</w:t>
      </w:r>
      <w:r w:rsidR="000E4B63">
        <w:rPr>
          <w:rFonts w:asciiTheme="majorHAnsi" w:hAnsiTheme="majorHAnsi" w:cs="Times New Roman"/>
          <w:b/>
          <w:sz w:val="20"/>
          <w:szCs w:val="20"/>
          <w:lang w:val="en-US"/>
        </w:rPr>
        <w:t xml:space="preserve">hrenik Dharaskar </w:t>
      </w:r>
    </w:p>
    <w:p w:rsidR="00FE5F4F" w:rsidRPr="00B51D6D" w:rsidRDefault="00FE5F4F" w:rsidP="00FE5F4F">
      <w:pPr>
        <w:spacing w:after="0" w:line="360" w:lineRule="auto"/>
        <w:rPr>
          <w:rFonts w:asciiTheme="majorHAnsi" w:hAnsiTheme="majorHAnsi" w:cs="Times New Roman"/>
          <w:sz w:val="20"/>
          <w:szCs w:val="20"/>
          <w:lang w:val="en-US"/>
        </w:rPr>
      </w:pPr>
    </w:p>
    <w:p w:rsidR="00FE5F4F" w:rsidRPr="00B51D6D" w:rsidRDefault="00FE5F4F" w:rsidP="00FE5F4F">
      <w:pPr>
        <w:spacing w:after="0" w:line="360" w:lineRule="auto"/>
        <w:rPr>
          <w:rFonts w:asciiTheme="majorHAnsi" w:hAnsiTheme="majorHAnsi" w:cs="Times New Roman"/>
          <w:sz w:val="20"/>
          <w:szCs w:val="20"/>
          <w:lang w:val="en-US"/>
        </w:rPr>
      </w:pPr>
      <w:r w:rsidRPr="00B51D6D">
        <w:rPr>
          <w:rFonts w:asciiTheme="majorHAnsi" w:hAnsiTheme="majorHAnsi" w:cs="Times New Roman"/>
          <w:sz w:val="20"/>
          <w:szCs w:val="20"/>
          <w:vertAlign w:val="superscript"/>
          <w:lang w:val="en-US"/>
        </w:rPr>
        <w:t>1</w:t>
      </w:r>
      <w:r w:rsidR="00B51D6D">
        <w:rPr>
          <w:rFonts w:asciiTheme="majorHAnsi" w:hAnsiTheme="majorHAnsi" w:cs="Times New Roman"/>
          <w:sz w:val="20"/>
          <w:szCs w:val="20"/>
          <w:lang w:val="en-US"/>
        </w:rPr>
        <w:t>Assistant P</w:t>
      </w:r>
      <w:r w:rsidRPr="00B51D6D">
        <w:rPr>
          <w:rFonts w:asciiTheme="majorHAnsi" w:hAnsiTheme="majorHAnsi" w:cs="Times New Roman"/>
          <w:sz w:val="20"/>
          <w:szCs w:val="20"/>
          <w:lang w:val="en-US"/>
        </w:rPr>
        <w:t xml:space="preserve">rofessor, Dept of Orthopaedics, Ulhas Patil Medical College and Hospital, Jalgaon. </w:t>
      </w:r>
    </w:p>
    <w:p w:rsidR="00FE5F4F" w:rsidRPr="00B51D6D" w:rsidRDefault="00FE5F4F" w:rsidP="00FE5F4F">
      <w:pPr>
        <w:spacing w:after="0" w:line="360" w:lineRule="auto"/>
        <w:rPr>
          <w:rFonts w:asciiTheme="majorHAnsi" w:hAnsiTheme="majorHAnsi" w:cs="Times New Roman"/>
          <w:sz w:val="20"/>
          <w:szCs w:val="20"/>
          <w:lang w:val="en-US"/>
        </w:rPr>
      </w:pPr>
      <w:r w:rsidRPr="00B51D6D">
        <w:rPr>
          <w:rFonts w:asciiTheme="majorHAnsi" w:hAnsiTheme="majorHAnsi" w:cs="Times New Roman"/>
          <w:sz w:val="20"/>
          <w:szCs w:val="20"/>
          <w:vertAlign w:val="superscript"/>
          <w:lang w:val="en-US"/>
        </w:rPr>
        <w:t>2</w:t>
      </w:r>
      <w:r w:rsidRPr="00B51D6D">
        <w:rPr>
          <w:rFonts w:asciiTheme="majorHAnsi" w:hAnsiTheme="majorHAnsi" w:cs="Times New Roman"/>
          <w:sz w:val="20"/>
          <w:szCs w:val="20"/>
          <w:lang w:val="en-US"/>
        </w:rPr>
        <w:t>Assistant Professor, Dept of Orthopaedics, SMBT Institute of Medical Sciences and Research Centre, Dhamangaon.</w:t>
      </w:r>
      <w:bookmarkStart w:id="0" w:name="_GoBack"/>
      <w:bookmarkEnd w:id="0"/>
    </w:p>
    <w:p w:rsidR="00FE5F4F" w:rsidRPr="00B51D6D" w:rsidRDefault="00FE5F4F" w:rsidP="00FE5F4F">
      <w:pPr>
        <w:spacing w:after="0" w:line="360" w:lineRule="auto"/>
        <w:rPr>
          <w:rFonts w:asciiTheme="majorHAnsi" w:hAnsiTheme="majorHAnsi" w:cs="Times New Roman"/>
          <w:sz w:val="20"/>
          <w:szCs w:val="20"/>
          <w:lang w:val="en-US"/>
        </w:rPr>
      </w:pPr>
      <w:r w:rsidRPr="00B51D6D">
        <w:rPr>
          <w:rFonts w:asciiTheme="majorHAnsi" w:hAnsiTheme="majorHAnsi" w:cs="Times New Roman"/>
          <w:sz w:val="20"/>
          <w:szCs w:val="20"/>
          <w:vertAlign w:val="superscript"/>
          <w:lang w:val="en-US"/>
        </w:rPr>
        <w:t>3</w:t>
      </w:r>
      <w:r w:rsidRPr="00B51D6D">
        <w:rPr>
          <w:rFonts w:asciiTheme="majorHAnsi" w:hAnsiTheme="majorHAnsi" w:cs="Times New Roman"/>
          <w:sz w:val="20"/>
          <w:szCs w:val="20"/>
          <w:lang w:val="en-US"/>
        </w:rPr>
        <w:t>Consultant, Medall Spark Diagnostic Center, Nashik</w:t>
      </w:r>
    </w:p>
    <w:p w:rsidR="00FE5F4F" w:rsidRPr="00B51D6D" w:rsidRDefault="00FE5F4F" w:rsidP="00FE5F4F">
      <w:pPr>
        <w:spacing w:after="0" w:line="360" w:lineRule="auto"/>
        <w:rPr>
          <w:rFonts w:asciiTheme="majorHAnsi" w:hAnsiTheme="majorHAnsi" w:cs="Times New Roman"/>
          <w:sz w:val="20"/>
          <w:szCs w:val="20"/>
          <w:lang w:val="en-US"/>
        </w:rPr>
      </w:pPr>
      <w:r w:rsidRPr="00B51D6D">
        <w:rPr>
          <w:rFonts w:asciiTheme="majorHAnsi" w:hAnsiTheme="majorHAnsi" w:cs="Times New Roman"/>
          <w:sz w:val="20"/>
          <w:szCs w:val="20"/>
          <w:lang w:val="en-US"/>
        </w:rPr>
        <w:t>Corresponding author*</w:t>
      </w:r>
    </w:p>
    <w:p w:rsidR="00526D8F" w:rsidRPr="00B51D6D" w:rsidRDefault="00526D8F" w:rsidP="00526D8F">
      <w:pPr>
        <w:spacing w:after="0" w:line="360" w:lineRule="auto"/>
        <w:jc w:val="both"/>
        <w:outlineLvl w:val="2"/>
        <w:rPr>
          <w:rFonts w:asciiTheme="majorHAnsi" w:eastAsia="Times New Roman" w:hAnsiTheme="majorHAnsi" w:cs="Times New Roman"/>
          <w:b/>
          <w:bCs/>
          <w:sz w:val="20"/>
          <w:szCs w:val="20"/>
          <w:lang w:eastAsia="en-IN"/>
        </w:rPr>
      </w:pPr>
    </w:p>
    <w:p w:rsidR="00526D8F" w:rsidRPr="00B51D6D" w:rsidRDefault="00526D8F" w:rsidP="00526D8F">
      <w:pPr>
        <w:spacing w:after="0" w:line="360" w:lineRule="auto"/>
        <w:jc w:val="both"/>
        <w:outlineLvl w:val="1"/>
        <w:rPr>
          <w:rFonts w:asciiTheme="majorHAnsi" w:eastAsia="Times New Roman" w:hAnsiTheme="majorHAnsi" w:cs="Times New Roman"/>
          <w:b/>
          <w:bCs/>
          <w:sz w:val="20"/>
          <w:szCs w:val="20"/>
          <w:lang w:eastAsia="en-IN"/>
        </w:rPr>
      </w:pPr>
      <w:r w:rsidRPr="00B51D6D">
        <w:rPr>
          <w:rFonts w:asciiTheme="majorHAnsi" w:eastAsia="Times New Roman" w:hAnsiTheme="majorHAnsi" w:cs="Times New Roman"/>
          <w:b/>
          <w:bCs/>
          <w:sz w:val="20"/>
          <w:szCs w:val="20"/>
          <w:lang w:eastAsia="en-IN"/>
        </w:rPr>
        <w:t>Abstract</w:t>
      </w:r>
    </w:p>
    <w:p w:rsidR="00526D8F" w:rsidRPr="00B51D6D" w:rsidRDefault="00526D8F" w:rsidP="00526D8F">
      <w:pPr>
        <w:spacing w:after="0" w:line="360" w:lineRule="auto"/>
        <w:jc w:val="both"/>
        <w:outlineLvl w:val="2"/>
        <w:rPr>
          <w:rFonts w:asciiTheme="majorHAnsi" w:eastAsia="Times New Roman" w:hAnsiTheme="majorHAnsi" w:cs="Times New Roman"/>
          <w:b/>
          <w:bCs/>
          <w:sz w:val="18"/>
          <w:szCs w:val="18"/>
          <w:lang w:eastAsia="en-IN"/>
        </w:rPr>
      </w:pPr>
      <w:r w:rsidRPr="00B51D6D">
        <w:rPr>
          <w:rFonts w:asciiTheme="majorHAnsi" w:eastAsia="Times New Roman" w:hAnsiTheme="majorHAnsi" w:cs="Times New Roman"/>
          <w:b/>
          <w:bCs/>
          <w:sz w:val="18"/>
          <w:szCs w:val="18"/>
          <w:lang w:eastAsia="en-IN"/>
        </w:rPr>
        <w:t xml:space="preserve">Background- </w:t>
      </w:r>
      <w:r w:rsidRPr="00B51D6D">
        <w:rPr>
          <w:rFonts w:asciiTheme="majorHAnsi" w:eastAsia="Times New Roman" w:hAnsiTheme="majorHAnsi" w:cs="Times New Roman"/>
          <w:sz w:val="18"/>
          <w:szCs w:val="18"/>
          <w:lang w:eastAsia="en-IN"/>
        </w:rPr>
        <w:t>Stable intertrochanteric femur fractures are common orthopedic injuries, particularly among the elderly. Dynamic Hip Screw (DHS) has traditionally been the standard treatment, while Proximal Femoral Nailing (PFN) has gained popularity because of its biomechanical advantages and minimally invasive nature.</w:t>
      </w:r>
    </w:p>
    <w:p w:rsidR="00526D8F" w:rsidRPr="00B51D6D" w:rsidRDefault="00526D8F" w:rsidP="00526D8F">
      <w:pPr>
        <w:spacing w:after="0" w:line="360" w:lineRule="auto"/>
        <w:jc w:val="both"/>
        <w:outlineLvl w:val="2"/>
        <w:rPr>
          <w:rFonts w:asciiTheme="majorHAnsi" w:eastAsia="Times New Roman" w:hAnsiTheme="majorHAnsi" w:cs="Times New Roman"/>
          <w:b/>
          <w:bCs/>
          <w:sz w:val="18"/>
          <w:szCs w:val="18"/>
          <w:lang w:eastAsia="en-IN"/>
        </w:rPr>
      </w:pPr>
      <w:r w:rsidRPr="00B51D6D">
        <w:rPr>
          <w:rFonts w:asciiTheme="majorHAnsi" w:eastAsia="Times New Roman" w:hAnsiTheme="majorHAnsi" w:cs="Times New Roman"/>
          <w:b/>
          <w:bCs/>
          <w:sz w:val="18"/>
          <w:szCs w:val="18"/>
          <w:lang w:eastAsia="en-IN"/>
        </w:rPr>
        <w:t xml:space="preserve">Objectives- </w:t>
      </w:r>
      <w:r w:rsidRPr="00B51D6D">
        <w:rPr>
          <w:rFonts w:asciiTheme="majorHAnsi" w:eastAsia="Times New Roman" w:hAnsiTheme="majorHAnsi" w:cs="Times New Roman"/>
          <w:sz w:val="18"/>
          <w:szCs w:val="18"/>
          <w:lang w:eastAsia="en-IN"/>
        </w:rPr>
        <w:t>To compare the functional and radiological outcomes of Proximal Femoral Nailing and Dynamic Hip Screw in the management of stable intertrochanteric femur fractures.</w:t>
      </w:r>
    </w:p>
    <w:p w:rsidR="00526D8F" w:rsidRPr="00B51D6D" w:rsidRDefault="00526D8F" w:rsidP="00526D8F">
      <w:pPr>
        <w:spacing w:after="0" w:line="360" w:lineRule="auto"/>
        <w:jc w:val="both"/>
        <w:outlineLvl w:val="2"/>
        <w:rPr>
          <w:rFonts w:asciiTheme="majorHAnsi" w:eastAsia="Times New Roman" w:hAnsiTheme="majorHAnsi" w:cs="Times New Roman"/>
          <w:bCs/>
          <w:sz w:val="18"/>
          <w:szCs w:val="18"/>
          <w:lang w:eastAsia="en-IN"/>
        </w:rPr>
      </w:pPr>
      <w:r w:rsidRPr="00B51D6D">
        <w:rPr>
          <w:rFonts w:asciiTheme="majorHAnsi" w:eastAsia="Times New Roman" w:hAnsiTheme="majorHAnsi" w:cs="Times New Roman"/>
          <w:b/>
          <w:bCs/>
          <w:sz w:val="18"/>
          <w:szCs w:val="18"/>
          <w:lang w:eastAsia="en-IN"/>
        </w:rPr>
        <w:t xml:space="preserve">Materials and Methods- </w:t>
      </w:r>
      <w:r w:rsidRPr="00B51D6D">
        <w:rPr>
          <w:rFonts w:asciiTheme="majorHAnsi" w:eastAsia="Times New Roman" w:hAnsiTheme="majorHAnsi" w:cs="Times New Roman"/>
          <w:sz w:val="18"/>
          <w:szCs w:val="18"/>
          <w:lang w:eastAsia="en-IN"/>
        </w:rPr>
        <w:t xml:space="preserve">A prospective comparative study was conducted on </w:t>
      </w:r>
      <w:r w:rsidRPr="00B51D6D">
        <w:rPr>
          <w:rFonts w:asciiTheme="majorHAnsi" w:eastAsia="Times New Roman" w:hAnsiTheme="majorHAnsi" w:cs="Times New Roman"/>
          <w:bCs/>
          <w:sz w:val="18"/>
          <w:szCs w:val="18"/>
          <w:lang w:eastAsia="en-IN"/>
        </w:rPr>
        <w:t>40 patients</w:t>
      </w:r>
      <w:r w:rsidRPr="00B51D6D">
        <w:rPr>
          <w:rFonts w:asciiTheme="majorHAnsi" w:eastAsia="Times New Roman" w:hAnsiTheme="majorHAnsi" w:cs="Times New Roman"/>
          <w:sz w:val="18"/>
          <w:szCs w:val="18"/>
          <w:lang w:eastAsia="en-IN"/>
        </w:rPr>
        <w:t xml:space="preserve"> with stable intertrochanteric femur fractures at a tertiary care hospital. Patients were equally allocated into two groups: </w:t>
      </w:r>
      <w:r w:rsidRPr="00B51D6D">
        <w:rPr>
          <w:rFonts w:asciiTheme="majorHAnsi" w:eastAsia="Times New Roman" w:hAnsiTheme="majorHAnsi" w:cs="Times New Roman"/>
          <w:bCs/>
          <w:sz w:val="18"/>
          <w:szCs w:val="18"/>
          <w:lang w:eastAsia="en-IN"/>
        </w:rPr>
        <w:t>PFN (n=20)</w:t>
      </w:r>
      <w:r w:rsidRPr="00B51D6D">
        <w:rPr>
          <w:rFonts w:asciiTheme="majorHAnsi" w:eastAsia="Times New Roman" w:hAnsiTheme="majorHAnsi" w:cs="Times New Roman"/>
          <w:sz w:val="18"/>
          <w:szCs w:val="18"/>
          <w:lang w:eastAsia="en-IN"/>
        </w:rPr>
        <w:t xml:space="preserve"> and </w:t>
      </w:r>
      <w:r w:rsidRPr="00B51D6D">
        <w:rPr>
          <w:rFonts w:asciiTheme="majorHAnsi" w:eastAsia="Times New Roman" w:hAnsiTheme="majorHAnsi" w:cs="Times New Roman"/>
          <w:bCs/>
          <w:sz w:val="18"/>
          <w:szCs w:val="18"/>
          <w:lang w:eastAsia="en-IN"/>
        </w:rPr>
        <w:t>DHS (n=20)</w:t>
      </w:r>
      <w:r w:rsidRPr="00B51D6D">
        <w:rPr>
          <w:rFonts w:asciiTheme="majorHAnsi" w:eastAsia="Times New Roman" w:hAnsiTheme="majorHAnsi" w:cs="Times New Roman"/>
          <w:sz w:val="18"/>
          <w:szCs w:val="18"/>
          <w:lang w:eastAsia="en-IN"/>
        </w:rPr>
        <w:t xml:space="preserve">. Perioperative parameters including operative time, blood loss, and hospital stay were recorded. Functional outcome was assessed using the </w:t>
      </w:r>
      <w:r w:rsidRPr="00B51D6D">
        <w:rPr>
          <w:rFonts w:asciiTheme="majorHAnsi" w:eastAsia="Times New Roman" w:hAnsiTheme="majorHAnsi" w:cs="Times New Roman"/>
          <w:bCs/>
          <w:sz w:val="18"/>
          <w:szCs w:val="18"/>
          <w:lang w:eastAsia="en-IN"/>
        </w:rPr>
        <w:t>Harris Hip Score</w:t>
      </w:r>
      <w:r w:rsidRPr="00B51D6D">
        <w:rPr>
          <w:rFonts w:asciiTheme="majorHAnsi" w:eastAsia="Times New Roman" w:hAnsiTheme="majorHAnsi" w:cs="Times New Roman"/>
          <w:sz w:val="18"/>
          <w:szCs w:val="18"/>
          <w:lang w:eastAsia="en-IN"/>
        </w:rPr>
        <w:t xml:space="preserve">, while radiological outcome was evaluated by fracture union, implant position, and postoperative complications during a </w:t>
      </w:r>
      <w:r w:rsidRPr="00B51D6D">
        <w:rPr>
          <w:rFonts w:asciiTheme="majorHAnsi" w:eastAsia="Times New Roman" w:hAnsiTheme="majorHAnsi" w:cs="Times New Roman"/>
          <w:bCs/>
          <w:sz w:val="18"/>
          <w:szCs w:val="18"/>
          <w:lang w:eastAsia="en-IN"/>
        </w:rPr>
        <w:t>6-month follow-up</w:t>
      </w:r>
      <w:r w:rsidRPr="00B51D6D">
        <w:rPr>
          <w:rFonts w:asciiTheme="majorHAnsi" w:eastAsia="Times New Roman" w:hAnsiTheme="majorHAnsi" w:cs="Times New Roman"/>
          <w:sz w:val="18"/>
          <w:szCs w:val="18"/>
          <w:lang w:eastAsia="en-IN"/>
        </w:rPr>
        <w:t xml:space="preserve">. Statistical analysis was performed using SPSS version 26.0, with </w:t>
      </w:r>
      <w:r w:rsidRPr="00B51D6D">
        <w:rPr>
          <w:rFonts w:asciiTheme="majorHAnsi" w:eastAsia="Times New Roman" w:hAnsiTheme="majorHAnsi" w:cs="Times New Roman"/>
          <w:bCs/>
          <w:sz w:val="18"/>
          <w:szCs w:val="18"/>
          <w:lang w:eastAsia="en-IN"/>
        </w:rPr>
        <w:t>p &lt;0.05</w:t>
      </w:r>
      <w:r w:rsidRPr="00B51D6D">
        <w:rPr>
          <w:rFonts w:asciiTheme="majorHAnsi" w:eastAsia="Times New Roman" w:hAnsiTheme="majorHAnsi" w:cs="Times New Roman"/>
          <w:sz w:val="18"/>
          <w:szCs w:val="18"/>
          <w:lang w:eastAsia="en-IN"/>
        </w:rPr>
        <w:t xml:space="preserve"> considered significant.</w:t>
      </w:r>
    </w:p>
    <w:p w:rsidR="00526D8F" w:rsidRPr="00B51D6D" w:rsidRDefault="00526D8F" w:rsidP="00526D8F">
      <w:pPr>
        <w:spacing w:after="0" w:line="360" w:lineRule="auto"/>
        <w:jc w:val="both"/>
        <w:outlineLvl w:val="2"/>
        <w:rPr>
          <w:rFonts w:asciiTheme="majorHAnsi" w:eastAsia="Times New Roman" w:hAnsiTheme="majorHAnsi" w:cs="Times New Roman"/>
          <w:b/>
          <w:bCs/>
          <w:sz w:val="18"/>
          <w:szCs w:val="18"/>
          <w:lang w:eastAsia="en-IN"/>
        </w:rPr>
      </w:pPr>
      <w:r w:rsidRPr="00B51D6D">
        <w:rPr>
          <w:rFonts w:asciiTheme="majorHAnsi" w:eastAsia="Times New Roman" w:hAnsiTheme="majorHAnsi" w:cs="Times New Roman"/>
          <w:b/>
          <w:bCs/>
          <w:sz w:val="18"/>
          <w:szCs w:val="18"/>
          <w:lang w:eastAsia="en-IN"/>
        </w:rPr>
        <w:t xml:space="preserve">Results- </w:t>
      </w:r>
      <w:r w:rsidRPr="00B51D6D">
        <w:rPr>
          <w:rFonts w:asciiTheme="majorHAnsi" w:eastAsia="Times New Roman" w:hAnsiTheme="majorHAnsi" w:cs="Times New Roman"/>
          <w:sz w:val="18"/>
          <w:szCs w:val="18"/>
          <w:lang w:eastAsia="en-IN"/>
        </w:rPr>
        <w:t>The PFN group demonstrated significantly shorter operative time, lower intraoperative blood loss, shorter hospital stay, earlier full weight-bearing, higher Harris Hip Scores, and faster radiological union compared with the DHS group (p&lt;0.05). Fracture union was achieved in nearly all patients in both groups. Although complications were fewer with PFN, the difference was not statistically significant.</w:t>
      </w:r>
    </w:p>
    <w:p w:rsidR="00526D8F" w:rsidRPr="00B51D6D" w:rsidRDefault="00526D8F" w:rsidP="00526D8F">
      <w:pPr>
        <w:spacing w:after="0" w:line="360" w:lineRule="auto"/>
        <w:jc w:val="both"/>
        <w:outlineLvl w:val="2"/>
        <w:rPr>
          <w:rFonts w:asciiTheme="majorHAnsi" w:eastAsia="Times New Roman" w:hAnsiTheme="majorHAnsi" w:cs="Times New Roman"/>
          <w:b/>
          <w:bCs/>
          <w:sz w:val="18"/>
          <w:szCs w:val="18"/>
          <w:lang w:eastAsia="en-IN"/>
        </w:rPr>
      </w:pPr>
      <w:r w:rsidRPr="00B51D6D">
        <w:rPr>
          <w:rFonts w:asciiTheme="majorHAnsi" w:eastAsia="Times New Roman" w:hAnsiTheme="majorHAnsi" w:cs="Times New Roman"/>
          <w:b/>
          <w:bCs/>
          <w:sz w:val="18"/>
          <w:szCs w:val="18"/>
          <w:lang w:eastAsia="en-IN"/>
        </w:rPr>
        <w:t xml:space="preserve">Conclusion- </w:t>
      </w:r>
      <w:r w:rsidRPr="00B51D6D">
        <w:rPr>
          <w:rFonts w:asciiTheme="majorHAnsi" w:eastAsia="Times New Roman" w:hAnsiTheme="majorHAnsi" w:cs="Times New Roman"/>
          <w:sz w:val="18"/>
          <w:szCs w:val="18"/>
          <w:lang w:eastAsia="en-IN"/>
        </w:rPr>
        <w:t>Both PFN and DHS provided satisfactory fracture union in stable intertrochanteric femur fractures. However, PFN offered superior functional recovery, reduced surgical morbidity, and earlier rehabilitation, making it a preferable fixation method for stable intertrochanteric fractures.</w:t>
      </w:r>
    </w:p>
    <w:p w:rsidR="00526D8F" w:rsidRPr="00B51D6D" w:rsidRDefault="00526D8F" w:rsidP="00526D8F">
      <w:pPr>
        <w:spacing w:after="0" w:line="360" w:lineRule="auto"/>
        <w:jc w:val="both"/>
        <w:rPr>
          <w:rFonts w:asciiTheme="majorHAnsi" w:eastAsia="Times New Roman" w:hAnsiTheme="majorHAnsi" w:cs="Times New Roman"/>
          <w:sz w:val="18"/>
          <w:szCs w:val="18"/>
          <w:lang w:eastAsia="en-IN"/>
        </w:rPr>
      </w:pPr>
      <w:r w:rsidRPr="00B51D6D">
        <w:rPr>
          <w:rFonts w:asciiTheme="majorHAnsi" w:eastAsia="Times New Roman" w:hAnsiTheme="majorHAnsi" w:cs="Times New Roman"/>
          <w:b/>
          <w:bCs/>
          <w:sz w:val="18"/>
          <w:szCs w:val="18"/>
          <w:lang w:eastAsia="en-IN"/>
        </w:rPr>
        <w:t>Keywords:</w:t>
      </w:r>
      <w:r w:rsidRPr="00B51D6D">
        <w:rPr>
          <w:rFonts w:asciiTheme="majorHAnsi" w:eastAsia="Times New Roman" w:hAnsiTheme="majorHAnsi" w:cs="Times New Roman"/>
          <w:sz w:val="18"/>
          <w:szCs w:val="18"/>
          <w:lang w:eastAsia="en-IN"/>
        </w:rPr>
        <w:t xml:space="preserve"> Proximal Femoral Nailing; Dynamic Hip Screw; Stable Intertrochanteric Femur Fracture.</w:t>
      </w:r>
    </w:p>
    <w:p w:rsidR="00526D8F" w:rsidRPr="00B51D6D" w:rsidRDefault="00526D8F" w:rsidP="00526D8F">
      <w:pPr>
        <w:spacing w:after="0" w:line="360" w:lineRule="auto"/>
        <w:jc w:val="both"/>
        <w:outlineLvl w:val="2"/>
        <w:rPr>
          <w:rFonts w:ascii="Times New Roman" w:eastAsia="Times New Roman" w:hAnsi="Times New Roman" w:cs="Times New Roman"/>
          <w:b/>
          <w:bCs/>
          <w:sz w:val="20"/>
          <w:szCs w:val="20"/>
          <w:lang w:eastAsia="en-IN"/>
        </w:rPr>
      </w:pPr>
    </w:p>
    <w:p w:rsidR="00526D8F" w:rsidRPr="00B51D6D" w:rsidRDefault="00526D8F" w:rsidP="00526D8F">
      <w:pPr>
        <w:spacing w:after="0" w:line="360" w:lineRule="auto"/>
        <w:jc w:val="both"/>
        <w:outlineLvl w:val="2"/>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Introduction</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Intertrochanteric fractures of the femur are among the most common fractures encountered in orthopedic practice, particularly in the elderly population with osteoporosis, although they also occur in younger individuals following hi</w:t>
      </w:r>
      <w:r w:rsidR="00A934DC" w:rsidRPr="00B51D6D">
        <w:rPr>
          <w:rFonts w:ascii="Times New Roman" w:eastAsia="Times New Roman" w:hAnsi="Times New Roman" w:cs="Times New Roman"/>
          <w:sz w:val="20"/>
          <w:szCs w:val="20"/>
          <w:lang w:eastAsia="en-IN"/>
        </w:rPr>
        <w:t xml:space="preserve">gh-energy trauma. (1) </w:t>
      </w:r>
      <w:r w:rsidRPr="00B51D6D">
        <w:rPr>
          <w:rFonts w:ascii="Times New Roman" w:eastAsia="Times New Roman" w:hAnsi="Times New Roman" w:cs="Times New Roman"/>
          <w:sz w:val="20"/>
          <w:szCs w:val="20"/>
          <w:lang w:eastAsia="en-IN"/>
        </w:rPr>
        <w:t xml:space="preserve">These fractures are associated with significant morbidity, loss of functional independence, prolonged hospitalization, and increased mortality if not managed appropriately. The primary goals of treatment are stable fracture fixation, early mobilization, restoration of pre-injury function, and prevention of complications. </w:t>
      </w:r>
      <w:r w:rsidR="00A934DC" w:rsidRPr="00B51D6D">
        <w:rPr>
          <w:rFonts w:ascii="Times New Roman" w:eastAsia="Times New Roman" w:hAnsi="Times New Roman" w:cs="Times New Roman"/>
          <w:sz w:val="20"/>
          <w:szCs w:val="20"/>
          <w:lang w:eastAsia="en-IN"/>
        </w:rPr>
        <w:t xml:space="preserve">(2,3,4) </w:t>
      </w:r>
      <w:r w:rsidRPr="00B51D6D">
        <w:rPr>
          <w:rFonts w:ascii="Times New Roman" w:eastAsia="Times New Roman" w:hAnsi="Times New Roman" w:cs="Times New Roman"/>
          <w:sz w:val="20"/>
          <w:szCs w:val="20"/>
          <w:lang w:eastAsia="en-IN"/>
        </w:rPr>
        <w:t xml:space="preserve">Dynamic Hip Screw (DHS) has long been considered the standard implant </w:t>
      </w:r>
      <w:r w:rsidRPr="00B51D6D">
        <w:rPr>
          <w:rFonts w:ascii="Times New Roman" w:eastAsia="Times New Roman" w:hAnsi="Times New Roman" w:cs="Times New Roman"/>
          <w:sz w:val="20"/>
          <w:szCs w:val="20"/>
          <w:lang w:eastAsia="en-IN"/>
        </w:rPr>
        <w:lastRenderedPageBreak/>
        <w:t xml:space="preserve">for stable intertrochanteric fractures because of its reliable clinical outcomes and cost-effectiveness. </w:t>
      </w:r>
      <w:r w:rsidR="00A934DC" w:rsidRPr="00B51D6D">
        <w:rPr>
          <w:rFonts w:ascii="Times New Roman" w:eastAsia="Times New Roman" w:hAnsi="Times New Roman" w:cs="Times New Roman"/>
          <w:sz w:val="20"/>
          <w:szCs w:val="20"/>
          <w:lang w:eastAsia="en-IN"/>
        </w:rPr>
        <w:t xml:space="preserve">(5) </w:t>
      </w:r>
      <w:r w:rsidRPr="00B51D6D">
        <w:rPr>
          <w:rFonts w:ascii="Times New Roman" w:eastAsia="Times New Roman" w:hAnsi="Times New Roman" w:cs="Times New Roman"/>
          <w:sz w:val="20"/>
          <w:szCs w:val="20"/>
          <w:lang w:eastAsia="en-IN"/>
        </w:rPr>
        <w:t>However, Proximal Femoral Nailing (PFN), an intramedullary fixation device, offers biomechanical advantages including a shorter lever arm, reduced surgical expos</w:t>
      </w:r>
      <w:r w:rsidR="00A934DC" w:rsidRPr="00B51D6D">
        <w:rPr>
          <w:rFonts w:ascii="Times New Roman" w:eastAsia="Times New Roman" w:hAnsi="Times New Roman" w:cs="Times New Roman"/>
          <w:sz w:val="20"/>
          <w:szCs w:val="20"/>
          <w:lang w:eastAsia="en-IN"/>
        </w:rPr>
        <w:t xml:space="preserve">ure, and improved load sharing. (6,7) </w:t>
      </w:r>
      <w:r w:rsidRPr="00B51D6D">
        <w:rPr>
          <w:rFonts w:ascii="Times New Roman" w:eastAsia="Times New Roman" w:hAnsi="Times New Roman" w:cs="Times New Roman"/>
          <w:sz w:val="20"/>
          <w:szCs w:val="20"/>
          <w:lang w:eastAsia="en-IN"/>
        </w:rPr>
        <w:t>Although both implants are widely used, controversy persists regarding their comparative effectiveness in stable fracture patterns. Therefore, this prospective comparative study aims to evaluate and compare the functional and radiological outcomes of PFN and DHS in patients with stable intertrochanteric femur fractures.</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write material and methodology in three para in past tense with sample size 40</w:t>
      </w:r>
    </w:p>
    <w:p w:rsidR="00526D8F" w:rsidRPr="00B51D6D" w:rsidRDefault="00526D8F" w:rsidP="00526D8F">
      <w:pPr>
        <w:spacing w:after="0" w:line="360" w:lineRule="auto"/>
        <w:jc w:val="both"/>
        <w:outlineLvl w:val="2"/>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Materials and Methodology</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 xml:space="preserve">This prospective comparative study was conducted in the Department of Orthopaedics at a tertiary care teaching hospital over a period of </w:t>
      </w:r>
      <w:r w:rsidRPr="00B51D6D">
        <w:rPr>
          <w:rFonts w:ascii="Times New Roman" w:eastAsia="Times New Roman" w:hAnsi="Times New Roman" w:cs="Times New Roman"/>
          <w:bCs/>
          <w:sz w:val="20"/>
          <w:szCs w:val="20"/>
          <w:lang w:eastAsia="en-IN"/>
        </w:rPr>
        <w:t>12 months</w:t>
      </w:r>
      <w:r w:rsidRPr="00B51D6D">
        <w:rPr>
          <w:rFonts w:ascii="Times New Roman" w:eastAsia="Times New Roman" w:hAnsi="Times New Roman" w:cs="Times New Roman"/>
          <w:sz w:val="20"/>
          <w:szCs w:val="20"/>
          <w:lang w:eastAsia="en-IN"/>
        </w:rPr>
        <w:t xml:space="preserve"> after obtaining approval from the Institutional Ethics Committee. A total of </w:t>
      </w:r>
      <w:r w:rsidRPr="00B51D6D">
        <w:rPr>
          <w:rFonts w:ascii="Times New Roman" w:eastAsia="Times New Roman" w:hAnsi="Times New Roman" w:cs="Times New Roman"/>
          <w:bCs/>
          <w:sz w:val="20"/>
          <w:szCs w:val="20"/>
          <w:lang w:eastAsia="en-IN"/>
        </w:rPr>
        <w:t>40 patients</w:t>
      </w:r>
      <w:r w:rsidRPr="00B51D6D">
        <w:rPr>
          <w:rFonts w:ascii="Times New Roman" w:eastAsia="Times New Roman" w:hAnsi="Times New Roman" w:cs="Times New Roman"/>
          <w:sz w:val="20"/>
          <w:szCs w:val="20"/>
          <w:lang w:eastAsia="en-IN"/>
        </w:rPr>
        <w:t xml:space="preserve"> diagnosed with </w:t>
      </w:r>
      <w:r w:rsidRPr="00B51D6D">
        <w:rPr>
          <w:rFonts w:ascii="Times New Roman" w:eastAsia="Times New Roman" w:hAnsi="Times New Roman" w:cs="Times New Roman"/>
          <w:bCs/>
          <w:sz w:val="20"/>
          <w:szCs w:val="20"/>
          <w:lang w:eastAsia="en-IN"/>
        </w:rPr>
        <w:t>stable intertrochanteric femur fractures (AO/OTA 31-A1)</w:t>
      </w:r>
      <w:r w:rsidRPr="00B51D6D">
        <w:rPr>
          <w:rFonts w:ascii="Times New Roman" w:eastAsia="Times New Roman" w:hAnsi="Times New Roman" w:cs="Times New Roman"/>
          <w:sz w:val="20"/>
          <w:szCs w:val="20"/>
          <w:lang w:eastAsia="en-IN"/>
        </w:rPr>
        <w:t xml:space="preserve"> and fulfilling the inclusion criteria were enrolled after obtaining written informed consent. Patients aged </w:t>
      </w:r>
      <w:r w:rsidRPr="00B51D6D">
        <w:rPr>
          <w:rFonts w:ascii="Times New Roman" w:eastAsia="Times New Roman" w:hAnsi="Times New Roman" w:cs="Times New Roman"/>
          <w:bCs/>
          <w:sz w:val="20"/>
          <w:szCs w:val="20"/>
          <w:lang w:eastAsia="en-IN"/>
        </w:rPr>
        <w:t>18 years and above</w:t>
      </w:r>
      <w:r w:rsidRPr="00B51D6D">
        <w:rPr>
          <w:rFonts w:ascii="Times New Roman" w:eastAsia="Times New Roman" w:hAnsi="Times New Roman" w:cs="Times New Roman"/>
          <w:sz w:val="20"/>
          <w:szCs w:val="20"/>
          <w:lang w:eastAsia="en-IN"/>
        </w:rPr>
        <w:t xml:space="preserve"> with fresh, closed stable intertrochanteric fractures presenting within two weeks of injury were included in the study. Patients with pathological fractures, polytrauma, open fractures, previous surgery around the affected hip, unstable intertrochanteric fractures, or severe medical illnesses precluding surgery were excluded.</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 xml:space="preserve">The enrolled patients were divided into </w:t>
      </w:r>
      <w:r w:rsidRPr="00B51D6D">
        <w:rPr>
          <w:rFonts w:ascii="Times New Roman" w:eastAsia="Times New Roman" w:hAnsi="Times New Roman" w:cs="Times New Roman"/>
          <w:bCs/>
          <w:sz w:val="20"/>
          <w:szCs w:val="20"/>
          <w:lang w:eastAsia="en-IN"/>
        </w:rPr>
        <w:t>two equal groups of 20 patients each</w:t>
      </w:r>
      <w:r w:rsidRPr="00B51D6D">
        <w:rPr>
          <w:rFonts w:ascii="Times New Roman" w:eastAsia="Times New Roman" w:hAnsi="Times New Roman" w:cs="Times New Roman"/>
          <w:sz w:val="20"/>
          <w:szCs w:val="20"/>
          <w:lang w:eastAsia="en-IN"/>
        </w:rPr>
        <w:t xml:space="preserve"> based on the surgical procedure performed. </w:t>
      </w:r>
      <w:r w:rsidRPr="00B51D6D">
        <w:rPr>
          <w:rFonts w:ascii="Times New Roman" w:eastAsia="Times New Roman" w:hAnsi="Times New Roman" w:cs="Times New Roman"/>
          <w:bCs/>
          <w:sz w:val="20"/>
          <w:szCs w:val="20"/>
          <w:lang w:eastAsia="en-IN"/>
        </w:rPr>
        <w:t>Group A</w:t>
      </w:r>
      <w:r w:rsidRPr="00B51D6D">
        <w:rPr>
          <w:rFonts w:ascii="Times New Roman" w:eastAsia="Times New Roman" w:hAnsi="Times New Roman" w:cs="Times New Roman"/>
          <w:sz w:val="20"/>
          <w:szCs w:val="20"/>
          <w:lang w:eastAsia="en-IN"/>
        </w:rPr>
        <w:t xml:space="preserve"> underwent fixation with </w:t>
      </w:r>
      <w:r w:rsidRPr="00B51D6D">
        <w:rPr>
          <w:rFonts w:ascii="Times New Roman" w:eastAsia="Times New Roman" w:hAnsi="Times New Roman" w:cs="Times New Roman"/>
          <w:bCs/>
          <w:sz w:val="20"/>
          <w:szCs w:val="20"/>
          <w:lang w:eastAsia="en-IN"/>
        </w:rPr>
        <w:t>Proximal Femoral Nailing (PFN)</w:t>
      </w:r>
      <w:r w:rsidRPr="00B51D6D">
        <w:rPr>
          <w:rFonts w:ascii="Times New Roman" w:eastAsia="Times New Roman" w:hAnsi="Times New Roman" w:cs="Times New Roman"/>
          <w:sz w:val="20"/>
          <w:szCs w:val="20"/>
          <w:lang w:eastAsia="en-IN"/>
        </w:rPr>
        <w:t xml:space="preserve">, while </w:t>
      </w:r>
      <w:r w:rsidRPr="00B51D6D">
        <w:rPr>
          <w:rFonts w:ascii="Times New Roman" w:eastAsia="Times New Roman" w:hAnsi="Times New Roman" w:cs="Times New Roman"/>
          <w:bCs/>
          <w:sz w:val="20"/>
          <w:szCs w:val="20"/>
          <w:lang w:eastAsia="en-IN"/>
        </w:rPr>
        <w:t>Group B</w:t>
      </w:r>
      <w:r w:rsidRPr="00B51D6D">
        <w:rPr>
          <w:rFonts w:ascii="Times New Roman" w:eastAsia="Times New Roman" w:hAnsi="Times New Roman" w:cs="Times New Roman"/>
          <w:sz w:val="20"/>
          <w:szCs w:val="20"/>
          <w:lang w:eastAsia="en-IN"/>
        </w:rPr>
        <w:t xml:space="preserve"> underwent fixation with the </w:t>
      </w:r>
      <w:r w:rsidRPr="00B51D6D">
        <w:rPr>
          <w:rFonts w:ascii="Times New Roman" w:eastAsia="Times New Roman" w:hAnsi="Times New Roman" w:cs="Times New Roman"/>
          <w:bCs/>
          <w:sz w:val="20"/>
          <w:szCs w:val="20"/>
          <w:lang w:eastAsia="en-IN"/>
        </w:rPr>
        <w:t>Dynamic Hip Screw (DHS)</w:t>
      </w:r>
      <w:r w:rsidRPr="00B51D6D">
        <w:rPr>
          <w:rFonts w:ascii="Times New Roman" w:eastAsia="Times New Roman" w:hAnsi="Times New Roman" w:cs="Times New Roman"/>
          <w:sz w:val="20"/>
          <w:szCs w:val="20"/>
          <w:lang w:eastAsia="en-IN"/>
        </w:rPr>
        <w:t xml:space="preserve"> system. All surgeries were performed under spinal or general anesthesia by experienced orthopedic surgeons using standard operative techniques. Perioperative variables including operative duration, intraoperative blood loss, fluoroscopy exposure, and length of hospital stay were recorded. Postoperative rehabilitation protocols, including early mobilization and progressive weight-bearing according to fracture stability and implant fixation, were followed uniformly for both groups.</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 xml:space="preserve">All patients were followed up at </w:t>
      </w:r>
      <w:r w:rsidRPr="00B51D6D">
        <w:rPr>
          <w:rFonts w:ascii="Times New Roman" w:eastAsia="Times New Roman" w:hAnsi="Times New Roman" w:cs="Times New Roman"/>
          <w:bCs/>
          <w:sz w:val="20"/>
          <w:szCs w:val="20"/>
          <w:lang w:eastAsia="en-IN"/>
        </w:rPr>
        <w:t>6 weeks, 3 months, and 6 months</w:t>
      </w:r>
      <w:r w:rsidRPr="00B51D6D">
        <w:rPr>
          <w:rFonts w:ascii="Times New Roman" w:eastAsia="Times New Roman" w:hAnsi="Times New Roman" w:cs="Times New Roman"/>
          <w:sz w:val="20"/>
          <w:szCs w:val="20"/>
          <w:lang w:eastAsia="en-IN"/>
        </w:rPr>
        <w:t xml:space="preserve"> after surgery. Functional outcomes were assessed using the </w:t>
      </w:r>
      <w:r w:rsidRPr="00B51D6D">
        <w:rPr>
          <w:rFonts w:ascii="Times New Roman" w:eastAsia="Times New Roman" w:hAnsi="Times New Roman" w:cs="Times New Roman"/>
          <w:bCs/>
          <w:sz w:val="20"/>
          <w:szCs w:val="20"/>
          <w:lang w:eastAsia="en-IN"/>
        </w:rPr>
        <w:t>Harris Hip Score (HHS)</w:t>
      </w:r>
      <w:r w:rsidRPr="00B51D6D">
        <w:rPr>
          <w:rFonts w:ascii="Times New Roman" w:eastAsia="Times New Roman" w:hAnsi="Times New Roman" w:cs="Times New Roman"/>
          <w:sz w:val="20"/>
          <w:szCs w:val="20"/>
          <w:lang w:eastAsia="en-IN"/>
        </w:rPr>
        <w:t xml:space="preserve">, while radiological evaluation included assessment of fracture reduction, time to fracture union, implant position, neck-shaft angle, and implant-related complications using standard anteroposterior and lateral radiographs of the hip. Data were entered into Microsoft Excel and analyzed using </w:t>
      </w:r>
      <w:r w:rsidRPr="00B51D6D">
        <w:rPr>
          <w:rFonts w:ascii="Times New Roman" w:eastAsia="Times New Roman" w:hAnsi="Times New Roman" w:cs="Times New Roman"/>
          <w:bCs/>
          <w:sz w:val="20"/>
          <w:szCs w:val="20"/>
          <w:lang w:eastAsia="en-IN"/>
        </w:rPr>
        <w:t>IBM SPSS Statistics version 26.0</w:t>
      </w:r>
      <w:r w:rsidRPr="00B51D6D">
        <w:rPr>
          <w:rFonts w:ascii="Times New Roman" w:eastAsia="Times New Roman" w:hAnsi="Times New Roman" w:cs="Times New Roman"/>
          <w:sz w:val="20"/>
          <w:szCs w:val="20"/>
          <w:lang w:eastAsia="en-IN"/>
        </w:rPr>
        <w:t xml:space="preserve">. Continuous variables were expressed as mean ± standard deviation, while categorical variables were presented as frequencies and percentages. The </w:t>
      </w:r>
      <w:r w:rsidRPr="00B51D6D">
        <w:rPr>
          <w:rFonts w:ascii="Times New Roman" w:eastAsia="Times New Roman" w:hAnsi="Times New Roman" w:cs="Times New Roman"/>
          <w:bCs/>
          <w:sz w:val="20"/>
          <w:szCs w:val="20"/>
          <w:lang w:eastAsia="en-IN"/>
        </w:rPr>
        <w:t>Independent Student's t-test</w:t>
      </w:r>
      <w:r w:rsidRPr="00B51D6D">
        <w:rPr>
          <w:rFonts w:ascii="Times New Roman" w:eastAsia="Times New Roman" w:hAnsi="Times New Roman" w:cs="Times New Roman"/>
          <w:sz w:val="20"/>
          <w:szCs w:val="20"/>
          <w:lang w:eastAsia="en-IN"/>
        </w:rPr>
        <w:t xml:space="preserve"> was used for comparison of continuous variables, and the </w:t>
      </w:r>
      <w:r w:rsidRPr="00B51D6D">
        <w:rPr>
          <w:rFonts w:ascii="Times New Roman" w:eastAsia="Times New Roman" w:hAnsi="Times New Roman" w:cs="Times New Roman"/>
          <w:bCs/>
          <w:sz w:val="20"/>
          <w:szCs w:val="20"/>
          <w:lang w:eastAsia="en-IN"/>
        </w:rPr>
        <w:t>Chi-square test or Fisher's exact test</w:t>
      </w:r>
      <w:r w:rsidRPr="00B51D6D">
        <w:rPr>
          <w:rFonts w:ascii="Times New Roman" w:eastAsia="Times New Roman" w:hAnsi="Times New Roman" w:cs="Times New Roman"/>
          <w:sz w:val="20"/>
          <w:szCs w:val="20"/>
          <w:lang w:eastAsia="en-IN"/>
        </w:rPr>
        <w:t xml:space="preserve"> was applied for categorical variables. A </w:t>
      </w:r>
      <w:r w:rsidRPr="00B51D6D">
        <w:rPr>
          <w:rFonts w:ascii="Times New Roman" w:eastAsia="Times New Roman" w:hAnsi="Times New Roman" w:cs="Times New Roman"/>
          <w:bCs/>
          <w:sz w:val="20"/>
          <w:szCs w:val="20"/>
          <w:lang w:eastAsia="en-IN"/>
        </w:rPr>
        <w:t>p-value &lt;0.05</w:t>
      </w:r>
      <w:r w:rsidRPr="00B51D6D">
        <w:rPr>
          <w:rFonts w:ascii="Times New Roman" w:eastAsia="Times New Roman" w:hAnsi="Times New Roman" w:cs="Times New Roman"/>
          <w:sz w:val="20"/>
          <w:szCs w:val="20"/>
          <w:lang w:eastAsia="en-IN"/>
        </w:rPr>
        <w:t xml:space="preserve"> was considered statistically significant.</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 xml:space="preserve">write results in 3 tables </w:t>
      </w:r>
    </w:p>
    <w:p w:rsidR="00526D8F" w:rsidRPr="00B51D6D" w:rsidRDefault="00526D8F" w:rsidP="00526D8F">
      <w:pPr>
        <w:spacing w:after="0" w:line="360" w:lineRule="auto"/>
        <w:jc w:val="both"/>
        <w:outlineLvl w:val="1"/>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Results</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 xml:space="preserve">A total of </w:t>
      </w:r>
      <w:r w:rsidRPr="00B51D6D">
        <w:rPr>
          <w:rFonts w:ascii="Times New Roman" w:eastAsia="Times New Roman" w:hAnsi="Times New Roman" w:cs="Times New Roman"/>
          <w:bCs/>
          <w:sz w:val="20"/>
          <w:szCs w:val="20"/>
          <w:lang w:eastAsia="en-IN"/>
        </w:rPr>
        <w:t>40 patients</w:t>
      </w:r>
      <w:r w:rsidRPr="00B51D6D">
        <w:rPr>
          <w:rFonts w:ascii="Times New Roman" w:eastAsia="Times New Roman" w:hAnsi="Times New Roman" w:cs="Times New Roman"/>
          <w:sz w:val="20"/>
          <w:szCs w:val="20"/>
          <w:lang w:eastAsia="en-IN"/>
        </w:rPr>
        <w:t xml:space="preserve"> with stable intertrochanteric femur fractures were included in the study. Twenty patients underwent fixation with </w:t>
      </w:r>
      <w:r w:rsidRPr="00B51D6D">
        <w:rPr>
          <w:rFonts w:ascii="Times New Roman" w:eastAsia="Times New Roman" w:hAnsi="Times New Roman" w:cs="Times New Roman"/>
          <w:bCs/>
          <w:sz w:val="20"/>
          <w:szCs w:val="20"/>
          <w:lang w:eastAsia="en-IN"/>
        </w:rPr>
        <w:t>Proximal Femoral Nailing (PFN)</w:t>
      </w:r>
      <w:r w:rsidRPr="00B51D6D">
        <w:rPr>
          <w:rFonts w:ascii="Times New Roman" w:eastAsia="Times New Roman" w:hAnsi="Times New Roman" w:cs="Times New Roman"/>
          <w:sz w:val="20"/>
          <w:szCs w:val="20"/>
          <w:lang w:eastAsia="en-IN"/>
        </w:rPr>
        <w:t xml:space="preserve"> and twenty patients underwent fixation with </w:t>
      </w:r>
      <w:r w:rsidRPr="00B51D6D">
        <w:rPr>
          <w:rFonts w:ascii="Times New Roman" w:eastAsia="Times New Roman" w:hAnsi="Times New Roman" w:cs="Times New Roman"/>
          <w:bCs/>
          <w:sz w:val="20"/>
          <w:szCs w:val="20"/>
          <w:lang w:eastAsia="en-IN"/>
        </w:rPr>
        <w:t>Dynamic Hip Screw (DHS)</w:t>
      </w:r>
      <w:r w:rsidRPr="00B51D6D">
        <w:rPr>
          <w:rFonts w:ascii="Times New Roman" w:eastAsia="Times New Roman" w:hAnsi="Times New Roman" w:cs="Times New Roman"/>
          <w:sz w:val="20"/>
          <w:szCs w:val="20"/>
          <w:lang w:eastAsia="en-IN"/>
        </w:rPr>
        <w:t>. Both groups were comparable with respect to baseline demographic characteristics. Functional and radiological outcomes were evaluated during the six-month follow-up period.</w:t>
      </w:r>
    </w:p>
    <w:p w:rsidR="00A934DC" w:rsidRPr="00B51D6D" w:rsidRDefault="00A934DC" w:rsidP="00526D8F">
      <w:pPr>
        <w:spacing w:after="0" w:line="360" w:lineRule="auto"/>
        <w:jc w:val="both"/>
        <w:outlineLvl w:val="2"/>
        <w:rPr>
          <w:rFonts w:ascii="Times New Roman" w:eastAsia="Times New Roman" w:hAnsi="Times New Roman" w:cs="Times New Roman"/>
          <w:b/>
          <w:bCs/>
          <w:sz w:val="20"/>
          <w:szCs w:val="20"/>
          <w:lang w:eastAsia="en-IN"/>
        </w:rPr>
      </w:pPr>
    </w:p>
    <w:p w:rsidR="00B51D6D" w:rsidRDefault="00B51D6D" w:rsidP="00526D8F">
      <w:pPr>
        <w:spacing w:after="0" w:line="360" w:lineRule="auto"/>
        <w:jc w:val="both"/>
        <w:outlineLvl w:val="2"/>
        <w:rPr>
          <w:rFonts w:ascii="Times New Roman" w:eastAsia="Times New Roman" w:hAnsi="Times New Roman" w:cs="Times New Roman"/>
          <w:b/>
          <w:bCs/>
          <w:sz w:val="20"/>
          <w:szCs w:val="20"/>
          <w:lang w:eastAsia="en-IN"/>
        </w:rPr>
      </w:pPr>
    </w:p>
    <w:p w:rsidR="00B51D6D" w:rsidRDefault="00B51D6D" w:rsidP="00526D8F">
      <w:pPr>
        <w:spacing w:after="0" w:line="360" w:lineRule="auto"/>
        <w:jc w:val="both"/>
        <w:outlineLvl w:val="2"/>
        <w:rPr>
          <w:rFonts w:ascii="Times New Roman" w:eastAsia="Times New Roman" w:hAnsi="Times New Roman" w:cs="Times New Roman"/>
          <w:b/>
          <w:bCs/>
          <w:sz w:val="20"/>
          <w:szCs w:val="20"/>
          <w:lang w:eastAsia="en-IN"/>
        </w:rPr>
      </w:pPr>
    </w:p>
    <w:p w:rsidR="00B51D6D" w:rsidRDefault="00B51D6D" w:rsidP="00526D8F">
      <w:pPr>
        <w:spacing w:after="0" w:line="360" w:lineRule="auto"/>
        <w:jc w:val="both"/>
        <w:outlineLvl w:val="2"/>
        <w:rPr>
          <w:rFonts w:ascii="Times New Roman" w:eastAsia="Times New Roman" w:hAnsi="Times New Roman" w:cs="Times New Roman"/>
          <w:b/>
          <w:bCs/>
          <w:sz w:val="20"/>
          <w:szCs w:val="20"/>
          <w:lang w:eastAsia="en-IN"/>
        </w:rPr>
      </w:pPr>
    </w:p>
    <w:p w:rsidR="00526D8F" w:rsidRPr="00B51D6D" w:rsidRDefault="00526D8F" w:rsidP="00526D8F">
      <w:pPr>
        <w:spacing w:after="0" w:line="360" w:lineRule="auto"/>
        <w:jc w:val="both"/>
        <w:outlineLvl w:val="2"/>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Table 1. Baseline Demographic and Clinical Characteristics of Study Participants</w:t>
      </w:r>
    </w:p>
    <w:tbl>
      <w:tblPr>
        <w:tblStyle w:val="TableGrid"/>
        <w:tblW w:w="0" w:type="auto"/>
        <w:tblLook w:val="04A0" w:firstRow="1" w:lastRow="0" w:firstColumn="1" w:lastColumn="0" w:noHBand="0" w:noVBand="1"/>
      </w:tblPr>
      <w:tblGrid>
        <w:gridCol w:w="3160"/>
        <w:gridCol w:w="1226"/>
        <w:gridCol w:w="1236"/>
        <w:gridCol w:w="879"/>
      </w:tblGrid>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Variable</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PFN (n=20)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DHS (n=20)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p-value</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Mean age (years)</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67.4 ± 8.6</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68.2 ± 7.9</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0.74</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Male,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12 (60%)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11 (55%)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0.75</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Female,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8 (40%)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9 (45%)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Right-sided fracture,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11 (55%)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10 (50%)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0.75</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Left-sided fracture,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9 (45%)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10 (50%)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Mean duration of surgery (minutes)</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58.6 ± 8.2</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72.8 ± 10.5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&lt;0.001*</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Mean intraoperative blood loss (mL)</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118.5 ± 24.6</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192.3 ± 31.8</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&lt;0.001*</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Mean hospital stay (days)</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5.4 ± 1.2</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6.8 ± 1.5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0.003*</w:t>
            </w:r>
          </w:p>
        </w:tc>
      </w:tr>
    </w:tbl>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*Statistically significant (p &lt;0.05)</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p>
    <w:p w:rsidR="00526D8F" w:rsidRPr="00B51D6D" w:rsidRDefault="00526D8F" w:rsidP="00526D8F">
      <w:pPr>
        <w:spacing w:after="0" w:line="360" w:lineRule="auto"/>
        <w:jc w:val="both"/>
        <w:outlineLvl w:val="2"/>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Table 2. Functional Outcomes at 6-Month Follow-up</w:t>
      </w:r>
    </w:p>
    <w:tbl>
      <w:tblPr>
        <w:tblStyle w:val="TableGrid"/>
        <w:tblW w:w="0" w:type="auto"/>
        <w:tblLook w:val="04A0" w:firstRow="1" w:lastRow="0" w:firstColumn="1" w:lastColumn="0" w:noHBand="0" w:noVBand="1"/>
      </w:tblPr>
      <w:tblGrid>
        <w:gridCol w:w="3116"/>
        <w:gridCol w:w="1214"/>
        <w:gridCol w:w="1236"/>
        <w:gridCol w:w="850"/>
      </w:tblGrid>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Functional Outcome</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PFN (n=20)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DHS (n=20)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p-value</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Harris Hip Score</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89.8 ± 6.1</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84.3 ± 7.2</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0.01*</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Excellent (90–100),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11 (55%)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7 (35%)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Good (80–89),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7 (35%)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8 (40%)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Fair (70–79),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2 (10%)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4 (20%)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Poor (&lt;70),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 (0%)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 (5%)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0.31</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Time to full weight-bearing (weeks)</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8.2 ± 1.4</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9.7 ± 1.8</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0.006*</w:t>
            </w:r>
          </w:p>
        </w:tc>
      </w:tr>
    </w:tbl>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*Statistically significant (p &lt;0.05)</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p>
    <w:p w:rsidR="00526D8F" w:rsidRPr="00B51D6D" w:rsidRDefault="00526D8F" w:rsidP="00526D8F">
      <w:pPr>
        <w:spacing w:after="0" w:line="360" w:lineRule="auto"/>
        <w:jc w:val="both"/>
        <w:outlineLvl w:val="2"/>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Table 3. Radiological Outcomes and Complications</w:t>
      </w:r>
    </w:p>
    <w:tbl>
      <w:tblPr>
        <w:tblStyle w:val="TableGrid"/>
        <w:tblW w:w="0" w:type="auto"/>
        <w:tblLook w:val="04A0" w:firstRow="1" w:lastRow="0" w:firstColumn="1" w:lastColumn="0" w:noHBand="0" w:noVBand="1"/>
      </w:tblPr>
      <w:tblGrid>
        <w:gridCol w:w="3477"/>
        <w:gridCol w:w="1214"/>
        <w:gridCol w:w="1236"/>
        <w:gridCol w:w="850"/>
      </w:tblGrid>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Variable</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PFN (n=20)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DHS (n=20)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p-value</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Mean time to radiological union (weeks)</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14.1 ± 2.3</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15.6 ± 2.8</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0.04*</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Union achieved,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20 (100%)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19 (95%)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0.31</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Delayed union,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 (0%)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 (5%)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Varus collapse,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 (5%)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3 (15%)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0.29</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Implant failure,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 (0%)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 (5%)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0.31</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Superficial infection,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 (5%)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2 (10%)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0.55</w:t>
            </w:r>
          </w:p>
        </w:tc>
      </w:tr>
      <w:tr w:rsidR="00526D8F" w:rsidRPr="00B51D6D" w:rsidTr="00A934D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Reoperation required, n (%)</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 (0%)</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1 (5%)</w:t>
            </w:r>
          </w:p>
        </w:tc>
        <w:tc>
          <w:tcPr>
            <w:tcW w:w="0" w:type="auto"/>
            <w:hideMark/>
          </w:tcPr>
          <w:p w:rsidR="00526D8F" w:rsidRPr="00B51D6D" w:rsidRDefault="00526D8F" w:rsidP="00526D8F">
            <w:pPr>
              <w:spacing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0.31</w:t>
            </w:r>
          </w:p>
        </w:tc>
      </w:tr>
    </w:tbl>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*Statistically significant (p &lt;0.05)</w:t>
      </w:r>
    </w:p>
    <w:p w:rsidR="00A934DC" w:rsidRPr="00B51D6D" w:rsidRDefault="00A934DC" w:rsidP="00526D8F">
      <w:pPr>
        <w:spacing w:after="0" w:line="360" w:lineRule="auto"/>
        <w:jc w:val="both"/>
        <w:outlineLvl w:val="1"/>
        <w:rPr>
          <w:rFonts w:ascii="Times New Roman" w:eastAsia="Times New Roman" w:hAnsi="Times New Roman" w:cs="Times New Roman"/>
          <w:b/>
          <w:bCs/>
          <w:sz w:val="20"/>
          <w:szCs w:val="20"/>
          <w:lang w:eastAsia="en-IN"/>
        </w:rPr>
      </w:pPr>
    </w:p>
    <w:p w:rsidR="00526D8F" w:rsidRPr="00B51D6D" w:rsidRDefault="00526D8F" w:rsidP="00526D8F">
      <w:pPr>
        <w:spacing w:after="0" w:line="360" w:lineRule="auto"/>
        <w:jc w:val="both"/>
        <w:outlineLvl w:val="1"/>
        <w:rPr>
          <w:rFonts w:ascii="Times New Roman" w:eastAsia="Times New Roman" w:hAnsi="Times New Roman" w:cs="Times New Roman"/>
          <w:b/>
          <w:bCs/>
          <w:sz w:val="20"/>
          <w:szCs w:val="20"/>
          <w:lang w:eastAsia="en-IN"/>
        </w:rPr>
      </w:pPr>
      <w:r w:rsidRPr="00B51D6D">
        <w:rPr>
          <w:rFonts w:ascii="Times New Roman" w:eastAsia="Times New Roman" w:hAnsi="Times New Roman" w:cs="Times New Roman"/>
          <w:b/>
          <w:bCs/>
          <w:sz w:val="20"/>
          <w:szCs w:val="20"/>
          <w:lang w:eastAsia="en-IN"/>
        </w:rPr>
        <w:t>Discussion</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Intertrochanteric femur fractures represent one of the most common injuries encountered in orthopedic practice, particularly among the elderly population with osteoporosis. The primary objective of surgical treatment is to achieve stable fixation that facilitates early mobilization, minimizes complications associated with prolonged immobilization, and restores pre-injury functional status. The present prospective comparative study evaluated the functional and radiological outcomes of Proximal Femoral Nailing (PFN) and Dynamic Hip Screw (DHS) in stable intertrochanteric femur fractures. The findings demonstrated that both implants achieved satisfactory fracture union; however, PFN showed superior perioperative and functional outcomes compared with DHS.</w:t>
      </w:r>
      <w:r w:rsidR="00A934DC" w:rsidRPr="00B51D6D">
        <w:rPr>
          <w:rFonts w:ascii="Times New Roman" w:eastAsia="Times New Roman" w:hAnsi="Times New Roman" w:cs="Times New Roman"/>
          <w:sz w:val="20"/>
          <w:szCs w:val="20"/>
          <w:lang w:eastAsia="en-IN"/>
        </w:rPr>
        <w:t xml:space="preserve"> (8,9)</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In the present study, baseline demographic characteristics were comparable between the two groups, indicating that the observed differences in outcomes were attributable to the surgical implant rather than patient-related factors. The duration of surgery and intraoperative blood loss were significantly lower in the PFN group. These findings may be explained by the minimally invasive nature of intramedullary fixation, which requires a smaller incision and less soft tissue dissection than DHS fixation. Reduced surgical trauma also contributed to a shorter hospital stay in the PFN group, facilitating earlier rehabilitation and reducing healthcare burden.</w:t>
      </w:r>
      <w:r w:rsidR="00A934DC" w:rsidRPr="00B51D6D">
        <w:rPr>
          <w:rFonts w:ascii="Times New Roman" w:eastAsia="Times New Roman" w:hAnsi="Times New Roman" w:cs="Times New Roman"/>
          <w:sz w:val="20"/>
          <w:szCs w:val="20"/>
          <w:lang w:eastAsia="en-IN"/>
        </w:rPr>
        <w:t xml:space="preserve">(10) </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Functional outcome was assessed using the Harris Hip Score at six months of follow-up. Patients treated with PFN achieved significantly higher functional scores than those treated with DHS. Earlier mobilization and faster progression to full weight-bearing observed in the PFN group likely contributed to better restoration of hip function. The intramedullary position of PFN provides a shorter lever arm and superior biomechanical stability, allowing effective transmission of axial loads while minimizing implant stress. Consequently, patients were able to regain mobility more rapidly and experienced better overall functional recovery.</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Radiological assessment revealed successful fracture union in almost all patients in both groups. Although the mean time to radiological union was significantly shorter in the PFN group, the overall union rates were comparable. The incidence of complications such as varus collapse, delayed union, superficial infection, and implant failure was lower in patients treated with PFN, although these differences did not reach statistical significance because of the relatively small sample size. These observations suggest that both PFN and DHS remain reliable fixation methods for stable intertrochanteric fractures when appropriate surgical techniques are employed.</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 xml:space="preserve">The findings of the present study are consistent with previous reports by </w:t>
      </w:r>
      <w:r w:rsidRPr="00B51D6D">
        <w:rPr>
          <w:rFonts w:ascii="Times New Roman" w:eastAsia="Times New Roman" w:hAnsi="Times New Roman" w:cs="Times New Roman"/>
          <w:bCs/>
          <w:sz w:val="20"/>
          <w:szCs w:val="20"/>
          <w:lang w:eastAsia="en-IN"/>
        </w:rPr>
        <w:t>Pajarinen et al.</w:t>
      </w:r>
      <w:r w:rsidRPr="00B51D6D">
        <w:rPr>
          <w:rFonts w:ascii="Times New Roman" w:eastAsia="Times New Roman" w:hAnsi="Times New Roman" w:cs="Times New Roman"/>
          <w:sz w:val="20"/>
          <w:szCs w:val="20"/>
          <w:lang w:eastAsia="en-IN"/>
        </w:rPr>
        <w:t xml:space="preserve">, </w:t>
      </w:r>
      <w:r w:rsidRPr="00B51D6D">
        <w:rPr>
          <w:rFonts w:ascii="Times New Roman" w:eastAsia="Times New Roman" w:hAnsi="Times New Roman" w:cs="Times New Roman"/>
          <w:bCs/>
          <w:sz w:val="20"/>
          <w:szCs w:val="20"/>
          <w:lang w:eastAsia="en-IN"/>
        </w:rPr>
        <w:t>Parker and Handoll</w:t>
      </w:r>
      <w:r w:rsidRPr="00B51D6D">
        <w:rPr>
          <w:rFonts w:ascii="Times New Roman" w:eastAsia="Times New Roman" w:hAnsi="Times New Roman" w:cs="Times New Roman"/>
          <w:sz w:val="20"/>
          <w:szCs w:val="20"/>
          <w:lang w:eastAsia="en-IN"/>
        </w:rPr>
        <w:t xml:space="preserve">, </w:t>
      </w:r>
      <w:r w:rsidRPr="00B51D6D">
        <w:rPr>
          <w:rFonts w:ascii="Times New Roman" w:eastAsia="Times New Roman" w:hAnsi="Times New Roman" w:cs="Times New Roman"/>
          <w:bCs/>
          <w:sz w:val="20"/>
          <w:szCs w:val="20"/>
          <w:lang w:eastAsia="en-IN"/>
        </w:rPr>
        <w:t>Stern and Angerman</w:t>
      </w:r>
      <w:r w:rsidRPr="00B51D6D">
        <w:rPr>
          <w:rFonts w:ascii="Times New Roman" w:eastAsia="Times New Roman" w:hAnsi="Times New Roman" w:cs="Times New Roman"/>
          <w:sz w:val="20"/>
          <w:szCs w:val="20"/>
          <w:lang w:eastAsia="en-IN"/>
        </w:rPr>
        <w:t xml:space="preserve">, and </w:t>
      </w:r>
      <w:r w:rsidRPr="00B51D6D">
        <w:rPr>
          <w:rFonts w:ascii="Times New Roman" w:eastAsia="Times New Roman" w:hAnsi="Times New Roman" w:cs="Times New Roman"/>
          <w:bCs/>
          <w:sz w:val="20"/>
          <w:szCs w:val="20"/>
          <w:lang w:eastAsia="en-IN"/>
        </w:rPr>
        <w:t>Banan et al.</w:t>
      </w:r>
      <w:r w:rsidRPr="00B51D6D">
        <w:rPr>
          <w:rFonts w:ascii="Times New Roman" w:eastAsia="Times New Roman" w:hAnsi="Times New Roman" w:cs="Times New Roman"/>
          <w:sz w:val="20"/>
          <w:szCs w:val="20"/>
          <w:lang w:eastAsia="en-IN"/>
        </w:rPr>
        <w:t>, who demonstrated improved biomechanical stability, reduced blood loss, earlier mobilization, and better functional recovery with PFN compared with DHS, while reporting comparable fracture union rates. These studies also concluded that intramedullary fixation offers mechanical advantages because the implant lies closer to the mechanical axis of the femur, thereby reducing bending stresses and improving load sharing.</w:t>
      </w:r>
    </w:p>
    <w:p w:rsidR="00A934DC" w:rsidRPr="00B51D6D" w:rsidRDefault="00A934DC" w:rsidP="00526D8F">
      <w:pPr>
        <w:spacing w:after="0" w:line="360" w:lineRule="auto"/>
        <w:jc w:val="both"/>
        <w:rPr>
          <w:rFonts w:ascii="Times New Roman" w:eastAsia="Times New Roman" w:hAnsi="Times New Roman" w:cs="Times New Roman"/>
          <w:b/>
          <w:sz w:val="20"/>
          <w:szCs w:val="20"/>
          <w:lang w:eastAsia="en-IN"/>
        </w:rPr>
      </w:pPr>
      <w:r w:rsidRPr="00B51D6D">
        <w:rPr>
          <w:rFonts w:ascii="Times New Roman" w:eastAsia="Times New Roman" w:hAnsi="Times New Roman" w:cs="Times New Roman"/>
          <w:b/>
          <w:sz w:val="20"/>
          <w:szCs w:val="20"/>
          <w:lang w:eastAsia="en-IN"/>
        </w:rPr>
        <w:t xml:space="preserve">Conclusion: </w:t>
      </w:r>
    </w:p>
    <w:p w:rsidR="00526D8F" w:rsidRPr="00B51D6D" w:rsidRDefault="00526D8F" w:rsidP="00526D8F">
      <w:pPr>
        <w:spacing w:after="0" w:line="360" w:lineRule="auto"/>
        <w:jc w:val="both"/>
        <w:rPr>
          <w:rFonts w:ascii="Times New Roman" w:eastAsia="Times New Roman" w:hAnsi="Times New Roman" w:cs="Times New Roman"/>
          <w:sz w:val="20"/>
          <w:szCs w:val="20"/>
          <w:lang w:eastAsia="en-IN"/>
        </w:rPr>
      </w:pPr>
      <w:r w:rsidRPr="00B51D6D">
        <w:rPr>
          <w:rFonts w:ascii="Times New Roman" w:eastAsia="Times New Roman" w:hAnsi="Times New Roman" w:cs="Times New Roman"/>
          <w:sz w:val="20"/>
          <w:szCs w:val="20"/>
          <w:lang w:eastAsia="en-IN"/>
        </w:rPr>
        <w:t>In conclusion, both PFN and DHS provided satisfactory radiological union in stable intertrochanteric femur fractures. However, PFN demonstrated significant advantages in terms of shorter operative time, reduced intraoperative blood loss, earlier mobilization, improved functional outcomes, and faster fracture union. Therefore, PFN may be considered the preferred fixation method for stable intertrochanteric femur fractures, particularly when early rehabilitation and rapid return to function are desired.</w:t>
      </w:r>
    </w:p>
    <w:p w:rsidR="00A934DC" w:rsidRPr="00B51D6D" w:rsidRDefault="00A934DC" w:rsidP="00526D8F">
      <w:pPr>
        <w:spacing w:after="0" w:line="360" w:lineRule="auto"/>
        <w:jc w:val="both"/>
        <w:rPr>
          <w:rFonts w:ascii="Times New Roman" w:eastAsia="Times New Roman" w:hAnsi="Times New Roman" w:cs="Times New Roman"/>
          <w:sz w:val="20"/>
          <w:szCs w:val="20"/>
          <w:lang w:eastAsia="en-IN"/>
        </w:rPr>
      </w:pPr>
    </w:p>
    <w:p w:rsidR="00A934DC" w:rsidRPr="00B51D6D" w:rsidRDefault="00A934DC" w:rsidP="00526D8F">
      <w:pPr>
        <w:spacing w:after="0" w:line="360" w:lineRule="auto"/>
        <w:jc w:val="both"/>
        <w:rPr>
          <w:rFonts w:ascii="Times New Roman" w:eastAsia="Times New Roman" w:hAnsi="Times New Roman" w:cs="Times New Roman"/>
          <w:b/>
          <w:sz w:val="20"/>
          <w:szCs w:val="20"/>
          <w:lang w:eastAsia="en-IN"/>
        </w:rPr>
      </w:pPr>
      <w:r w:rsidRPr="00B51D6D">
        <w:rPr>
          <w:rFonts w:ascii="Times New Roman" w:eastAsia="Times New Roman" w:hAnsi="Times New Roman" w:cs="Times New Roman"/>
          <w:b/>
          <w:sz w:val="20"/>
          <w:szCs w:val="20"/>
          <w:lang w:eastAsia="en-IN"/>
        </w:rPr>
        <w:t xml:space="preserve">References: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Falch JA, Ilebekk A, Slungaard U. Epidemiology of hip fractures in Norway. </w:t>
      </w:r>
      <w:r w:rsidRPr="00B51D6D">
        <w:rPr>
          <w:rFonts w:ascii="Times New Roman" w:eastAsia="Times New Roman" w:hAnsi="Times New Roman" w:cs="Times New Roman"/>
          <w:b/>
          <w:bCs/>
          <w:i/>
          <w:iCs/>
          <w:color w:val="212529"/>
          <w:sz w:val="20"/>
          <w:szCs w:val="20"/>
          <w:lang w:eastAsia="en-IN"/>
        </w:rPr>
        <w:t>Acta Orthop Scand</w:t>
      </w:r>
      <w:r w:rsidRPr="00B51D6D">
        <w:rPr>
          <w:rFonts w:ascii="Times New Roman" w:eastAsia="Times New Roman" w:hAnsi="Times New Roman" w:cs="Times New Roman"/>
          <w:color w:val="212529"/>
          <w:sz w:val="20"/>
          <w:szCs w:val="20"/>
          <w:lang w:eastAsia="en-IN"/>
        </w:rPr>
        <w:t>. 1985;56(1):12-6. </w:t>
      </w:r>
      <w:hyperlink r:id="rId8" w:tgtFrame="_blank" w:history="1"/>
      <w:r w:rsidRPr="00B51D6D">
        <w:rPr>
          <w:rFonts w:ascii="Times New Roman" w:eastAsia="Times New Roman" w:hAnsi="Times New Roman" w:cs="Times New Roman"/>
          <w:color w:val="212529"/>
          <w:sz w:val="20"/>
          <w:szCs w:val="20"/>
          <w:lang w:eastAsia="en-IN"/>
        </w:rPr>
        <w:t xml:space="preserve">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Hagino H, Furukawa K, Fujiwara S. Recenttrandsin incidents and lifetime risk of hip fracture in Tottori. </w:t>
      </w:r>
      <w:r w:rsidRPr="00B51D6D">
        <w:rPr>
          <w:rFonts w:ascii="Times New Roman" w:eastAsia="Times New Roman" w:hAnsi="Times New Roman" w:cs="Times New Roman"/>
          <w:b/>
          <w:bCs/>
          <w:i/>
          <w:iCs/>
          <w:color w:val="212529"/>
          <w:sz w:val="20"/>
          <w:szCs w:val="20"/>
          <w:lang w:eastAsia="en-IN"/>
        </w:rPr>
        <w:t>Japan Osteoporos Int</w:t>
      </w:r>
      <w:r w:rsidRPr="00B51D6D">
        <w:rPr>
          <w:rFonts w:ascii="Times New Roman" w:eastAsia="Times New Roman" w:hAnsi="Times New Roman" w:cs="Times New Roman"/>
          <w:color w:val="212529"/>
          <w:sz w:val="20"/>
          <w:szCs w:val="20"/>
          <w:lang w:eastAsia="en-IN"/>
        </w:rPr>
        <w:t xml:space="preserve">. 2009;20(4):543-8.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Jarnlo GB, Thorngren KG. Background Factors to Hip Fractures. </w:t>
      </w:r>
      <w:r w:rsidRPr="00B51D6D">
        <w:rPr>
          <w:rFonts w:ascii="Times New Roman" w:eastAsia="Times New Roman" w:hAnsi="Times New Roman" w:cs="Times New Roman"/>
          <w:b/>
          <w:bCs/>
          <w:i/>
          <w:iCs/>
          <w:color w:val="212529"/>
          <w:sz w:val="20"/>
          <w:szCs w:val="20"/>
          <w:lang w:eastAsia="en-IN"/>
        </w:rPr>
        <w:t>Clin Orthop and Relat Res</w:t>
      </w:r>
      <w:r w:rsidRPr="00B51D6D">
        <w:rPr>
          <w:rFonts w:ascii="Times New Roman" w:eastAsia="Times New Roman" w:hAnsi="Times New Roman" w:cs="Times New Roman"/>
          <w:color w:val="212529"/>
          <w:sz w:val="20"/>
          <w:szCs w:val="20"/>
          <w:lang w:eastAsia="en-IN"/>
        </w:rPr>
        <w:t xml:space="preserve">. 1993;&amp;NA;(287):41-9.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Schumpelick W, Jantzen PM. A new principle in the operative treatment of trochanteric fracture of the hip. </w:t>
      </w:r>
      <w:r w:rsidRPr="00B51D6D">
        <w:rPr>
          <w:rFonts w:ascii="Times New Roman" w:eastAsia="Times New Roman" w:hAnsi="Times New Roman" w:cs="Times New Roman"/>
          <w:b/>
          <w:bCs/>
          <w:i/>
          <w:iCs/>
          <w:color w:val="212529"/>
          <w:sz w:val="20"/>
          <w:szCs w:val="20"/>
          <w:lang w:eastAsia="en-IN"/>
        </w:rPr>
        <w:t>J Bone Joint</w:t>
      </w:r>
      <w:r w:rsidRPr="00B51D6D">
        <w:rPr>
          <w:rFonts w:ascii="Times New Roman" w:eastAsia="Times New Roman" w:hAnsi="Times New Roman" w:cs="Times New Roman"/>
          <w:color w:val="212529"/>
          <w:sz w:val="20"/>
          <w:szCs w:val="20"/>
          <w:lang w:eastAsia="en-IN"/>
        </w:rPr>
        <w:t xml:space="preserve">. 1988;70:1297-1303.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Massie WK. Fractures of the Hip. </w:t>
      </w:r>
      <w:r w:rsidRPr="00B51D6D">
        <w:rPr>
          <w:rFonts w:ascii="Times New Roman" w:eastAsia="Times New Roman" w:hAnsi="Times New Roman" w:cs="Times New Roman"/>
          <w:b/>
          <w:bCs/>
          <w:i/>
          <w:iCs/>
          <w:color w:val="212529"/>
          <w:sz w:val="20"/>
          <w:szCs w:val="20"/>
          <w:lang w:eastAsia="en-IN"/>
        </w:rPr>
        <w:t>J Bone Joint Surg</w:t>
      </w:r>
      <w:r w:rsidRPr="00B51D6D">
        <w:rPr>
          <w:rFonts w:ascii="Times New Roman" w:eastAsia="Times New Roman" w:hAnsi="Times New Roman" w:cs="Times New Roman"/>
          <w:color w:val="212529"/>
          <w:sz w:val="20"/>
          <w:szCs w:val="20"/>
          <w:lang w:eastAsia="en-IN"/>
        </w:rPr>
        <w:t>. 1964;46(3):658-90.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Carneiro MB, Alves DP, Mercadante MT. Physical therapy in the postoperative of proximal femur fracture in elderly. </w:t>
      </w:r>
      <w:r w:rsidRPr="00B51D6D">
        <w:rPr>
          <w:rFonts w:ascii="Times New Roman" w:eastAsia="Times New Roman" w:hAnsi="Times New Roman" w:cs="Times New Roman"/>
          <w:b/>
          <w:bCs/>
          <w:i/>
          <w:iCs/>
          <w:color w:val="212529"/>
          <w:sz w:val="20"/>
          <w:szCs w:val="20"/>
          <w:lang w:eastAsia="en-IN"/>
        </w:rPr>
        <w:t>Actaortopedicabrasileira</w:t>
      </w:r>
      <w:r w:rsidRPr="00B51D6D">
        <w:rPr>
          <w:rFonts w:ascii="Times New Roman" w:eastAsia="Times New Roman" w:hAnsi="Times New Roman" w:cs="Times New Roman"/>
          <w:color w:val="212529"/>
          <w:sz w:val="20"/>
          <w:szCs w:val="20"/>
          <w:lang w:eastAsia="en-IN"/>
        </w:rPr>
        <w:t>. 2013;21(3). </w:t>
      </w:r>
      <w:hyperlink r:id="rId9" w:tgtFrame="_blank" w:history="1"/>
      <w:r w:rsidRPr="00B51D6D">
        <w:rPr>
          <w:rFonts w:ascii="Times New Roman" w:eastAsia="Times New Roman" w:hAnsi="Times New Roman" w:cs="Times New Roman"/>
          <w:color w:val="212529"/>
          <w:sz w:val="20"/>
          <w:szCs w:val="20"/>
          <w:lang w:eastAsia="en-IN"/>
        </w:rPr>
        <w:t xml:space="preserve">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Sonawane DV. Classifications of intertrochanteric fractures and their clinical importance. </w:t>
      </w:r>
      <w:r w:rsidRPr="00B51D6D">
        <w:rPr>
          <w:rFonts w:ascii="Times New Roman" w:eastAsia="Times New Roman" w:hAnsi="Times New Roman" w:cs="Times New Roman"/>
          <w:b/>
          <w:bCs/>
          <w:i/>
          <w:iCs/>
          <w:color w:val="212529"/>
          <w:sz w:val="20"/>
          <w:szCs w:val="20"/>
          <w:lang w:eastAsia="en-IN"/>
        </w:rPr>
        <w:t>Trauma Int</w:t>
      </w:r>
      <w:r w:rsidRPr="00B51D6D">
        <w:rPr>
          <w:rFonts w:ascii="Times New Roman" w:eastAsia="Times New Roman" w:hAnsi="Times New Roman" w:cs="Times New Roman"/>
          <w:color w:val="212529"/>
          <w:sz w:val="20"/>
          <w:szCs w:val="20"/>
          <w:lang w:eastAsia="en-IN"/>
        </w:rPr>
        <w:t xml:space="preserve">. 2015;1:7-11.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Baumgaertner MR, Curtin SL, Lindskog DM. Intramedullary Versus Extramedullary Fixation for the Treatment of Intertrochanteric Hip Fractures. </w:t>
      </w:r>
      <w:r w:rsidRPr="00B51D6D">
        <w:rPr>
          <w:rFonts w:ascii="Times New Roman" w:eastAsia="Times New Roman" w:hAnsi="Times New Roman" w:cs="Times New Roman"/>
          <w:b/>
          <w:bCs/>
          <w:i/>
          <w:iCs/>
          <w:color w:val="212529"/>
          <w:sz w:val="20"/>
          <w:szCs w:val="20"/>
          <w:lang w:eastAsia="en-IN"/>
        </w:rPr>
        <w:t>Clin Orthop Relat Res</w:t>
      </w:r>
      <w:r w:rsidRPr="00B51D6D">
        <w:rPr>
          <w:rFonts w:ascii="Times New Roman" w:eastAsia="Times New Roman" w:hAnsi="Times New Roman" w:cs="Times New Roman"/>
          <w:color w:val="212529"/>
          <w:sz w:val="20"/>
          <w:szCs w:val="20"/>
          <w:lang w:eastAsia="en-IN"/>
        </w:rPr>
        <w:t xml:space="preserve">. 1998;348:87-94.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Banan H, Al-Sabti A, Jimulia T, Hart AJ. The treatment of unstable, extracapsular hip fractures with the AO/ASIF proximal femoral nail (PFN)—our first 60 cases. </w:t>
      </w:r>
      <w:r w:rsidRPr="00B51D6D">
        <w:rPr>
          <w:rFonts w:ascii="Times New Roman" w:eastAsia="Times New Roman" w:hAnsi="Times New Roman" w:cs="Times New Roman"/>
          <w:b/>
          <w:bCs/>
          <w:i/>
          <w:iCs/>
          <w:color w:val="212529"/>
          <w:sz w:val="20"/>
          <w:szCs w:val="20"/>
          <w:lang w:eastAsia="en-IN"/>
        </w:rPr>
        <w:t>Inj</w:t>
      </w:r>
      <w:r w:rsidRPr="00B51D6D">
        <w:rPr>
          <w:rFonts w:ascii="Times New Roman" w:eastAsia="Times New Roman" w:hAnsi="Times New Roman" w:cs="Times New Roman"/>
          <w:color w:val="212529"/>
          <w:sz w:val="20"/>
          <w:szCs w:val="20"/>
          <w:lang w:eastAsia="en-IN"/>
        </w:rPr>
        <w:t>. 2002;33(5):401-5. </w:t>
      </w:r>
    </w:p>
    <w:p w:rsidR="00A934DC" w:rsidRPr="00B51D6D" w:rsidRDefault="00A934DC" w:rsidP="00A934DC">
      <w:pPr>
        <w:numPr>
          <w:ilvl w:val="0"/>
          <w:numId w:val="1"/>
        </w:numPr>
        <w:pBdr>
          <w:bottom w:val="single" w:sz="6" w:space="8" w:color="CCCCCC"/>
        </w:pBdr>
        <w:shd w:val="clear" w:color="auto" w:fill="FFFFFF"/>
        <w:spacing w:after="0" w:line="360" w:lineRule="auto"/>
        <w:ind w:left="0"/>
        <w:rPr>
          <w:rFonts w:ascii="Times New Roman" w:eastAsia="Times New Roman" w:hAnsi="Times New Roman" w:cs="Times New Roman"/>
          <w:color w:val="212529"/>
          <w:sz w:val="20"/>
          <w:szCs w:val="20"/>
          <w:lang w:eastAsia="en-IN"/>
        </w:rPr>
      </w:pPr>
      <w:r w:rsidRPr="00B51D6D">
        <w:rPr>
          <w:rFonts w:ascii="Times New Roman" w:eastAsia="Times New Roman" w:hAnsi="Times New Roman" w:cs="Times New Roman"/>
          <w:color w:val="212529"/>
          <w:sz w:val="20"/>
          <w:szCs w:val="20"/>
          <w:lang w:eastAsia="en-IN"/>
        </w:rPr>
        <w:t>Zeng C, Wang YR, Wei J, Gao SG, Zhang FJ, Sun ZQ. Treatment of Trochanteric Fractures with Proximal Femoral Nail Antirotation or Dynamic Hip Screw Systems: A Meta-Analysis. </w:t>
      </w:r>
      <w:r w:rsidRPr="00B51D6D">
        <w:rPr>
          <w:rFonts w:ascii="Times New Roman" w:eastAsia="Times New Roman" w:hAnsi="Times New Roman" w:cs="Times New Roman"/>
          <w:b/>
          <w:bCs/>
          <w:i/>
          <w:iCs/>
          <w:color w:val="212529"/>
          <w:sz w:val="20"/>
          <w:szCs w:val="20"/>
          <w:lang w:eastAsia="en-IN"/>
        </w:rPr>
        <w:t>J Int Med Res</w:t>
      </w:r>
      <w:r w:rsidRPr="00B51D6D">
        <w:rPr>
          <w:rFonts w:ascii="Times New Roman" w:eastAsia="Times New Roman" w:hAnsi="Times New Roman" w:cs="Times New Roman"/>
          <w:color w:val="212529"/>
          <w:sz w:val="20"/>
          <w:szCs w:val="20"/>
          <w:lang w:eastAsia="en-IN"/>
        </w:rPr>
        <w:t xml:space="preserve">. 2012;40(3):839-51. </w:t>
      </w:r>
    </w:p>
    <w:p w:rsidR="00A934DC" w:rsidRPr="00B51D6D" w:rsidRDefault="00A934DC" w:rsidP="00526D8F">
      <w:pPr>
        <w:spacing w:after="0" w:line="360" w:lineRule="auto"/>
        <w:jc w:val="both"/>
        <w:outlineLvl w:val="1"/>
        <w:rPr>
          <w:rFonts w:ascii="Times New Roman" w:eastAsia="Times New Roman" w:hAnsi="Times New Roman" w:cs="Times New Roman"/>
          <w:sz w:val="20"/>
          <w:szCs w:val="20"/>
          <w:lang w:eastAsia="en-IN"/>
        </w:rPr>
      </w:pPr>
    </w:p>
    <w:p w:rsidR="00A934DC" w:rsidRPr="00B51D6D" w:rsidRDefault="00A934DC" w:rsidP="00526D8F">
      <w:pPr>
        <w:spacing w:after="0" w:line="360" w:lineRule="auto"/>
        <w:jc w:val="both"/>
        <w:outlineLvl w:val="1"/>
        <w:rPr>
          <w:rFonts w:ascii="Times New Roman" w:eastAsia="Times New Roman" w:hAnsi="Times New Roman" w:cs="Times New Roman"/>
          <w:sz w:val="20"/>
          <w:szCs w:val="20"/>
          <w:lang w:eastAsia="en-IN"/>
        </w:rPr>
      </w:pPr>
    </w:p>
    <w:sectPr w:rsidR="00A934DC" w:rsidRPr="00B51D6D" w:rsidSect="00B51D6D">
      <w:headerReference w:type="default" r:id="rId10"/>
      <w:footerReference w:type="default" r:id="rId11"/>
      <w:pgSz w:w="11906" w:h="16838"/>
      <w:pgMar w:top="1440" w:right="1440" w:bottom="1440" w:left="1440" w:header="720" w:footer="720" w:gutter="0"/>
      <w:pgNumType w:start="9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B3D" w:rsidRDefault="00F81B3D" w:rsidP="00526D8F">
      <w:pPr>
        <w:spacing w:after="0" w:line="240" w:lineRule="auto"/>
      </w:pPr>
      <w:r>
        <w:separator/>
      </w:r>
    </w:p>
  </w:endnote>
  <w:endnote w:type="continuationSeparator" w:id="0">
    <w:p w:rsidR="00F81B3D" w:rsidRDefault="00F81B3D" w:rsidP="0052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39913"/>
      <w:docPartObj>
        <w:docPartGallery w:val="Page Numbers (Bottom of Page)"/>
        <w:docPartUnique/>
      </w:docPartObj>
    </w:sdtPr>
    <w:sdtEndPr>
      <w:rPr>
        <w:noProof/>
      </w:rPr>
    </w:sdtEndPr>
    <w:sdtContent>
      <w:p w:rsidR="00B51D6D" w:rsidRDefault="00B51D6D">
        <w:pPr>
          <w:pStyle w:val="Footer"/>
          <w:jc w:val="right"/>
        </w:pPr>
        <w:r>
          <w:fldChar w:fldCharType="begin"/>
        </w:r>
        <w:r>
          <w:instrText xml:space="preserve"> PAGE   \* MERGEFORMAT </w:instrText>
        </w:r>
        <w:r>
          <w:fldChar w:fldCharType="separate"/>
        </w:r>
        <w:r w:rsidR="00F81B3D">
          <w:rPr>
            <w:noProof/>
          </w:rPr>
          <w:t>963</w:t>
        </w:r>
        <w:r>
          <w:rPr>
            <w:noProof/>
          </w:rPr>
          <w:fldChar w:fldCharType="end"/>
        </w:r>
      </w:p>
    </w:sdtContent>
  </w:sdt>
  <w:p w:rsidR="00B51D6D" w:rsidRPr="00B51D6D" w:rsidRDefault="00B51D6D" w:rsidP="00B51D6D">
    <w:pPr>
      <w:pStyle w:val="Footer"/>
      <w:jc w:val="center"/>
    </w:pPr>
    <w:r w:rsidRPr="00B51D6D">
      <w:t>www.ijbamr.com   P ISSN: 2250-284X, E ISSN: 2250-2858</w:t>
    </w:r>
  </w:p>
  <w:p w:rsidR="00A934DC" w:rsidRDefault="00A934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B3D" w:rsidRDefault="00F81B3D" w:rsidP="00526D8F">
      <w:pPr>
        <w:spacing w:after="0" w:line="240" w:lineRule="auto"/>
      </w:pPr>
      <w:r>
        <w:separator/>
      </w:r>
    </w:p>
  </w:footnote>
  <w:footnote w:type="continuationSeparator" w:id="0">
    <w:p w:rsidR="00F81B3D" w:rsidRDefault="00F81B3D" w:rsidP="00526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D8F" w:rsidRPr="00B51D6D" w:rsidRDefault="00B51D6D" w:rsidP="00B51D6D">
    <w:pPr>
      <w:pStyle w:val="Header"/>
      <w:jc w:val="center"/>
      <w:rPr>
        <w:rFonts w:ascii="Times New Roman" w:hAnsi="Times New Roman" w:cs="Times New Roman"/>
        <w:sz w:val="20"/>
        <w:szCs w:val="20"/>
        <w:lang w:val="en-US"/>
      </w:rPr>
    </w:pPr>
    <w:r w:rsidRPr="00B51D6D">
      <w:rPr>
        <w:rFonts w:ascii="Times New Roman" w:hAnsi="Times New Roman" w:cs="Times New Roman"/>
        <w:sz w:val="20"/>
        <w:szCs w:val="20"/>
        <w:lang w:val="en-US"/>
      </w:rPr>
      <w:t xml:space="preserve">Indian Journal of Basic and Applied Medical Research; September 2016: Vol.-5, Issue- 4, P. </w:t>
    </w:r>
    <w:r>
      <w:rPr>
        <w:rFonts w:ascii="Times New Roman" w:hAnsi="Times New Roman" w:cs="Times New Roman"/>
        <w:sz w:val="20"/>
        <w:szCs w:val="20"/>
        <w:lang w:val="en-US"/>
      </w:rPr>
      <w:t>963-967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674"/>
    <w:multiLevelType w:val="multilevel"/>
    <w:tmpl w:val="3000E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D8F"/>
    <w:rsid w:val="000E4B63"/>
    <w:rsid w:val="00526D8F"/>
    <w:rsid w:val="005F13A2"/>
    <w:rsid w:val="00690B28"/>
    <w:rsid w:val="00815DD5"/>
    <w:rsid w:val="00A934DC"/>
    <w:rsid w:val="00B51D6D"/>
    <w:rsid w:val="00EC02FD"/>
    <w:rsid w:val="00F81B3D"/>
    <w:rsid w:val="00FE5F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D8F"/>
  </w:style>
  <w:style w:type="paragraph" w:styleId="Footer">
    <w:name w:val="footer"/>
    <w:basedOn w:val="Normal"/>
    <w:link w:val="FooterChar"/>
    <w:uiPriority w:val="99"/>
    <w:unhideWhenUsed/>
    <w:rsid w:val="00526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D8F"/>
  </w:style>
  <w:style w:type="paragraph" w:styleId="BalloonText">
    <w:name w:val="Balloon Text"/>
    <w:basedOn w:val="Normal"/>
    <w:link w:val="BalloonTextChar"/>
    <w:uiPriority w:val="99"/>
    <w:semiHidden/>
    <w:unhideWhenUsed/>
    <w:rsid w:val="0052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D8F"/>
    <w:rPr>
      <w:rFonts w:ascii="Tahoma" w:hAnsi="Tahoma" w:cs="Tahoma"/>
      <w:sz w:val="16"/>
      <w:szCs w:val="16"/>
    </w:rPr>
  </w:style>
  <w:style w:type="table" w:styleId="TableGrid">
    <w:name w:val="Table Grid"/>
    <w:basedOn w:val="TableNormal"/>
    <w:uiPriority w:val="59"/>
    <w:rsid w:val="00A934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D8F"/>
  </w:style>
  <w:style w:type="paragraph" w:styleId="Footer">
    <w:name w:val="footer"/>
    <w:basedOn w:val="Normal"/>
    <w:link w:val="FooterChar"/>
    <w:uiPriority w:val="99"/>
    <w:unhideWhenUsed/>
    <w:rsid w:val="00526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D8F"/>
  </w:style>
  <w:style w:type="paragraph" w:styleId="BalloonText">
    <w:name w:val="Balloon Text"/>
    <w:basedOn w:val="Normal"/>
    <w:link w:val="BalloonTextChar"/>
    <w:uiPriority w:val="99"/>
    <w:semiHidden/>
    <w:unhideWhenUsed/>
    <w:rsid w:val="0052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D8F"/>
    <w:rPr>
      <w:rFonts w:ascii="Tahoma" w:hAnsi="Tahoma" w:cs="Tahoma"/>
      <w:sz w:val="16"/>
      <w:szCs w:val="16"/>
    </w:rPr>
  </w:style>
  <w:style w:type="table" w:styleId="TableGrid">
    <w:name w:val="Table Grid"/>
    <w:basedOn w:val="TableNormal"/>
    <w:uiPriority w:val="59"/>
    <w:rsid w:val="00A934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22737">
      <w:bodyDiv w:val="1"/>
      <w:marLeft w:val="0"/>
      <w:marRight w:val="0"/>
      <w:marTop w:val="0"/>
      <w:marBottom w:val="0"/>
      <w:divBdr>
        <w:top w:val="none" w:sz="0" w:space="0" w:color="auto"/>
        <w:left w:val="none" w:sz="0" w:space="0" w:color="auto"/>
        <w:bottom w:val="none" w:sz="0" w:space="0" w:color="auto"/>
        <w:right w:val="none" w:sz="0" w:space="0" w:color="auto"/>
      </w:divBdr>
    </w:div>
    <w:div w:id="1491750360">
      <w:bodyDiv w:val="1"/>
      <w:marLeft w:val="0"/>
      <w:marRight w:val="0"/>
      <w:marTop w:val="0"/>
      <w:marBottom w:val="0"/>
      <w:divBdr>
        <w:top w:val="none" w:sz="0" w:space="0" w:color="auto"/>
        <w:left w:val="none" w:sz="0" w:space="0" w:color="auto"/>
        <w:bottom w:val="none" w:sz="0" w:space="0" w:color="auto"/>
        <w:right w:val="none" w:sz="0" w:space="0" w:color="auto"/>
      </w:divBdr>
      <w:divsChild>
        <w:div w:id="201095289">
          <w:marLeft w:val="0"/>
          <w:marRight w:val="0"/>
          <w:marTop w:val="0"/>
          <w:marBottom w:val="0"/>
          <w:divBdr>
            <w:top w:val="none" w:sz="0" w:space="0" w:color="auto"/>
            <w:left w:val="none" w:sz="0" w:space="0" w:color="auto"/>
            <w:bottom w:val="none" w:sz="0" w:space="0" w:color="auto"/>
            <w:right w:val="none" w:sz="0" w:space="0" w:color="auto"/>
          </w:divBdr>
          <w:divsChild>
            <w:div w:id="1047949826">
              <w:marLeft w:val="0"/>
              <w:marRight w:val="0"/>
              <w:marTop w:val="0"/>
              <w:marBottom w:val="0"/>
              <w:divBdr>
                <w:top w:val="none" w:sz="0" w:space="0" w:color="auto"/>
                <w:left w:val="none" w:sz="0" w:space="0" w:color="auto"/>
                <w:bottom w:val="none" w:sz="0" w:space="0" w:color="auto"/>
                <w:right w:val="none" w:sz="0" w:space="0" w:color="auto"/>
              </w:divBdr>
              <w:divsChild>
                <w:div w:id="1134103359">
                  <w:marLeft w:val="0"/>
                  <w:marRight w:val="0"/>
                  <w:marTop w:val="0"/>
                  <w:marBottom w:val="0"/>
                  <w:divBdr>
                    <w:top w:val="none" w:sz="0" w:space="0" w:color="auto"/>
                    <w:left w:val="none" w:sz="0" w:space="0" w:color="auto"/>
                    <w:bottom w:val="none" w:sz="0" w:space="0" w:color="auto"/>
                    <w:right w:val="none" w:sz="0" w:space="0" w:color="auto"/>
                  </w:divBdr>
                </w:div>
                <w:div w:id="123351839">
                  <w:marLeft w:val="0"/>
                  <w:marRight w:val="0"/>
                  <w:marTop w:val="0"/>
                  <w:marBottom w:val="0"/>
                  <w:divBdr>
                    <w:top w:val="none" w:sz="0" w:space="0" w:color="auto"/>
                    <w:left w:val="none" w:sz="0" w:space="0" w:color="auto"/>
                    <w:bottom w:val="none" w:sz="0" w:space="0" w:color="auto"/>
                    <w:right w:val="none" w:sz="0" w:space="0" w:color="auto"/>
                  </w:divBdr>
                  <w:divsChild>
                    <w:div w:id="453133373">
                      <w:marLeft w:val="0"/>
                      <w:marRight w:val="0"/>
                      <w:marTop w:val="0"/>
                      <w:marBottom w:val="0"/>
                      <w:divBdr>
                        <w:top w:val="none" w:sz="0" w:space="0" w:color="auto"/>
                        <w:left w:val="none" w:sz="0" w:space="0" w:color="auto"/>
                        <w:bottom w:val="none" w:sz="0" w:space="0" w:color="auto"/>
                        <w:right w:val="none" w:sz="0" w:space="0" w:color="auto"/>
                      </w:divBdr>
                      <w:divsChild>
                        <w:div w:id="88739615">
                          <w:marLeft w:val="0"/>
                          <w:marRight w:val="0"/>
                          <w:marTop w:val="0"/>
                          <w:marBottom w:val="0"/>
                          <w:divBdr>
                            <w:top w:val="none" w:sz="0" w:space="0" w:color="auto"/>
                            <w:left w:val="none" w:sz="0" w:space="0" w:color="auto"/>
                            <w:bottom w:val="none" w:sz="0" w:space="0" w:color="auto"/>
                            <w:right w:val="none" w:sz="0" w:space="0" w:color="auto"/>
                          </w:divBdr>
                          <w:divsChild>
                            <w:div w:id="1039431899">
                              <w:marLeft w:val="0"/>
                              <w:marRight w:val="0"/>
                              <w:marTop w:val="0"/>
                              <w:marBottom w:val="0"/>
                              <w:divBdr>
                                <w:top w:val="none" w:sz="0" w:space="0" w:color="auto"/>
                                <w:left w:val="none" w:sz="0" w:space="0" w:color="auto"/>
                                <w:bottom w:val="none" w:sz="0" w:space="0" w:color="auto"/>
                                <w:right w:val="none" w:sz="0" w:space="0" w:color="auto"/>
                              </w:divBdr>
                              <w:divsChild>
                                <w:div w:id="1156216238">
                                  <w:marLeft w:val="0"/>
                                  <w:marRight w:val="0"/>
                                  <w:marTop w:val="0"/>
                                  <w:marBottom w:val="0"/>
                                  <w:divBdr>
                                    <w:top w:val="none" w:sz="0" w:space="0" w:color="auto"/>
                                    <w:left w:val="none" w:sz="0" w:space="0" w:color="auto"/>
                                    <w:bottom w:val="none" w:sz="0" w:space="0" w:color="auto"/>
                                    <w:right w:val="none" w:sz="0" w:space="0" w:color="auto"/>
                                  </w:divBdr>
                                  <w:divsChild>
                                    <w:div w:id="883176583">
                                      <w:marLeft w:val="0"/>
                                      <w:marRight w:val="0"/>
                                      <w:marTop w:val="0"/>
                                      <w:marBottom w:val="0"/>
                                      <w:divBdr>
                                        <w:top w:val="none" w:sz="0" w:space="0" w:color="auto"/>
                                        <w:left w:val="none" w:sz="0" w:space="0" w:color="auto"/>
                                        <w:bottom w:val="none" w:sz="0" w:space="0" w:color="auto"/>
                                        <w:right w:val="none" w:sz="0" w:space="0" w:color="auto"/>
                                      </w:divBdr>
                                      <w:divsChild>
                                        <w:div w:id="180396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168792">
              <w:marLeft w:val="0"/>
              <w:marRight w:val="0"/>
              <w:marTop w:val="0"/>
              <w:marBottom w:val="0"/>
              <w:divBdr>
                <w:top w:val="none" w:sz="0" w:space="0" w:color="auto"/>
                <w:left w:val="none" w:sz="0" w:space="0" w:color="auto"/>
                <w:bottom w:val="none" w:sz="0" w:space="0" w:color="auto"/>
                <w:right w:val="none" w:sz="0" w:space="0" w:color="auto"/>
              </w:divBdr>
              <w:divsChild>
                <w:div w:id="1968122617">
                  <w:marLeft w:val="0"/>
                  <w:marRight w:val="0"/>
                  <w:marTop w:val="0"/>
                  <w:marBottom w:val="0"/>
                  <w:divBdr>
                    <w:top w:val="none" w:sz="0" w:space="0" w:color="auto"/>
                    <w:left w:val="none" w:sz="0" w:space="0" w:color="auto"/>
                    <w:bottom w:val="none" w:sz="0" w:space="0" w:color="auto"/>
                    <w:right w:val="none" w:sz="0" w:space="0" w:color="auto"/>
                  </w:divBdr>
                  <w:divsChild>
                    <w:div w:id="561788708">
                      <w:marLeft w:val="0"/>
                      <w:marRight w:val="0"/>
                      <w:marTop w:val="0"/>
                      <w:marBottom w:val="0"/>
                      <w:divBdr>
                        <w:top w:val="none" w:sz="0" w:space="0" w:color="auto"/>
                        <w:left w:val="none" w:sz="0" w:space="0" w:color="auto"/>
                        <w:bottom w:val="none" w:sz="0" w:space="0" w:color="auto"/>
                        <w:right w:val="none" w:sz="0" w:space="0" w:color="auto"/>
                      </w:divBdr>
                      <w:divsChild>
                        <w:div w:id="1884630127">
                          <w:marLeft w:val="0"/>
                          <w:marRight w:val="0"/>
                          <w:marTop w:val="0"/>
                          <w:marBottom w:val="0"/>
                          <w:divBdr>
                            <w:top w:val="none" w:sz="0" w:space="0" w:color="auto"/>
                            <w:left w:val="none" w:sz="0" w:space="0" w:color="auto"/>
                            <w:bottom w:val="none" w:sz="0" w:space="0" w:color="auto"/>
                            <w:right w:val="none" w:sz="0" w:space="0" w:color="auto"/>
                          </w:divBdr>
                          <w:divsChild>
                            <w:div w:id="1304039545">
                              <w:marLeft w:val="0"/>
                              <w:marRight w:val="0"/>
                              <w:marTop w:val="0"/>
                              <w:marBottom w:val="0"/>
                              <w:divBdr>
                                <w:top w:val="none" w:sz="0" w:space="0" w:color="auto"/>
                                <w:left w:val="none" w:sz="0" w:space="0" w:color="auto"/>
                                <w:bottom w:val="none" w:sz="0" w:space="0" w:color="auto"/>
                                <w:right w:val="none" w:sz="0" w:space="0" w:color="auto"/>
                              </w:divBdr>
                              <w:divsChild>
                                <w:div w:id="1182087184">
                                  <w:marLeft w:val="0"/>
                                  <w:marRight w:val="0"/>
                                  <w:marTop w:val="0"/>
                                  <w:marBottom w:val="0"/>
                                  <w:divBdr>
                                    <w:top w:val="none" w:sz="0" w:space="0" w:color="auto"/>
                                    <w:left w:val="none" w:sz="0" w:space="0" w:color="auto"/>
                                    <w:bottom w:val="none" w:sz="0" w:space="0" w:color="auto"/>
                                    <w:right w:val="none" w:sz="0" w:space="0" w:color="auto"/>
                                  </w:divBdr>
                                  <w:divsChild>
                                    <w:div w:id="14103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265513">
              <w:marLeft w:val="0"/>
              <w:marRight w:val="0"/>
              <w:marTop w:val="0"/>
              <w:marBottom w:val="0"/>
              <w:divBdr>
                <w:top w:val="none" w:sz="0" w:space="0" w:color="auto"/>
                <w:left w:val="none" w:sz="0" w:space="0" w:color="auto"/>
                <w:bottom w:val="none" w:sz="0" w:space="0" w:color="auto"/>
                <w:right w:val="none" w:sz="0" w:space="0" w:color="auto"/>
              </w:divBdr>
              <w:divsChild>
                <w:div w:id="40132967">
                  <w:marLeft w:val="0"/>
                  <w:marRight w:val="0"/>
                  <w:marTop w:val="0"/>
                  <w:marBottom w:val="0"/>
                  <w:divBdr>
                    <w:top w:val="none" w:sz="0" w:space="0" w:color="auto"/>
                    <w:left w:val="none" w:sz="0" w:space="0" w:color="auto"/>
                    <w:bottom w:val="none" w:sz="0" w:space="0" w:color="auto"/>
                    <w:right w:val="none" w:sz="0" w:space="0" w:color="auto"/>
                  </w:divBdr>
                  <w:divsChild>
                    <w:div w:id="1181431135">
                      <w:marLeft w:val="0"/>
                      <w:marRight w:val="0"/>
                      <w:marTop w:val="0"/>
                      <w:marBottom w:val="0"/>
                      <w:divBdr>
                        <w:top w:val="none" w:sz="0" w:space="0" w:color="auto"/>
                        <w:left w:val="none" w:sz="0" w:space="0" w:color="auto"/>
                        <w:bottom w:val="none" w:sz="0" w:space="0" w:color="auto"/>
                        <w:right w:val="none" w:sz="0" w:space="0" w:color="auto"/>
                      </w:divBdr>
                      <w:divsChild>
                        <w:div w:id="1565721335">
                          <w:marLeft w:val="0"/>
                          <w:marRight w:val="0"/>
                          <w:marTop w:val="0"/>
                          <w:marBottom w:val="0"/>
                          <w:divBdr>
                            <w:top w:val="none" w:sz="0" w:space="0" w:color="auto"/>
                            <w:left w:val="none" w:sz="0" w:space="0" w:color="auto"/>
                            <w:bottom w:val="none" w:sz="0" w:space="0" w:color="auto"/>
                            <w:right w:val="none" w:sz="0" w:space="0" w:color="auto"/>
                          </w:divBdr>
                          <w:divsChild>
                            <w:div w:id="493303330">
                              <w:marLeft w:val="0"/>
                              <w:marRight w:val="0"/>
                              <w:marTop w:val="0"/>
                              <w:marBottom w:val="0"/>
                              <w:divBdr>
                                <w:top w:val="none" w:sz="0" w:space="0" w:color="auto"/>
                                <w:left w:val="none" w:sz="0" w:space="0" w:color="auto"/>
                                <w:bottom w:val="none" w:sz="0" w:space="0" w:color="auto"/>
                                <w:right w:val="none" w:sz="0" w:space="0" w:color="auto"/>
                              </w:divBdr>
                              <w:divsChild>
                                <w:div w:id="1460151753">
                                  <w:marLeft w:val="0"/>
                                  <w:marRight w:val="0"/>
                                  <w:marTop w:val="0"/>
                                  <w:marBottom w:val="0"/>
                                  <w:divBdr>
                                    <w:top w:val="none" w:sz="0" w:space="0" w:color="auto"/>
                                    <w:left w:val="none" w:sz="0" w:space="0" w:color="auto"/>
                                    <w:bottom w:val="none" w:sz="0" w:space="0" w:color="auto"/>
                                    <w:right w:val="none" w:sz="0" w:space="0" w:color="auto"/>
                                  </w:divBdr>
                                  <w:divsChild>
                                    <w:div w:id="1828398982">
                                      <w:marLeft w:val="0"/>
                                      <w:marRight w:val="0"/>
                                      <w:marTop w:val="0"/>
                                      <w:marBottom w:val="0"/>
                                      <w:divBdr>
                                        <w:top w:val="none" w:sz="0" w:space="0" w:color="auto"/>
                                        <w:left w:val="none" w:sz="0" w:space="0" w:color="auto"/>
                                        <w:bottom w:val="none" w:sz="0" w:space="0" w:color="auto"/>
                                        <w:right w:val="none" w:sz="0" w:space="0" w:color="auto"/>
                                      </w:divBdr>
                                      <w:divsChild>
                                        <w:div w:id="5905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585998">
              <w:marLeft w:val="0"/>
              <w:marRight w:val="0"/>
              <w:marTop w:val="0"/>
              <w:marBottom w:val="0"/>
              <w:divBdr>
                <w:top w:val="none" w:sz="0" w:space="0" w:color="auto"/>
                <w:left w:val="none" w:sz="0" w:space="0" w:color="auto"/>
                <w:bottom w:val="none" w:sz="0" w:space="0" w:color="auto"/>
                <w:right w:val="none" w:sz="0" w:space="0" w:color="auto"/>
              </w:divBdr>
              <w:divsChild>
                <w:div w:id="1777288551">
                  <w:marLeft w:val="0"/>
                  <w:marRight w:val="0"/>
                  <w:marTop w:val="0"/>
                  <w:marBottom w:val="0"/>
                  <w:divBdr>
                    <w:top w:val="none" w:sz="0" w:space="0" w:color="auto"/>
                    <w:left w:val="none" w:sz="0" w:space="0" w:color="auto"/>
                    <w:bottom w:val="none" w:sz="0" w:space="0" w:color="auto"/>
                    <w:right w:val="none" w:sz="0" w:space="0" w:color="auto"/>
                  </w:divBdr>
                  <w:divsChild>
                    <w:div w:id="251744611">
                      <w:marLeft w:val="0"/>
                      <w:marRight w:val="0"/>
                      <w:marTop w:val="0"/>
                      <w:marBottom w:val="0"/>
                      <w:divBdr>
                        <w:top w:val="none" w:sz="0" w:space="0" w:color="auto"/>
                        <w:left w:val="none" w:sz="0" w:space="0" w:color="auto"/>
                        <w:bottom w:val="none" w:sz="0" w:space="0" w:color="auto"/>
                        <w:right w:val="none" w:sz="0" w:space="0" w:color="auto"/>
                      </w:divBdr>
                      <w:divsChild>
                        <w:div w:id="1723753112">
                          <w:marLeft w:val="0"/>
                          <w:marRight w:val="0"/>
                          <w:marTop w:val="0"/>
                          <w:marBottom w:val="0"/>
                          <w:divBdr>
                            <w:top w:val="none" w:sz="0" w:space="0" w:color="auto"/>
                            <w:left w:val="none" w:sz="0" w:space="0" w:color="auto"/>
                            <w:bottom w:val="none" w:sz="0" w:space="0" w:color="auto"/>
                            <w:right w:val="none" w:sz="0" w:space="0" w:color="auto"/>
                          </w:divBdr>
                          <w:divsChild>
                            <w:div w:id="123275961">
                              <w:marLeft w:val="0"/>
                              <w:marRight w:val="0"/>
                              <w:marTop w:val="0"/>
                              <w:marBottom w:val="0"/>
                              <w:divBdr>
                                <w:top w:val="none" w:sz="0" w:space="0" w:color="auto"/>
                                <w:left w:val="none" w:sz="0" w:space="0" w:color="auto"/>
                                <w:bottom w:val="none" w:sz="0" w:space="0" w:color="auto"/>
                                <w:right w:val="none" w:sz="0" w:space="0" w:color="auto"/>
                              </w:divBdr>
                              <w:divsChild>
                                <w:div w:id="458109202">
                                  <w:marLeft w:val="0"/>
                                  <w:marRight w:val="0"/>
                                  <w:marTop w:val="0"/>
                                  <w:marBottom w:val="0"/>
                                  <w:divBdr>
                                    <w:top w:val="none" w:sz="0" w:space="0" w:color="auto"/>
                                    <w:left w:val="none" w:sz="0" w:space="0" w:color="auto"/>
                                    <w:bottom w:val="none" w:sz="0" w:space="0" w:color="auto"/>
                                    <w:right w:val="none" w:sz="0" w:space="0" w:color="auto"/>
                                  </w:divBdr>
                                  <w:divsChild>
                                    <w:div w:id="80238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778495">
              <w:marLeft w:val="0"/>
              <w:marRight w:val="0"/>
              <w:marTop w:val="0"/>
              <w:marBottom w:val="0"/>
              <w:divBdr>
                <w:top w:val="none" w:sz="0" w:space="0" w:color="auto"/>
                <w:left w:val="none" w:sz="0" w:space="0" w:color="auto"/>
                <w:bottom w:val="none" w:sz="0" w:space="0" w:color="auto"/>
                <w:right w:val="none" w:sz="0" w:space="0" w:color="auto"/>
              </w:divBdr>
              <w:divsChild>
                <w:div w:id="259681826">
                  <w:marLeft w:val="0"/>
                  <w:marRight w:val="0"/>
                  <w:marTop w:val="0"/>
                  <w:marBottom w:val="0"/>
                  <w:divBdr>
                    <w:top w:val="none" w:sz="0" w:space="0" w:color="auto"/>
                    <w:left w:val="none" w:sz="0" w:space="0" w:color="auto"/>
                    <w:bottom w:val="none" w:sz="0" w:space="0" w:color="auto"/>
                    <w:right w:val="none" w:sz="0" w:space="0" w:color="auto"/>
                  </w:divBdr>
                  <w:divsChild>
                    <w:div w:id="1900549492">
                      <w:marLeft w:val="0"/>
                      <w:marRight w:val="0"/>
                      <w:marTop w:val="0"/>
                      <w:marBottom w:val="0"/>
                      <w:divBdr>
                        <w:top w:val="none" w:sz="0" w:space="0" w:color="auto"/>
                        <w:left w:val="none" w:sz="0" w:space="0" w:color="auto"/>
                        <w:bottom w:val="none" w:sz="0" w:space="0" w:color="auto"/>
                        <w:right w:val="none" w:sz="0" w:space="0" w:color="auto"/>
                      </w:divBdr>
                      <w:divsChild>
                        <w:div w:id="1424258626">
                          <w:marLeft w:val="0"/>
                          <w:marRight w:val="0"/>
                          <w:marTop w:val="0"/>
                          <w:marBottom w:val="0"/>
                          <w:divBdr>
                            <w:top w:val="none" w:sz="0" w:space="0" w:color="auto"/>
                            <w:left w:val="none" w:sz="0" w:space="0" w:color="auto"/>
                            <w:bottom w:val="none" w:sz="0" w:space="0" w:color="auto"/>
                            <w:right w:val="none" w:sz="0" w:space="0" w:color="auto"/>
                          </w:divBdr>
                          <w:divsChild>
                            <w:div w:id="956714889">
                              <w:marLeft w:val="0"/>
                              <w:marRight w:val="0"/>
                              <w:marTop w:val="0"/>
                              <w:marBottom w:val="0"/>
                              <w:divBdr>
                                <w:top w:val="none" w:sz="0" w:space="0" w:color="auto"/>
                                <w:left w:val="none" w:sz="0" w:space="0" w:color="auto"/>
                                <w:bottom w:val="none" w:sz="0" w:space="0" w:color="auto"/>
                                <w:right w:val="none" w:sz="0" w:space="0" w:color="auto"/>
                              </w:divBdr>
                              <w:divsChild>
                                <w:div w:id="1523133738">
                                  <w:marLeft w:val="0"/>
                                  <w:marRight w:val="0"/>
                                  <w:marTop w:val="0"/>
                                  <w:marBottom w:val="0"/>
                                  <w:divBdr>
                                    <w:top w:val="none" w:sz="0" w:space="0" w:color="auto"/>
                                    <w:left w:val="none" w:sz="0" w:space="0" w:color="auto"/>
                                    <w:bottom w:val="none" w:sz="0" w:space="0" w:color="auto"/>
                                    <w:right w:val="none" w:sz="0" w:space="0" w:color="auto"/>
                                  </w:divBdr>
                                  <w:divsChild>
                                    <w:div w:id="802888324">
                                      <w:marLeft w:val="0"/>
                                      <w:marRight w:val="0"/>
                                      <w:marTop w:val="0"/>
                                      <w:marBottom w:val="0"/>
                                      <w:divBdr>
                                        <w:top w:val="none" w:sz="0" w:space="0" w:color="auto"/>
                                        <w:left w:val="none" w:sz="0" w:space="0" w:color="auto"/>
                                        <w:bottom w:val="none" w:sz="0" w:space="0" w:color="auto"/>
                                        <w:right w:val="none" w:sz="0" w:space="0" w:color="auto"/>
                                      </w:divBdr>
                                      <w:divsChild>
                                        <w:div w:id="13363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593506">
              <w:marLeft w:val="0"/>
              <w:marRight w:val="0"/>
              <w:marTop w:val="0"/>
              <w:marBottom w:val="0"/>
              <w:divBdr>
                <w:top w:val="none" w:sz="0" w:space="0" w:color="auto"/>
                <w:left w:val="none" w:sz="0" w:space="0" w:color="auto"/>
                <w:bottom w:val="none" w:sz="0" w:space="0" w:color="auto"/>
                <w:right w:val="none" w:sz="0" w:space="0" w:color="auto"/>
              </w:divBdr>
              <w:divsChild>
                <w:div w:id="1234193643">
                  <w:marLeft w:val="0"/>
                  <w:marRight w:val="0"/>
                  <w:marTop w:val="0"/>
                  <w:marBottom w:val="0"/>
                  <w:divBdr>
                    <w:top w:val="none" w:sz="0" w:space="0" w:color="auto"/>
                    <w:left w:val="none" w:sz="0" w:space="0" w:color="auto"/>
                    <w:bottom w:val="none" w:sz="0" w:space="0" w:color="auto"/>
                    <w:right w:val="none" w:sz="0" w:space="0" w:color="auto"/>
                  </w:divBdr>
                  <w:divsChild>
                    <w:div w:id="1097406814">
                      <w:marLeft w:val="0"/>
                      <w:marRight w:val="0"/>
                      <w:marTop w:val="0"/>
                      <w:marBottom w:val="0"/>
                      <w:divBdr>
                        <w:top w:val="none" w:sz="0" w:space="0" w:color="auto"/>
                        <w:left w:val="none" w:sz="0" w:space="0" w:color="auto"/>
                        <w:bottom w:val="none" w:sz="0" w:space="0" w:color="auto"/>
                        <w:right w:val="none" w:sz="0" w:space="0" w:color="auto"/>
                      </w:divBdr>
                      <w:divsChild>
                        <w:div w:id="759373217">
                          <w:marLeft w:val="0"/>
                          <w:marRight w:val="0"/>
                          <w:marTop w:val="0"/>
                          <w:marBottom w:val="0"/>
                          <w:divBdr>
                            <w:top w:val="none" w:sz="0" w:space="0" w:color="auto"/>
                            <w:left w:val="none" w:sz="0" w:space="0" w:color="auto"/>
                            <w:bottom w:val="none" w:sz="0" w:space="0" w:color="auto"/>
                            <w:right w:val="none" w:sz="0" w:space="0" w:color="auto"/>
                          </w:divBdr>
                          <w:divsChild>
                            <w:div w:id="888612224">
                              <w:marLeft w:val="0"/>
                              <w:marRight w:val="0"/>
                              <w:marTop w:val="0"/>
                              <w:marBottom w:val="0"/>
                              <w:divBdr>
                                <w:top w:val="none" w:sz="0" w:space="0" w:color="auto"/>
                                <w:left w:val="none" w:sz="0" w:space="0" w:color="auto"/>
                                <w:bottom w:val="none" w:sz="0" w:space="0" w:color="auto"/>
                                <w:right w:val="none" w:sz="0" w:space="0" w:color="auto"/>
                              </w:divBdr>
                              <w:divsChild>
                                <w:div w:id="1104693308">
                                  <w:marLeft w:val="0"/>
                                  <w:marRight w:val="0"/>
                                  <w:marTop w:val="0"/>
                                  <w:marBottom w:val="0"/>
                                  <w:divBdr>
                                    <w:top w:val="none" w:sz="0" w:space="0" w:color="auto"/>
                                    <w:left w:val="none" w:sz="0" w:space="0" w:color="auto"/>
                                    <w:bottom w:val="none" w:sz="0" w:space="0" w:color="auto"/>
                                    <w:right w:val="none" w:sz="0" w:space="0" w:color="auto"/>
                                  </w:divBdr>
                                  <w:divsChild>
                                    <w:div w:id="1731998048">
                                      <w:marLeft w:val="0"/>
                                      <w:marRight w:val="0"/>
                                      <w:marTop w:val="0"/>
                                      <w:marBottom w:val="0"/>
                                      <w:divBdr>
                                        <w:top w:val="none" w:sz="0" w:space="0" w:color="auto"/>
                                        <w:left w:val="none" w:sz="0" w:space="0" w:color="auto"/>
                                        <w:bottom w:val="none" w:sz="0" w:space="0" w:color="auto"/>
                                        <w:right w:val="none" w:sz="0" w:space="0" w:color="auto"/>
                                      </w:divBdr>
                                      <w:divsChild>
                                        <w:div w:id="1361205100">
                                          <w:marLeft w:val="0"/>
                                          <w:marRight w:val="0"/>
                                          <w:marTop w:val="0"/>
                                          <w:marBottom w:val="0"/>
                                          <w:divBdr>
                                            <w:top w:val="none" w:sz="0" w:space="0" w:color="auto"/>
                                            <w:left w:val="none" w:sz="0" w:space="0" w:color="auto"/>
                                            <w:bottom w:val="none" w:sz="0" w:space="0" w:color="auto"/>
                                            <w:right w:val="none" w:sz="0" w:space="0" w:color="auto"/>
                                          </w:divBdr>
                                          <w:divsChild>
                                            <w:div w:id="761032217">
                                              <w:marLeft w:val="0"/>
                                              <w:marRight w:val="0"/>
                                              <w:marTop w:val="0"/>
                                              <w:marBottom w:val="0"/>
                                              <w:divBdr>
                                                <w:top w:val="none" w:sz="0" w:space="0" w:color="auto"/>
                                                <w:left w:val="none" w:sz="0" w:space="0" w:color="auto"/>
                                                <w:bottom w:val="none" w:sz="0" w:space="0" w:color="auto"/>
                                                <w:right w:val="none" w:sz="0" w:space="0" w:color="auto"/>
                                              </w:divBdr>
                                            </w:div>
                                          </w:divsChild>
                                        </w:div>
                                        <w:div w:id="1158158013">
                                          <w:marLeft w:val="0"/>
                                          <w:marRight w:val="0"/>
                                          <w:marTop w:val="0"/>
                                          <w:marBottom w:val="0"/>
                                          <w:divBdr>
                                            <w:top w:val="none" w:sz="0" w:space="0" w:color="auto"/>
                                            <w:left w:val="none" w:sz="0" w:space="0" w:color="auto"/>
                                            <w:bottom w:val="none" w:sz="0" w:space="0" w:color="auto"/>
                                            <w:right w:val="none" w:sz="0" w:space="0" w:color="auto"/>
                                          </w:divBdr>
                                          <w:divsChild>
                                            <w:div w:id="776366890">
                                              <w:marLeft w:val="0"/>
                                              <w:marRight w:val="0"/>
                                              <w:marTop w:val="0"/>
                                              <w:marBottom w:val="0"/>
                                              <w:divBdr>
                                                <w:top w:val="none" w:sz="0" w:space="0" w:color="auto"/>
                                                <w:left w:val="none" w:sz="0" w:space="0" w:color="auto"/>
                                                <w:bottom w:val="none" w:sz="0" w:space="0" w:color="auto"/>
                                                <w:right w:val="none" w:sz="0" w:space="0" w:color="auto"/>
                                              </w:divBdr>
                                            </w:div>
                                          </w:divsChild>
                                        </w:div>
                                        <w:div w:id="139732070">
                                          <w:marLeft w:val="0"/>
                                          <w:marRight w:val="0"/>
                                          <w:marTop w:val="0"/>
                                          <w:marBottom w:val="0"/>
                                          <w:divBdr>
                                            <w:top w:val="none" w:sz="0" w:space="0" w:color="auto"/>
                                            <w:left w:val="none" w:sz="0" w:space="0" w:color="auto"/>
                                            <w:bottom w:val="none" w:sz="0" w:space="0" w:color="auto"/>
                                            <w:right w:val="none" w:sz="0" w:space="0" w:color="auto"/>
                                          </w:divBdr>
                                          <w:divsChild>
                                            <w:div w:id="12375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585115">
              <w:marLeft w:val="0"/>
              <w:marRight w:val="0"/>
              <w:marTop w:val="0"/>
              <w:marBottom w:val="0"/>
              <w:divBdr>
                <w:top w:val="none" w:sz="0" w:space="0" w:color="auto"/>
                <w:left w:val="none" w:sz="0" w:space="0" w:color="auto"/>
                <w:bottom w:val="none" w:sz="0" w:space="0" w:color="auto"/>
                <w:right w:val="none" w:sz="0" w:space="0" w:color="auto"/>
              </w:divBdr>
              <w:divsChild>
                <w:div w:id="1493793672">
                  <w:marLeft w:val="0"/>
                  <w:marRight w:val="0"/>
                  <w:marTop w:val="0"/>
                  <w:marBottom w:val="0"/>
                  <w:divBdr>
                    <w:top w:val="none" w:sz="0" w:space="0" w:color="auto"/>
                    <w:left w:val="none" w:sz="0" w:space="0" w:color="auto"/>
                    <w:bottom w:val="none" w:sz="0" w:space="0" w:color="auto"/>
                    <w:right w:val="none" w:sz="0" w:space="0" w:color="auto"/>
                  </w:divBdr>
                  <w:divsChild>
                    <w:div w:id="1362439971">
                      <w:marLeft w:val="0"/>
                      <w:marRight w:val="0"/>
                      <w:marTop w:val="0"/>
                      <w:marBottom w:val="0"/>
                      <w:divBdr>
                        <w:top w:val="none" w:sz="0" w:space="0" w:color="auto"/>
                        <w:left w:val="none" w:sz="0" w:space="0" w:color="auto"/>
                        <w:bottom w:val="none" w:sz="0" w:space="0" w:color="auto"/>
                        <w:right w:val="none" w:sz="0" w:space="0" w:color="auto"/>
                      </w:divBdr>
                      <w:divsChild>
                        <w:div w:id="1731346165">
                          <w:marLeft w:val="0"/>
                          <w:marRight w:val="0"/>
                          <w:marTop w:val="0"/>
                          <w:marBottom w:val="0"/>
                          <w:divBdr>
                            <w:top w:val="none" w:sz="0" w:space="0" w:color="auto"/>
                            <w:left w:val="none" w:sz="0" w:space="0" w:color="auto"/>
                            <w:bottom w:val="none" w:sz="0" w:space="0" w:color="auto"/>
                            <w:right w:val="none" w:sz="0" w:space="0" w:color="auto"/>
                          </w:divBdr>
                          <w:divsChild>
                            <w:div w:id="675690362">
                              <w:marLeft w:val="0"/>
                              <w:marRight w:val="0"/>
                              <w:marTop w:val="0"/>
                              <w:marBottom w:val="0"/>
                              <w:divBdr>
                                <w:top w:val="none" w:sz="0" w:space="0" w:color="auto"/>
                                <w:left w:val="none" w:sz="0" w:space="0" w:color="auto"/>
                                <w:bottom w:val="none" w:sz="0" w:space="0" w:color="auto"/>
                                <w:right w:val="none" w:sz="0" w:space="0" w:color="auto"/>
                              </w:divBdr>
                              <w:divsChild>
                                <w:div w:id="1756169521">
                                  <w:marLeft w:val="0"/>
                                  <w:marRight w:val="0"/>
                                  <w:marTop w:val="0"/>
                                  <w:marBottom w:val="0"/>
                                  <w:divBdr>
                                    <w:top w:val="none" w:sz="0" w:space="0" w:color="auto"/>
                                    <w:left w:val="none" w:sz="0" w:space="0" w:color="auto"/>
                                    <w:bottom w:val="none" w:sz="0" w:space="0" w:color="auto"/>
                                    <w:right w:val="none" w:sz="0" w:space="0" w:color="auto"/>
                                  </w:divBdr>
                                  <w:divsChild>
                                    <w:div w:id="116679343">
                                      <w:marLeft w:val="0"/>
                                      <w:marRight w:val="0"/>
                                      <w:marTop w:val="0"/>
                                      <w:marBottom w:val="0"/>
                                      <w:divBdr>
                                        <w:top w:val="none" w:sz="0" w:space="0" w:color="auto"/>
                                        <w:left w:val="none" w:sz="0" w:space="0" w:color="auto"/>
                                        <w:bottom w:val="none" w:sz="0" w:space="0" w:color="auto"/>
                                        <w:right w:val="none" w:sz="0" w:space="0" w:color="auto"/>
                                      </w:divBdr>
                                      <w:divsChild>
                                        <w:div w:id="2860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9418492">
              <w:marLeft w:val="0"/>
              <w:marRight w:val="0"/>
              <w:marTop w:val="0"/>
              <w:marBottom w:val="0"/>
              <w:divBdr>
                <w:top w:val="none" w:sz="0" w:space="0" w:color="auto"/>
                <w:left w:val="none" w:sz="0" w:space="0" w:color="auto"/>
                <w:bottom w:val="none" w:sz="0" w:space="0" w:color="auto"/>
                <w:right w:val="none" w:sz="0" w:space="0" w:color="auto"/>
              </w:divBdr>
              <w:divsChild>
                <w:div w:id="248975381">
                  <w:marLeft w:val="0"/>
                  <w:marRight w:val="0"/>
                  <w:marTop w:val="0"/>
                  <w:marBottom w:val="0"/>
                  <w:divBdr>
                    <w:top w:val="none" w:sz="0" w:space="0" w:color="auto"/>
                    <w:left w:val="none" w:sz="0" w:space="0" w:color="auto"/>
                    <w:bottom w:val="none" w:sz="0" w:space="0" w:color="auto"/>
                    <w:right w:val="none" w:sz="0" w:space="0" w:color="auto"/>
                  </w:divBdr>
                  <w:divsChild>
                    <w:div w:id="1881674096">
                      <w:marLeft w:val="0"/>
                      <w:marRight w:val="0"/>
                      <w:marTop w:val="0"/>
                      <w:marBottom w:val="0"/>
                      <w:divBdr>
                        <w:top w:val="none" w:sz="0" w:space="0" w:color="auto"/>
                        <w:left w:val="none" w:sz="0" w:space="0" w:color="auto"/>
                        <w:bottom w:val="none" w:sz="0" w:space="0" w:color="auto"/>
                        <w:right w:val="none" w:sz="0" w:space="0" w:color="auto"/>
                      </w:divBdr>
                      <w:divsChild>
                        <w:div w:id="647318433">
                          <w:marLeft w:val="0"/>
                          <w:marRight w:val="0"/>
                          <w:marTop w:val="0"/>
                          <w:marBottom w:val="0"/>
                          <w:divBdr>
                            <w:top w:val="none" w:sz="0" w:space="0" w:color="auto"/>
                            <w:left w:val="none" w:sz="0" w:space="0" w:color="auto"/>
                            <w:bottom w:val="none" w:sz="0" w:space="0" w:color="auto"/>
                            <w:right w:val="none" w:sz="0" w:space="0" w:color="auto"/>
                          </w:divBdr>
                          <w:divsChild>
                            <w:div w:id="575869801">
                              <w:marLeft w:val="0"/>
                              <w:marRight w:val="0"/>
                              <w:marTop w:val="0"/>
                              <w:marBottom w:val="0"/>
                              <w:divBdr>
                                <w:top w:val="none" w:sz="0" w:space="0" w:color="auto"/>
                                <w:left w:val="none" w:sz="0" w:space="0" w:color="auto"/>
                                <w:bottom w:val="none" w:sz="0" w:space="0" w:color="auto"/>
                                <w:right w:val="none" w:sz="0" w:space="0" w:color="auto"/>
                              </w:divBdr>
                              <w:divsChild>
                                <w:div w:id="836725485">
                                  <w:marLeft w:val="0"/>
                                  <w:marRight w:val="0"/>
                                  <w:marTop w:val="0"/>
                                  <w:marBottom w:val="0"/>
                                  <w:divBdr>
                                    <w:top w:val="none" w:sz="0" w:space="0" w:color="auto"/>
                                    <w:left w:val="none" w:sz="0" w:space="0" w:color="auto"/>
                                    <w:bottom w:val="none" w:sz="0" w:space="0" w:color="auto"/>
                                    <w:right w:val="none" w:sz="0" w:space="0" w:color="auto"/>
                                  </w:divBdr>
                                  <w:divsChild>
                                    <w:div w:id="11200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902540">
              <w:marLeft w:val="0"/>
              <w:marRight w:val="0"/>
              <w:marTop w:val="0"/>
              <w:marBottom w:val="0"/>
              <w:divBdr>
                <w:top w:val="none" w:sz="0" w:space="0" w:color="auto"/>
                <w:left w:val="none" w:sz="0" w:space="0" w:color="auto"/>
                <w:bottom w:val="none" w:sz="0" w:space="0" w:color="auto"/>
                <w:right w:val="none" w:sz="0" w:space="0" w:color="auto"/>
              </w:divBdr>
              <w:divsChild>
                <w:div w:id="1833910177">
                  <w:marLeft w:val="0"/>
                  <w:marRight w:val="0"/>
                  <w:marTop w:val="0"/>
                  <w:marBottom w:val="0"/>
                  <w:divBdr>
                    <w:top w:val="none" w:sz="0" w:space="0" w:color="auto"/>
                    <w:left w:val="none" w:sz="0" w:space="0" w:color="auto"/>
                    <w:bottom w:val="none" w:sz="0" w:space="0" w:color="auto"/>
                    <w:right w:val="none" w:sz="0" w:space="0" w:color="auto"/>
                  </w:divBdr>
                  <w:divsChild>
                    <w:div w:id="1873221723">
                      <w:marLeft w:val="0"/>
                      <w:marRight w:val="0"/>
                      <w:marTop w:val="0"/>
                      <w:marBottom w:val="0"/>
                      <w:divBdr>
                        <w:top w:val="none" w:sz="0" w:space="0" w:color="auto"/>
                        <w:left w:val="none" w:sz="0" w:space="0" w:color="auto"/>
                        <w:bottom w:val="none" w:sz="0" w:space="0" w:color="auto"/>
                        <w:right w:val="none" w:sz="0" w:space="0" w:color="auto"/>
                      </w:divBdr>
                      <w:divsChild>
                        <w:div w:id="2022394001">
                          <w:marLeft w:val="0"/>
                          <w:marRight w:val="0"/>
                          <w:marTop w:val="0"/>
                          <w:marBottom w:val="0"/>
                          <w:divBdr>
                            <w:top w:val="none" w:sz="0" w:space="0" w:color="auto"/>
                            <w:left w:val="none" w:sz="0" w:space="0" w:color="auto"/>
                            <w:bottom w:val="none" w:sz="0" w:space="0" w:color="auto"/>
                            <w:right w:val="none" w:sz="0" w:space="0" w:color="auto"/>
                          </w:divBdr>
                          <w:divsChild>
                            <w:div w:id="1938364234">
                              <w:marLeft w:val="0"/>
                              <w:marRight w:val="0"/>
                              <w:marTop w:val="0"/>
                              <w:marBottom w:val="0"/>
                              <w:divBdr>
                                <w:top w:val="none" w:sz="0" w:space="0" w:color="auto"/>
                                <w:left w:val="none" w:sz="0" w:space="0" w:color="auto"/>
                                <w:bottom w:val="none" w:sz="0" w:space="0" w:color="auto"/>
                                <w:right w:val="none" w:sz="0" w:space="0" w:color="auto"/>
                              </w:divBdr>
                              <w:divsChild>
                                <w:div w:id="1529441968">
                                  <w:marLeft w:val="0"/>
                                  <w:marRight w:val="0"/>
                                  <w:marTop w:val="0"/>
                                  <w:marBottom w:val="0"/>
                                  <w:divBdr>
                                    <w:top w:val="none" w:sz="0" w:space="0" w:color="auto"/>
                                    <w:left w:val="none" w:sz="0" w:space="0" w:color="auto"/>
                                    <w:bottom w:val="none" w:sz="0" w:space="0" w:color="auto"/>
                                    <w:right w:val="none" w:sz="0" w:space="0" w:color="auto"/>
                                  </w:divBdr>
                                  <w:divsChild>
                                    <w:div w:id="496844867">
                                      <w:marLeft w:val="0"/>
                                      <w:marRight w:val="0"/>
                                      <w:marTop w:val="0"/>
                                      <w:marBottom w:val="0"/>
                                      <w:divBdr>
                                        <w:top w:val="none" w:sz="0" w:space="0" w:color="auto"/>
                                        <w:left w:val="none" w:sz="0" w:space="0" w:color="auto"/>
                                        <w:bottom w:val="none" w:sz="0" w:space="0" w:color="auto"/>
                                        <w:right w:val="none" w:sz="0" w:space="0" w:color="auto"/>
                                      </w:divBdr>
                                      <w:divsChild>
                                        <w:div w:id="4923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430493">
              <w:marLeft w:val="0"/>
              <w:marRight w:val="0"/>
              <w:marTop w:val="0"/>
              <w:marBottom w:val="0"/>
              <w:divBdr>
                <w:top w:val="none" w:sz="0" w:space="0" w:color="auto"/>
                <w:left w:val="none" w:sz="0" w:space="0" w:color="auto"/>
                <w:bottom w:val="none" w:sz="0" w:space="0" w:color="auto"/>
                <w:right w:val="none" w:sz="0" w:space="0" w:color="auto"/>
              </w:divBdr>
              <w:divsChild>
                <w:div w:id="1905292572">
                  <w:marLeft w:val="0"/>
                  <w:marRight w:val="0"/>
                  <w:marTop w:val="0"/>
                  <w:marBottom w:val="0"/>
                  <w:divBdr>
                    <w:top w:val="none" w:sz="0" w:space="0" w:color="auto"/>
                    <w:left w:val="none" w:sz="0" w:space="0" w:color="auto"/>
                    <w:bottom w:val="none" w:sz="0" w:space="0" w:color="auto"/>
                    <w:right w:val="none" w:sz="0" w:space="0" w:color="auto"/>
                  </w:divBdr>
                  <w:divsChild>
                    <w:div w:id="203980428">
                      <w:marLeft w:val="0"/>
                      <w:marRight w:val="0"/>
                      <w:marTop w:val="0"/>
                      <w:marBottom w:val="0"/>
                      <w:divBdr>
                        <w:top w:val="none" w:sz="0" w:space="0" w:color="auto"/>
                        <w:left w:val="none" w:sz="0" w:space="0" w:color="auto"/>
                        <w:bottom w:val="none" w:sz="0" w:space="0" w:color="auto"/>
                        <w:right w:val="none" w:sz="0" w:space="0" w:color="auto"/>
                      </w:divBdr>
                      <w:divsChild>
                        <w:div w:id="1921674388">
                          <w:marLeft w:val="0"/>
                          <w:marRight w:val="0"/>
                          <w:marTop w:val="0"/>
                          <w:marBottom w:val="0"/>
                          <w:divBdr>
                            <w:top w:val="none" w:sz="0" w:space="0" w:color="auto"/>
                            <w:left w:val="none" w:sz="0" w:space="0" w:color="auto"/>
                            <w:bottom w:val="none" w:sz="0" w:space="0" w:color="auto"/>
                            <w:right w:val="none" w:sz="0" w:space="0" w:color="auto"/>
                          </w:divBdr>
                          <w:divsChild>
                            <w:div w:id="729379978">
                              <w:marLeft w:val="0"/>
                              <w:marRight w:val="0"/>
                              <w:marTop w:val="0"/>
                              <w:marBottom w:val="0"/>
                              <w:divBdr>
                                <w:top w:val="none" w:sz="0" w:space="0" w:color="auto"/>
                                <w:left w:val="none" w:sz="0" w:space="0" w:color="auto"/>
                                <w:bottom w:val="none" w:sz="0" w:space="0" w:color="auto"/>
                                <w:right w:val="none" w:sz="0" w:space="0" w:color="auto"/>
                              </w:divBdr>
                              <w:divsChild>
                                <w:div w:id="175965272">
                                  <w:marLeft w:val="0"/>
                                  <w:marRight w:val="0"/>
                                  <w:marTop w:val="0"/>
                                  <w:marBottom w:val="0"/>
                                  <w:divBdr>
                                    <w:top w:val="none" w:sz="0" w:space="0" w:color="auto"/>
                                    <w:left w:val="none" w:sz="0" w:space="0" w:color="auto"/>
                                    <w:bottom w:val="none" w:sz="0" w:space="0" w:color="auto"/>
                                    <w:right w:val="none" w:sz="0" w:space="0" w:color="auto"/>
                                  </w:divBdr>
                                  <w:divsChild>
                                    <w:div w:id="16456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47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scholar_lookup?title=Epidemiology+of+hip+fractures+in+Norwa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lar.google.com/scholar_lookup?title=Physical+therapy+in+the+postoperative+of+proximal+femur+fracture+in+elder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2040</Words>
  <Characters>11633</Characters>
  <Application>Microsoft Office Word</Application>
  <DocSecurity>0</DocSecurity>
  <Lines>96</Lines>
  <Paragraphs>27</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vt:lpstr>
      <vt:lpstr>    Abstract</vt:lpstr>
      <vt:lpstr>        Background- Stable intertrochanteric femur fractures are common orthopedic injur</vt:lpstr>
      <vt:lpstr>        Objectives- To compare the functional and radiological outcomes of Proximal Femo</vt:lpstr>
      <vt:lpstr>        Materials and Methods- A prospective comparative study was conducted on 40 patie</vt:lpstr>
      <vt:lpstr>        Results- The PFN group demonstrated significantly shorter operative time, lower </vt:lpstr>
      <vt:lpstr>        Conclusion- Both PFN and DHS provided satisfactory fracture union in stable inte</vt:lpstr>
      <vt:lpstr>        </vt:lpstr>
      <vt:lpstr>        Introduction</vt:lpstr>
      <vt:lpstr>        Materials and Methodology</vt:lpstr>
      <vt:lpstr>    Results</vt:lpstr>
      <vt:lpstr>        </vt:lpstr>
      <vt:lpstr>        </vt:lpstr>
      <vt:lpstr>        </vt:lpstr>
      <vt:lpstr>        </vt:lpstr>
      <vt:lpstr>        Table 1. Baseline Demographic and Clinical Characteristics of Study Participants</vt:lpstr>
      <vt:lpstr>        Table 2. Functional Outcomes at 6-Month Follow-up</vt:lpstr>
      <vt:lpstr>        Table 3. Radiological Outcomes and Complications</vt:lpstr>
      <vt:lpstr>    </vt:lpstr>
      <vt:lpstr>    Discussion</vt:lpstr>
      <vt:lpstr>    </vt:lpstr>
      <vt:lpstr>    </vt:lpstr>
    </vt:vector>
  </TitlesOfParts>
  <Company>HP</Company>
  <LinksUpToDate>false</LinksUpToDate>
  <CharactersWithSpaces>13646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RDRL</dc:creator>
  <cp:lastModifiedBy>RDRL</cp:lastModifiedBy>
  <cp:revision>7</cp:revision>
  <cp:lastPrinted>2026-07-24T11:00:00Z</cp:lastPrinted>
  <dcterms:created xsi:type="dcterms:W3CDTF">2026-07-20T09:15:00Z</dcterms:created>
  <dcterms:modified xsi:type="dcterms:W3CDTF">2026-07-24T11:01:00Z</dcterms:modified>
</cp:coreProperties>
</file>