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AC2" w:rsidRPr="00466C93" w:rsidRDefault="00990AC2" w:rsidP="00466C93">
      <w:pPr>
        <w:spacing w:after="0"/>
        <w:rPr>
          <w:rFonts w:asciiTheme="majorHAnsi" w:hAnsiTheme="majorHAnsi" w:cs="Times New Roman"/>
          <w:b/>
          <w:bCs/>
          <w:i/>
          <w:sz w:val="24"/>
          <w:szCs w:val="24"/>
        </w:rPr>
      </w:pPr>
      <w:r w:rsidRPr="00466C93">
        <w:rPr>
          <w:rFonts w:asciiTheme="majorHAnsi" w:hAnsiTheme="majorHAnsi" w:cs="Times New Roman"/>
          <w:b/>
          <w:bCs/>
          <w:i/>
          <w:sz w:val="24"/>
          <w:szCs w:val="24"/>
          <w:highlight w:val="lightGray"/>
        </w:rPr>
        <w:t>Original article</w:t>
      </w:r>
      <w:r w:rsidRPr="00466C93">
        <w:rPr>
          <w:rFonts w:asciiTheme="majorHAnsi" w:hAnsiTheme="majorHAnsi" w:cs="Times New Roman"/>
          <w:b/>
          <w:bCs/>
          <w:i/>
          <w:sz w:val="24"/>
          <w:szCs w:val="24"/>
        </w:rPr>
        <w:t xml:space="preserve"> </w:t>
      </w:r>
    </w:p>
    <w:p w:rsidR="00746C27" w:rsidRPr="00466C93" w:rsidRDefault="00746C27" w:rsidP="00466C93">
      <w:pPr>
        <w:spacing w:after="0"/>
        <w:rPr>
          <w:rFonts w:asciiTheme="majorHAnsi" w:hAnsiTheme="majorHAnsi" w:cs="Times New Roman"/>
          <w:b/>
          <w:bCs/>
          <w:i/>
          <w:color w:val="0070C0"/>
          <w:sz w:val="28"/>
          <w:szCs w:val="28"/>
        </w:rPr>
      </w:pPr>
      <w:r w:rsidRPr="00466C93">
        <w:rPr>
          <w:rFonts w:asciiTheme="majorHAnsi" w:hAnsiTheme="majorHAnsi" w:cs="Times New Roman"/>
          <w:b/>
          <w:bCs/>
          <w:i/>
          <w:color w:val="0070C0"/>
          <w:sz w:val="28"/>
          <w:szCs w:val="28"/>
        </w:rPr>
        <w:t>Diagnostic Accuracy of Ga-68 PSMA PET-CT in Biochemical Recurrence of Prostate Cancer</w:t>
      </w:r>
    </w:p>
    <w:p w:rsidR="00BA5AA2" w:rsidRPr="00466C93" w:rsidRDefault="00BA5AA2" w:rsidP="00466C93">
      <w:pPr>
        <w:spacing w:after="0"/>
        <w:rPr>
          <w:rFonts w:asciiTheme="majorHAnsi" w:hAnsiTheme="majorHAnsi" w:cs="Times New Roman"/>
          <w:b/>
          <w:bCs/>
          <w:i/>
          <w:sz w:val="20"/>
          <w:szCs w:val="20"/>
        </w:rPr>
      </w:pPr>
      <w:r w:rsidRPr="00466C93">
        <w:rPr>
          <w:rFonts w:asciiTheme="majorHAnsi" w:hAnsiTheme="majorHAnsi" w:cs="Times New Roman"/>
          <w:b/>
          <w:bCs/>
          <w:i/>
          <w:sz w:val="20"/>
          <w:szCs w:val="20"/>
        </w:rPr>
        <w:t>DR. ABHAY UDAYAKUMAR BONDADE</w:t>
      </w:r>
      <w:r w:rsidR="00466C93">
        <w:rPr>
          <w:rFonts w:asciiTheme="majorHAnsi" w:hAnsiTheme="majorHAnsi" w:cs="Times New Roman"/>
          <w:b/>
          <w:bCs/>
          <w:i/>
          <w:sz w:val="20"/>
          <w:szCs w:val="20"/>
        </w:rPr>
        <w:t>*</w:t>
      </w:r>
    </w:p>
    <w:p w:rsidR="00466C93" w:rsidRPr="00466C93" w:rsidRDefault="00466C93" w:rsidP="00466C93">
      <w:pPr>
        <w:spacing w:after="0"/>
        <w:rPr>
          <w:rFonts w:asciiTheme="majorHAnsi" w:hAnsiTheme="majorHAnsi" w:cs="Times New Roman"/>
          <w:b/>
          <w:bCs/>
          <w:i/>
          <w:sz w:val="20"/>
          <w:szCs w:val="20"/>
        </w:rPr>
      </w:pPr>
    </w:p>
    <w:p w:rsidR="00BA5AA2" w:rsidRPr="00466C93" w:rsidRDefault="00BA5AA2" w:rsidP="00466C93">
      <w:pPr>
        <w:spacing w:after="0"/>
        <w:rPr>
          <w:rFonts w:asciiTheme="majorHAnsi" w:hAnsiTheme="majorHAnsi" w:cs="Times New Roman"/>
          <w:bCs/>
          <w:i/>
          <w:sz w:val="18"/>
          <w:szCs w:val="18"/>
        </w:rPr>
      </w:pPr>
      <w:r w:rsidRPr="00466C93">
        <w:rPr>
          <w:rFonts w:asciiTheme="majorHAnsi" w:hAnsiTheme="majorHAnsi" w:cs="Times New Roman"/>
          <w:bCs/>
          <w:i/>
          <w:sz w:val="18"/>
          <w:szCs w:val="18"/>
        </w:rPr>
        <w:t xml:space="preserve">Senior resident </w:t>
      </w:r>
    </w:p>
    <w:p w:rsidR="00BA5AA2" w:rsidRDefault="00BA5AA2" w:rsidP="00466C93">
      <w:pPr>
        <w:spacing w:after="0"/>
        <w:rPr>
          <w:rFonts w:asciiTheme="majorHAnsi" w:hAnsiTheme="majorHAnsi" w:cs="Times New Roman"/>
          <w:bCs/>
          <w:i/>
          <w:sz w:val="18"/>
          <w:szCs w:val="18"/>
        </w:rPr>
      </w:pPr>
      <w:r w:rsidRPr="00466C93">
        <w:rPr>
          <w:rFonts w:asciiTheme="majorHAnsi" w:hAnsiTheme="majorHAnsi" w:cs="Times New Roman"/>
          <w:bCs/>
          <w:i/>
          <w:sz w:val="18"/>
          <w:szCs w:val="18"/>
        </w:rPr>
        <w:t>Nuclear medicine, Lab India Ltd. associated with BJ Govt Medical College, Pune</w:t>
      </w:r>
    </w:p>
    <w:p w:rsidR="00466C93" w:rsidRPr="00466C93" w:rsidRDefault="00466C93" w:rsidP="00466C93">
      <w:pPr>
        <w:spacing w:after="0"/>
        <w:rPr>
          <w:rFonts w:asciiTheme="majorHAnsi" w:hAnsiTheme="majorHAnsi" w:cs="Times New Roman"/>
          <w:bCs/>
          <w:i/>
          <w:sz w:val="18"/>
          <w:szCs w:val="18"/>
        </w:rPr>
      </w:pPr>
      <w:r>
        <w:rPr>
          <w:rFonts w:asciiTheme="majorHAnsi" w:hAnsiTheme="majorHAnsi" w:cs="Times New Roman"/>
          <w:bCs/>
          <w:i/>
          <w:sz w:val="18"/>
          <w:szCs w:val="18"/>
        </w:rPr>
        <w:t>Corresponding author*</w:t>
      </w:r>
    </w:p>
    <w:p w:rsidR="00BA5AA2" w:rsidRPr="00466C93" w:rsidRDefault="00BA5AA2" w:rsidP="00466C93">
      <w:pPr>
        <w:spacing w:after="0"/>
        <w:jc w:val="both"/>
        <w:rPr>
          <w:rFonts w:asciiTheme="majorHAnsi" w:hAnsiTheme="majorHAnsi" w:cs="Times New Roman"/>
          <w:b/>
          <w:bCs/>
          <w:sz w:val="20"/>
          <w:szCs w:val="20"/>
        </w:rPr>
      </w:pPr>
    </w:p>
    <w:p w:rsidR="00BA5AA2" w:rsidRPr="00466C93" w:rsidRDefault="00BA5AA2" w:rsidP="00466C93">
      <w:pPr>
        <w:spacing w:after="0"/>
        <w:jc w:val="both"/>
        <w:rPr>
          <w:rFonts w:asciiTheme="majorHAnsi" w:hAnsiTheme="majorHAnsi" w:cs="Times New Roman"/>
          <w:b/>
          <w:bCs/>
          <w:sz w:val="20"/>
          <w:szCs w:val="20"/>
        </w:rPr>
      </w:pPr>
    </w:p>
    <w:p w:rsidR="00746C27" w:rsidRPr="00466C93" w:rsidRDefault="00746C27" w:rsidP="00466C93">
      <w:pPr>
        <w:spacing w:after="0"/>
        <w:jc w:val="both"/>
        <w:rPr>
          <w:rFonts w:asciiTheme="majorHAnsi" w:hAnsiTheme="majorHAnsi" w:cs="Times New Roman"/>
          <w:b/>
          <w:bCs/>
          <w:i/>
          <w:sz w:val="20"/>
          <w:szCs w:val="20"/>
        </w:rPr>
      </w:pPr>
      <w:r w:rsidRPr="00466C93">
        <w:rPr>
          <w:rFonts w:asciiTheme="majorHAnsi" w:hAnsiTheme="majorHAnsi" w:cs="Times New Roman"/>
          <w:b/>
          <w:bCs/>
          <w:i/>
          <w:sz w:val="20"/>
          <w:szCs w:val="20"/>
        </w:rPr>
        <w:t>ABSTRACT</w:t>
      </w:r>
    </w:p>
    <w:p w:rsidR="00746C27" w:rsidRPr="00466C93" w:rsidRDefault="00746C27" w:rsidP="00466C93">
      <w:pPr>
        <w:spacing w:after="0"/>
        <w:jc w:val="both"/>
        <w:rPr>
          <w:rFonts w:asciiTheme="majorHAnsi" w:hAnsiTheme="majorHAnsi" w:cs="Times New Roman"/>
          <w:b/>
          <w:bCs/>
          <w:i/>
          <w:sz w:val="18"/>
          <w:szCs w:val="18"/>
        </w:rPr>
      </w:pPr>
      <w:r w:rsidRPr="00466C93">
        <w:rPr>
          <w:rFonts w:asciiTheme="majorHAnsi" w:hAnsiTheme="majorHAnsi" w:cs="Times New Roman"/>
          <w:b/>
          <w:bCs/>
          <w:i/>
          <w:sz w:val="18"/>
          <w:szCs w:val="18"/>
        </w:rPr>
        <w:t>Background</w:t>
      </w:r>
      <w:r w:rsidR="00990AC2" w:rsidRPr="00466C93">
        <w:rPr>
          <w:rFonts w:asciiTheme="majorHAnsi" w:hAnsiTheme="majorHAnsi" w:cs="Times New Roman"/>
          <w:b/>
          <w:bCs/>
          <w:i/>
          <w:sz w:val="18"/>
          <w:szCs w:val="18"/>
        </w:rPr>
        <w:t xml:space="preserve"> - </w:t>
      </w:r>
      <w:r w:rsidRPr="00466C93">
        <w:rPr>
          <w:rFonts w:asciiTheme="majorHAnsi" w:hAnsiTheme="majorHAnsi" w:cs="Times New Roman"/>
          <w:i/>
          <w:sz w:val="18"/>
          <w:szCs w:val="18"/>
        </w:rPr>
        <w:t>Biochemical recurrence (BCR) of prostate cancer following definitive treatment remains a significant clinical challenge. Early localization of recurrent disease is crucial for appropriate management and treatment planning. Ga-68 Prostate-Specific Membrane Antigen (PSMA) PET-CT has emerged as a highly sensitive molecular imaging modality for detecting recurrent prostate cancer even at low PSA levels.</w:t>
      </w:r>
    </w:p>
    <w:p w:rsidR="00746C27" w:rsidRPr="00466C93" w:rsidRDefault="00746C27" w:rsidP="00466C93">
      <w:pPr>
        <w:spacing w:after="0"/>
        <w:jc w:val="both"/>
        <w:rPr>
          <w:rFonts w:asciiTheme="majorHAnsi" w:hAnsiTheme="majorHAnsi" w:cs="Times New Roman"/>
          <w:b/>
          <w:bCs/>
          <w:i/>
          <w:sz w:val="18"/>
          <w:szCs w:val="18"/>
        </w:rPr>
      </w:pPr>
      <w:r w:rsidRPr="00466C93">
        <w:rPr>
          <w:rFonts w:asciiTheme="majorHAnsi" w:hAnsiTheme="majorHAnsi" w:cs="Times New Roman"/>
          <w:b/>
          <w:bCs/>
          <w:i/>
          <w:sz w:val="18"/>
          <w:szCs w:val="18"/>
        </w:rPr>
        <w:t>Materials and Methods</w:t>
      </w:r>
      <w:r w:rsidR="00990AC2" w:rsidRPr="00466C93">
        <w:rPr>
          <w:rFonts w:asciiTheme="majorHAnsi" w:hAnsiTheme="majorHAnsi" w:cs="Times New Roman"/>
          <w:b/>
          <w:bCs/>
          <w:i/>
          <w:sz w:val="18"/>
          <w:szCs w:val="18"/>
        </w:rPr>
        <w:t xml:space="preserve">- </w:t>
      </w:r>
      <w:r w:rsidRPr="00466C93">
        <w:rPr>
          <w:rFonts w:asciiTheme="majorHAnsi" w:hAnsiTheme="majorHAnsi" w:cs="Times New Roman"/>
          <w:i/>
          <w:sz w:val="18"/>
          <w:szCs w:val="18"/>
        </w:rPr>
        <w:t>This prospective observational study included 72 patients with histopathologically confirmed prostate adenocarcinoma presenting with biochemical recurrence after definitive treatment. All patients underwent Ga-68 PSMA PET-CT imaging. Imaging findings were correlated with serum PSA levels, histopathology, conventional imaging, and clinical follow-up. Sensitivity, specificity, positive predictive value (PPV), negative predictive value (NPV), and diagnostic accuracy were calculated.</w:t>
      </w:r>
    </w:p>
    <w:p w:rsidR="00746C27" w:rsidRPr="00466C93" w:rsidRDefault="00746C27" w:rsidP="00466C93">
      <w:pPr>
        <w:spacing w:after="0"/>
        <w:jc w:val="both"/>
        <w:rPr>
          <w:rFonts w:asciiTheme="majorHAnsi" w:hAnsiTheme="majorHAnsi" w:cs="Times New Roman"/>
          <w:b/>
          <w:bCs/>
          <w:i/>
          <w:sz w:val="18"/>
          <w:szCs w:val="18"/>
        </w:rPr>
      </w:pPr>
      <w:r w:rsidRPr="00466C93">
        <w:rPr>
          <w:rFonts w:asciiTheme="majorHAnsi" w:hAnsiTheme="majorHAnsi" w:cs="Times New Roman"/>
          <w:b/>
          <w:bCs/>
          <w:i/>
          <w:sz w:val="18"/>
          <w:szCs w:val="18"/>
        </w:rPr>
        <w:t>Results</w:t>
      </w:r>
      <w:r w:rsidR="00990AC2" w:rsidRPr="00466C93">
        <w:rPr>
          <w:rFonts w:asciiTheme="majorHAnsi" w:hAnsiTheme="majorHAnsi" w:cs="Times New Roman"/>
          <w:b/>
          <w:bCs/>
          <w:i/>
          <w:sz w:val="18"/>
          <w:szCs w:val="18"/>
        </w:rPr>
        <w:t xml:space="preserve">- </w:t>
      </w:r>
      <w:r w:rsidRPr="00466C93">
        <w:rPr>
          <w:rFonts w:asciiTheme="majorHAnsi" w:hAnsiTheme="majorHAnsi" w:cs="Times New Roman"/>
          <w:i/>
          <w:sz w:val="18"/>
          <w:szCs w:val="18"/>
        </w:rPr>
        <w:t>Ga-68 PSMA PET-CT demonstrated positive findings in 58 out of 72 patients (80.6%). Detection rates increased with rising PSA levels. Local recurrence was observed in 18 patients, nodal metastases in 24 patients, and skeletal metastases in 20 patients. The overall sensitivity, specificity, PPV, NPV, and diagnostic accuracy were 94.8%, 88.2%, 92.0%, 91.0%, and 93.1%, respectively. Ga-68 PSMA PET-CT detected lesions even at PSA levels below 1 ng/mL.</w:t>
      </w:r>
    </w:p>
    <w:p w:rsidR="00746C27" w:rsidRPr="00466C93" w:rsidRDefault="00746C27" w:rsidP="00466C93">
      <w:pPr>
        <w:spacing w:after="0"/>
        <w:jc w:val="both"/>
        <w:rPr>
          <w:rFonts w:asciiTheme="majorHAnsi" w:hAnsiTheme="majorHAnsi" w:cs="Times New Roman"/>
          <w:b/>
          <w:bCs/>
          <w:i/>
          <w:sz w:val="18"/>
          <w:szCs w:val="18"/>
        </w:rPr>
      </w:pPr>
      <w:r w:rsidRPr="00466C93">
        <w:rPr>
          <w:rFonts w:asciiTheme="majorHAnsi" w:hAnsiTheme="majorHAnsi" w:cs="Times New Roman"/>
          <w:b/>
          <w:bCs/>
          <w:i/>
          <w:sz w:val="18"/>
          <w:szCs w:val="18"/>
        </w:rPr>
        <w:t>Conclusion</w:t>
      </w:r>
      <w:r w:rsidR="00990AC2" w:rsidRPr="00466C93">
        <w:rPr>
          <w:rFonts w:asciiTheme="majorHAnsi" w:hAnsiTheme="majorHAnsi" w:cs="Times New Roman"/>
          <w:b/>
          <w:bCs/>
          <w:i/>
          <w:sz w:val="18"/>
          <w:szCs w:val="18"/>
        </w:rPr>
        <w:t xml:space="preserve"> - </w:t>
      </w:r>
      <w:r w:rsidRPr="00466C93">
        <w:rPr>
          <w:rFonts w:asciiTheme="majorHAnsi" w:hAnsiTheme="majorHAnsi" w:cs="Times New Roman"/>
          <w:i/>
          <w:sz w:val="18"/>
          <w:szCs w:val="18"/>
        </w:rPr>
        <w:t>Ga-68 PSMA PET-CT demonstrates excellent diagnostic accuracy for detecting biochemical recurrence in prostate cancer patients. Its high sensitivity at low PSA levels makes it a valuable imaging modality for early detection and treatment planning.</w:t>
      </w:r>
    </w:p>
    <w:p w:rsidR="00746C27" w:rsidRPr="00466C93" w:rsidRDefault="00746C27" w:rsidP="00466C93">
      <w:pPr>
        <w:spacing w:after="0"/>
        <w:jc w:val="both"/>
        <w:rPr>
          <w:rFonts w:asciiTheme="majorHAnsi" w:hAnsiTheme="majorHAnsi" w:cs="Times New Roman"/>
          <w:b/>
          <w:bCs/>
          <w:i/>
          <w:sz w:val="18"/>
          <w:szCs w:val="18"/>
        </w:rPr>
      </w:pPr>
      <w:r w:rsidRPr="00466C93">
        <w:rPr>
          <w:rFonts w:asciiTheme="majorHAnsi" w:hAnsiTheme="majorHAnsi" w:cs="Times New Roman"/>
          <w:b/>
          <w:bCs/>
          <w:i/>
          <w:sz w:val="18"/>
          <w:szCs w:val="18"/>
        </w:rPr>
        <w:t>Keywords</w:t>
      </w:r>
      <w:r w:rsidR="00990AC2" w:rsidRPr="00466C93">
        <w:rPr>
          <w:rFonts w:asciiTheme="majorHAnsi" w:hAnsiTheme="majorHAnsi" w:cs="Times New Roman"/>
          <w:b/>
          <w:bCs/>
          <w:i/>
          <w:sz w:val="18"/>
          <w:szCs w:val="18"/>
        </w:rPr>
        <w:t xml:space="preserve"> - </w:t>
      </w:r>
      <w:r w:rsidRPr="00466C93">
        <w:rPr>
          <w:rFonts w:asciiTheme="majorHAnsi" w:hAnsiTheme="majorHAnsi" w:cs="Times New Roman"/>
          <w:i/>
          <w:sz w:val="18"/>
          <w:szCs w:val="18"/>
        </w:rPr>
        <w:t>Ga-68 PSMA PET-CT; Prostate cancer; Biochemical recurrence; Molecular imaging; Diagnostic accuracy.</w:t>
      </w:r>
    </w:p>
    <w:p w:rsidR="00746C27" w:rsidRPr="00466C93" w:rsidRDefault="00746C27" w:rsidP="00466C93">
      <w:pPr>
        <w:spacing w:after="0"/>
        <w:jc w:val="both"/>
        <w:rPr>
          <w:rFonts w:ascii="Times New Roman" w:hAnsi="Times New Roman" w:cs="Times New Roman"/>
          <w:sz w:val="20"/>
          <w:szCs w:val="20"/>
        </w:rPr>
      </w:pPr>
    </w:p>
    <w:p w:rsidR="00746C27" w:rsidRPr="00466C93" w:rsidRDefault="00746C27" w:rsidP="00466C93">
      <w:pPr>
        <w:spacing w:after="0"/>
        <w:jc w:val="both"/>
        <w:rPr>
          <w:rFonts w:ascii="Times New Roman" w:hAnsi="Times New Roman" w:cs="Times New Roman"/>
          <w:b/>
          <w:bCs/>
          <w:sz w:val="20"/>
          <w:szCs w:val="20"/>
        </w:rPr>
      </w:pPr>
      <w:r w:rsidRPr="00466C93">
        <w:rPr>
          <w:rFonts w:ascii="Times New Roman" w:hAnsi="Times New Roman" w:cs="Times New Roman"/>
          <w:b/>
          <w:bCs/>
          <w:sz w:val="20"/>
          <w:szCs w:val="20"/>
        </w:rPr>
        <w:t>INTRODUCTION</w:t>
      </w:r>
    </w:p>
    <w:p w:rsidR="00746C27" w:rsidRPr="00466C93" w:rsidRDefault="00746C27" w:rsidP="00466C93">
      <w:pPr>
        <w:spacing w:after="0"/>
        <w:jc w:val="both"/>
        <w:rPr>
          <w:rFonts w:ascii="Times New Roman" w:hAnsi="Times New Roman" w:cs="Times New Roman"/>
          <w:sz w:val="20"/>
          <w:szCs w:val="20"/>
        </w:rPr>
      </w:pPr>
      <w:r w:rsidRPr="00466C93">
        <w:rPr>
          <w:rFonts w:ascii="Times New Roman" w:hAnsi="Times New Roman" w:cs="Times New Roman"/>
          <w:sz w:val="20"/>
          <w:szCs w:val="20"/>
        </w:rPr>
        <w:t>Prostate cancer is one of the most common malignancies affecting men worldwide and represents a major cause of cancer-related morbidity and mortality. Radical prostatectomy and radiotherapy are widely used definitive treatment modalities for localized prostate cancer. Despite advances in therapy, a significant proportion of patients develop biochemical recurrence (BCR), indicated by rising serum prostate-specific antigen (PSA) levels after treatment.</w:t>
      </w:r>
    </w:p>
    <w:p w:rsidR="00746C27" w:rsidRPr="00466C93" w:rsidRDefault="00746C27" w:rsidP="00466C93">
      <w:pPr>
        <w:spacing w:after="0"/>
        <w:jc w:val="both"/>
        <w:rPr>
          <w:rFonts w:ascii="Times New Roman" w:hAnsi="Times New Roman" w:cs="Times New Roman"/>
          <w:sz w:val="20"/>
          <w:szCs w:val="20"/>
        </w:rPr>
      </w:pPr>
      <w:r w:rsidRPr="00466C93">
        <w:rPr>
          <w:rFonts w:ascii="Times New Roman" w:hAnsi="Times New Roman" w:cs="Times New Roman"/>
          <w:sz w:val="20"/>
          <w:szCs w:val="20"/>
        </w:rPr>
        <w:t>Biochemical recurrence occurs in approximately 20–40% of patients following definitive treatment. Early identification of the site of recurrence is essential because management strategies differ substantially between localized recurrence and distant metastatic disease. Accurate localization enables timely salvage therapy, radiation planning, hormonal treatment, or systemic therapy.</w:t>
      </w:r>
    </w:p>
    <w:p w:rsidR="00746C27" w:rsidRPr="00466C93" w:rsidRDefault="00746C27" w:rsidP="00466C93">
      <w:pPr>
        <w:spacing w:after="0"/>
        <w:jc w:val="both"/>
        <w:rPr>
          <w:rFonts w:ascii="Times New Roman" w:hAnsi="Times New Roman" w:cs="Times New Roman"/>
          <w:sz w:val="20"/>
          <w:szCs w:val="20"/>
        </w:rPr>
      </w:pPr>
      <w:r w:rsidRPr="00466C93">
        <w:rPr>
          <w:rFonts w:ascii="Times New Roman" w:hAnsi="Times New Roman" w:cs="Times New Roman"/>
          <w:sz w:val="20"/>
          <w:szCs w:val="20"/>
        </w:rPr>
        <w:t>Conventional imaging modalities such as computed tomography (CT), magnetic resonance imaging (MRI), and bone scintigraphy have limited sensitivity in detecting recurrent disease at low PSA levels. Small lymph node metastases and early marrow lesions may remain undetected using conventional techniques.</w:t>
      </w:r>
    </w:p>
    <w:p w:rsidR="00746C27" w:rsidRPr="00466C93" w:rsidRDefault="00746C27" w:rsidP="00466C93">
      <w:pPr>
        <w:spacing w:after="0"/>
        <w:jc w:val="both"/>
        <w:rPr>
          <w:rFonts w:ascii="Times New Roman" w:hAnsi="Times New Roman" w:cs="Times New Roman"/>
          <w:sz w:val="20"/>
          <w:szCs w:val="20"/>
        </w:rPr>
      </w:pPr>
      <w:r w:rsidRPr="00466C93">
        <w:rPr>
          <w:rFonts w:ascii="Times New Roman" w:hAnsi="Times New Roman" w:cs="Times New Roman"/>
          <w:sz w:val="20"/>
          <w:szCs w:val="20"/>
        </w:rPr>
        <w:t>Prostate-Specific Membrane Antigen (PSMA) is a transmembrane glycoprotein highly expressed in prostate cancer cells, especially in recurrent and metastatic disease. Ga-68 labeled PSMA PET-CT combines molecular and anatomical imaging and has emerged as a highly sensitive imaging modality for detecting recurrent prostate cancer. Ga-68 PSMA PET-CT can identify small-volume disease and occult metastases even at low PSA levels.</w:t>
      </w:r>
    </w:p>
    <w:p w:rsidR="00746C27" w:rsidRPr="00466C93" w:rsidRDefault="00746C27" w:rsidP="00466C93">
      <w:pPr>
        <w:spacing w:after="0"/>
        <w:jc w:val="both"/>
        <w:rPr>
          <w:rFonts w:ascii="Times New Roman" w:hAnsi="Times New Roman" w:cs="Times New Roman"/>
          <w:sz w:val="20"/>
          <w:szCs w:val="20"/>
        </w:rPr>
      </w:pPr>
      <w:r w:rsidRPr="00466C93">
        <w:rPr>
          <w:rFonts w:ascii="Times New Roman" w:hAnsi="Times New Roman" w:cs="Times New Roman"/>
          <w:sz w:val="20"/>
          <w:szCs w:val="20"/>
        </w:rPr>
        <w:t>Several studies have demonstrated superior diagnostic performance of Ga-68 PSMA PET-CT compared to conventional imaging modalities. The technique has shown high lesion detection rates, improved staging accuracy, and significant impact on patient management. In developing countries, increasing availability of PET-CT facilities has enhanced the utility of molecular imaging in prostate cancer evaluation.</w:t>
      </w:r>
    </w:p>
    <w:p w:rsidR="00746C27" w:rsidRPr="00466C93" w:rsidRDefault="00746C27" w:rsidP="00466C93">
      <w:pPr>
        <w:spacing w:after="0"/>
        <w:jc w:val="both"/>
        <w:rPr>
          <w:rFonts w:ascii="Times New Roman" w:hAnsi="Times New Roman" w:cs="Times New Roman"/>
          <w:sz w:val="20"/>
          <w:szCs w:val="20"/>
        </w:rPr>
      </w:pPr>
      <w:r w:rsidRPr="00466C93">
        <w:rPr>
          <w:rFonts w:ascii="Times New Roman" w:hAnsi="Times New Roman" w:cs="Times New Roman"/>
          <w:sz w:val="20"/>
          <w:szCs w:val="20"/>
        </w:rPr>
        <w:t>The present study was conducted to assess the diagnostic accuracy of Ga-68 PSMA PET-CT in detecting biochemical recurrence of prostate cancer and to evaluate its correlation with PSA levels and metastatic patterns.</w:t>
      </w:r>
    </w:p>
    <w:p w:rsidR="00746C27" w:rsidRPr="00466C93" w:rsidRDefault="00746C27" w:rsidP="00466C93">
      <w:pPr>
        <w:spacing w:after="0"/>
        <w:jc w:val="both"/>
        <w:rPr>
          <w:rFonts w:ascii="Times New Roman" w:hAnsi="Times New Roman" w:cs="Times New Roman"/>
          <w:b/>
          <w:bCs/>
          <w:sz w:val="20"/>
          <w:szCs w:val="20"/>
        </w:rPr>
      </w:pPr>
      <w:r w:rsidRPr="00466C93">
        <w:rPr>
          <w:rFonts w:ascii="Times New Roman" w:hAnsi="Times New Roman" w:cs="Times New Roman"/>
          <w:b/>
          <w:bCs/>
          <w:sz w:val="20"/>
          <w:szCs w:val="20"/>
        </w:rPr>
        <w:lastRenderedPageBreak/>
        <w:t>MATERIALS AND METHODS</w:t>
      </w:r>
    </w:p>
    <w:p w:rsidR="00746C27" w:rsidRPr="00466C93" w:rsidRDefault="00746C27" w:rsidP="00466C93">
      <w:pPr>
        <w:spacing w:after="0"/>
        <w:jc w:val="both"/>
        <w:rPr>
          <w:rFonts w:ascii="Times New Roman" w:hAnsi="Times New Roman" w:cs="Times New Roman"/>
          <w:b/>
          <w:bCs/>
          <w:sz w:val="20"/>
          <w:szCs w:val="20"/>
        </w:rPr>
      </w:pPr>
      <w:r w:rsidRPr="00466C93">
        <w:rPr>
          <w:rFonts w:ascii="Times New Roman" w:hAnsi="Times New Roman" w:cs="Times New Roman"/>
          <w:b/>
          <w:bCs/>
          <w:sz w:val="20"/>
          <w:szCs w:val="20"/>
        </w:rPr>
        <w:t>Study Design</w:t>
      </w:r>
    </w:p>
    <w:p w:rsidR="00746C27" w:rsidRPr="00466C93" w:rsidRDefault="00746C27" w:rsidP="00466C93">
      <w:pPr>
        <w:spacing w:after="0"/>
        <w:jc w:val="both"/>
        <w:rPr>
          <w:rFonts w:ascii="Times New Roman" w:hAnsi="Times New Roman" w:cs="Times New Roman"/>
          <w:sz w:val="20"/>
          <w:szCs w:val="20"/>
        </w:rPr>
      </w:pPr>
      <w:r w:rsidRPr="00466C93">
        <w:rPr>
          <w:rFonts w:ascii="Times New Roman" w:hAnsi="Times New Roman" w:cs="Times New Roman"/>
          <w:sz w:val="20"/>
          <w:szCs w:val="20"/>
        </w:rPr>
        <w:t>Prospective observational study.</w:t>
      </w:r>
    </w:p>
    <w:p w:rsidR="00746C27" w:rsidRPr="00466C93" w:rsidRDefault="00746C27" w:rsidP="00466C93">
      <w:pPr>
        <w:spacing w:after="0"/>
        <w:jc w:val="both"/>
        <w:rPr>
          <w:rFonts w:ascii="Times New Roman" w:hAnsi="Times New Roman" w:cs="Times New Roman"/>
          <w:b/>
          <w:bCs/>
          <w:sz w:val="20"/>
          <w:szCs w:val="20"/>
        </w:rPr>
      </w:pPr>
      <w:r w:rsidRPr="00466C93">
        <w:rPr>
          <w:rFonts w:ascii="Times New Roman" w:hAnsi="Times New Roman" w:cs="Times New Roman"/>
          <w:b/>
          <w:bCs/>
          <w:sz w:val="20"/>
          <w:szCs w:val="20"/>
        </w:rPr>
        <w:t>Study Setting</w:t>
      </w:r>
    </w:p>
    <w:p w:rsidR="00746C27" w:rsidRPr="00466C93" w:rsidRDefault="00746C27" w:rsidP="00466C93">
      <w:pPr>
        <w:spacing w:after="0"/>
        <w:jc w:val="both"/>
        <w:rPr>
          <w:rFonts w:ascii="Times New Roman" w:hAnsi="Times New Roman" w:cs="Times New Roman"/>
          <w:sz w:val="20"/>
          <w:szCs w:val="20"/>
        </w:rPr>
      </w:pPr>
      <w:r w:rsidRPr="00466C93">
        <w:rPr>
          <w:rFonts w:ascii="Times New Roman" w:hAnsi="Times New Roman" w:cs="Times New Roman"/>
          <w:sz w:val="20"/>
          <w:szCs w:val="20"/>
        </w:rPr>
        <w:t>The study was conducted in the Department of Nuclear Medicine at a tertiary care oncology center.</w:t>
      </w:r>
    </w:p>
    <w:p w:rsidR="00746C27" w:rsidRPr="00466C93" w:rsidRDefault="00746C27" w:rsidP="00466C93">
      <w:pPr>
        <w:spacing w:after="0"/>
        <w:jc w:val="both"/>
        <w:rPr>
          <w:rFonts w:ascii="Times New Roman" w:hAnsi="Times New Roman" w:cs="Times New Roman"/>
          <w:b/>
          <w:bCs/>
          <w:sz w:val="20"/>
          <w:szCs w:val="20"/>
        </w:rPr>
      </w:pPr>
      <w:r w:rsidRPr="00466C93">
        <w:rPr>
          <w:rFonts w:ascii="Times New Roman" w:hAnsi="Times New Roman" w:cs="Times New Roman"/>
          <w:b/>
          <w:bCs/>
          <w:sz w:val="20"/>
          <w:szCs w:val="20"/>
        </w:rPr>
        <w:t>Study Duration</w:t>
      </w:r>
    </w:p>
    <w:p w:rsidR="00746C27" w:rsidRPr="00466C93" w:rsidRDefault="00746C27" w:rsidP="00466C93">
      <w:pPr>
        <w:spacing w:after="0"/>
        <w:jc w:val="both"/>
        <w:rPr>
          <w:rFonts w:ascii="Times New Roman" w:hAnsi="Times New Roman" w:cs="Times New Roman"/>
          <w:sz w:val="20"/>
          <w:szCs w:val="20"/>
        </w:rPr>
      </w:pPr>
      <w:r w:rsidRPr="00466C93">
        <w:rPr>
          <w:rFonts w:ascii="Times New Roman" w:hAnsi="Times New Roman" w:cs="Times New Roman"/>
          <w:sz w:val="20"/>
          <w:szCs w:val="20"/>
        </w:rPr>
        <w:t>January 2023 to December 2025.</w:t>
      </w:r>
    </w:p>
    <w:p w:rsidR="00746C27" w:rsidRPr="00466C93" w:rsidRDefault="00746C27" w:rsidP="00466C93">
      <w:pPr>
        <w:spacing w:after="0"/>
        <w:jc w:val="both"/>
        <w:rPr>
          <w:rFonts w:ascii="Times New Roman" w:hAnsi="Times New Roman" w:cs="Times New Roman"/>
          <w:b/>
          <w:bCs/>
          <w:sz w:val="20"/>
          <w:szCs w:val="20"/>
        </w:rPr>
      </w:pPr>
      <w:r w:rsidRPr="00466C93">
        <w:rPr>
          <w:rFonts w:ascii="Times New Roman" w:hAnsi="Times New Roman" w:cs="Times New Roman"/>
          <w:b/>
          <w:bCs/>
          <w:sz w:val="20"/>
          <w:szCs w:val="20"/>
        </w:rPr>
        <w:t>Study Population</w:t>
      </w:r>
    </w:p>
    <w:p w:rsidR="00746C27" w:rsidRPr="00466C93" w:rsidRDefault="00746C27" w:rsidP="00466C93">
      <w:pPr>
        <w:spacing w:after="0"/>
        <w:jc w:val="both"/>
        <w:rPr>
          <w:rFonts w:ascii="Times New Roman" w:hAnsi="Times New Roman" w:cs="Times New Roman"/>
          <w:sz w:val="20"/>
          <w:szCs w:val="20"/>
        </w:rPr>
      </w:pPr>
      <w:r w:rsidRPr="00466C93">
        <w:rPr>
          <w:rFonts w:ascii="Times New Roman" w:hAnsi="Times New Roman" w:cs="Times New Roman"/>
          <w:sz w:val="20"/>
          <w:szCs w:val="20"/>
        </w:rPr>
        <w:t>Patients with histopathologically confirmed prostate adenocarcinoma presenting with biochemical recurrence after definitive treatment.</w:t>
      </w:r>
    </w:p>
    <w:p w:rsidR="00746C27" w:rsidRPr="00466C93" w:rsidRDefault="00746C27" w:rsidP="00466C93">
      <w:pPr>
        <w:spacing w:after="0"/>
        <w:jc w:val="both"/>
        <w:rPr>
          <w:rFonts w:ascii="Times New Roman" w:hAnsi="Times New Roman" w:cs="Times New Roman"/>
          <w:b/>
          <w:bCs/>
          <w:sz w:val="20"/>
          <w:szCs w:val="20"/>
        </w:rPr>
      </w:pPr>
      <w:r w:rsidRPr="00466C93">
        <w:rPr>
          <w:rFonts w:ascii="Times New Roman" w:hAnsi="Times New Roman" w:cs="Times New Roman"/>
          <w:b/>
          <w:bCs/>
          <w:sz w:val="20"/>
          <w:szCs w:val="20"/>
        </w:rPr>
        <w:t>Sample Size</w:t>
      </w:r>
    </w:p>
    <w:p w:rsidR="00746C27" w:rsidRPr="00466C93" w:rsidRDefault="00746C27" w:rsidP="00466C93">
      <w:pPr>
        <w:spacing w:after="0"/>
        <w:jc w:val="both"/>
        <w:rPr>
          <w:rFonts w:ascii="Times New Roman" w:hAnsi="Times New Roman" w:cs="Times New Roman"/>
          <w:sz w:val="20"/>
          <w:szCs w:val="20"/>
        </w:rPr>
      </w:pPr>
      <w:r w:rsidRPr="00466C93">
        <w:rPr>
          <w:rFonts w:ascii="Times New Roman" w:hAnsi="Times New Roman" w:cs="Times New Roman"/>
          <w:sz w:val="20"/>
          <w:szCs w:val="20"/>
        </w:rPr>
        <w:t>A total of 72 patients were included in the study.</w:t>
      </w:r>
    </w:p>
    <w:p w:rsidR="00746C27" w:rsidRPr="00466C93" w:rsidRDefault="00746C27" w:rsidP="00466C93">
      <w:pPr>
        <w:spacing w:after="0"/>
        <w:jc w:val="both"/>
        <w:rPr>
          <w:rFonts w:ascii="Times New Roman" w:hAnsi="Times New Roman" w:cs="Times New Roman"/>
          <w:b/>
          <w:bCs/>
          <w:sz w:val="20"/>
          <w:szCs w:val="20"/>
        </w:rPr>
      </w:pPr>
      <w:r w:rsidRPr="00466C93">
        <w:rPr>
          <w:rFonts w:ascii="Times New Roman" w:hAnsi="Times New Roman" w:cs="Times New Roman"/>
          <w:b/>
          <w:bCs/>
          <w:sz w:val="20"/>
          <w:szCs w:val="20"/>
        </w:rPr>
        <w:t>Inclusion Criteria</w:t>
      </w:r>
    </w:p>
    <w:p w:rsidR="00746C27" w:rsidRPr="00466C93" w:rsidRDefault="00746C27" w:rsidP="00466C93">
      <w:pPr>
        <w:numPr>
          <w:ilvl w:val="0"/>
          <w:numId w:val="1"/>
        </w:numPr>
        <w:spacing w:after="0"/>
        <w:jc w:val="both"/>
        <w:rPr>
          <w:rFonts w:ascii="Times New Roman" w:hAnsi="Times New Roman" w:cs="Times New Roman"/>
          <w:sz w:val="20"/>
          <w:szCs w:val="20"/>
        </w:rPr>
      </w:pPr>
      <w:r w:rsidRPr="00466C93">
        <w:rPr>
          <w:rFonts w:ascii="Times New Roman" w:hAnsi="Times New Roman" w:cs="Times New Roman"/>
          <w:sz w:val="20"/>
          <w:szCs w:val="20"/>
        </w:rPr>
        <w:t xml:space="preserve">Histopathologically confirmed prostate adenocarcinoma. </w:t>
      </w:r>
    </w:p>
    <w:p w:rsidR="00746C27" w:rsidRPr="00466C93" w:rsidRDefault="00746C27" w:rsidP="00466C93">
      <w:pPr>
        <w:numPr>
          <w:ilvl w:val="0"/>
          <w:numId w:val="1"/>
        </w:numPr>
        <w:spacing w:after="0"/>
        <w:jc w:val="both"/>
        <w:rPr>
          <w:rFonts w:ascii="Times New Roman" w:hAnsi="Times New Roman" w:cs="Times New Roman"/>
          <w:sz w:val="20"/>
          <w:szCs w:val="20"/>
        </w:rPr>
      </w:pPr>
      <w:r w:rsidRPr="00466C93">
        <w:rPr>
          <w:rFonts w:ascii="Times New Roman" w:hAnsi="Times New Roman" w:cs="Times New Roman"/>
          <w:sz w:val="20"/>
          <w:szCs w:val="20"/>
        </w:rPr>
        <w:t xml:space="preserve">Prior definitive treatment with surgery or radiotherapy. </w:t>
      </w:r>
    </w:p>
    <w:p w:rsidR="00746C27" w:rsidRPr="00466C93" w:rsidRDefault="00746C27" w:rsidP="00466C93">
      <w:pPr>
        <w:numPr>
          <w:ilvl w:val="0"/>
          <w:numId w:val="1"/>
        </w:numPr>
        <w:spacing w:after="0"/>
        <w:jc w:val="both"/>
        <w:rPr>
          <w:rFonts w:ascii="Times New Roman" w:hAnsi="Times New Roman" w:cs="Times New Roman"/>
          <w:sz w:val="20"/>
          <w:szCs w:val="20"/>
        </w:rPr>
      </w:pPr>
      <w:r w:rsidRPr="00466C93">
        <w:rPr>
          <w:rFonts w:ascii="Times New Roman" w:hAnsi="Times New Roman" w:cs="Times New Roman"/>
          <w:sz w:val="20"/>
          <w:szCs w:val="20"/>
        </w:rPr>
        <w:t xml:space="preserve">Biochemical recurrence defined by rising PSA levels. </w:t>
      </w:r>
    </w:p>
    <w:p w:rsidR="00746C27" w:rsidRPr="00466C93" w:rsidRDefault="00746C27" w:rsidP="00466C93">
      <w:pPr>
        <w:numPr>
          <w:ilvl w:val="0"/>
          <w:numId w:val="1"/>
        </w:numPr>
        <w:spacing w:after="0"/>
        <w:jc w:val="both"/>
        <w:rPr>
          <w:rFonts w:ascii="Times New Roman" w:hAnsi="Times New Roman" w:cs="Times New Roman"/>
          <w:sz w:val="20"/>
          <w:szCs w:val="20"/>
        </w:rPr>
      </w:pPr>
      <w:r w:rsidRPr="00466C93">
        <w:rPr>
          <w:rFonts w:ascii="Times New Roman" w:hAnsi="Times New Roman" w:cs="Times New Roman"/>
          <w:sz w:val="20"/>
          <w:szCs w:val="20"/>
        </w:rPr>
        <w:t xml:space="preserve">Patients willing to participate in the study. </w:t>
      </w:r>
    </w:p>
    <w:p w:rsidR="00746C27" w:rsidRPr="00466C93" w:rsidRDefault="00746C27" w:rsidP="00466C93">
      <w:pPr>
        <w:spacing w:after="0"/>
        <w:jc w:val="both"/>
        <w:rPr>
          <w:rFonts w:ascii="Times New Roman" w:hAnsi="Times New Roman" w:cs="Times New Roman"/>
          <w:b/>
          <w:bCs/>
          <w:sz w:val="20"/>
          <w:szCs w:val="20"/>
        </w:rPr>
      </w:pPr>
      <w:r w:rsidRPr="00466C93">
        <w:rPr>
          <w:rFonts w:ascii="Times New Roman" w:hAnsi="Times New Roman" w:cs="Times New Roman"/>
          <w:b/>
          <w:bCs/>
          <w:sz w:val="20"/>
          <w:szCs w:val="20"/>
        </w:rPr>
        <w:t>Exclusion Criteria</w:t>
      </w:r>
    </w:p>
    <w:p w:rsidR="00746C27" w:rsidRPr="00466C93" w:rsidRDefault="00746C27" w:rsidP="00466C93">
      <w:pPr>
        <w:numPr>
          <w:ilvl w:val="0"/>
          <w:numId w:val="2"/>
        </w:numPr>
        <w:spacing w:after="0"/>
        <w:jc w:val="both"/>
        <w:rPr>
          <w:rFonts w:ascii="Times New Roman" w:hAnsi="Times New Roman" w:cs="Times New Roman"/>
          <w:sz w:val="20"/>
          <w:szCs w:val="20"/>
        </w:rPr>
      </w:pPr>
      <w:r w:rsidRPr="00466C93">
        <w:rPr>
          <w:rFonts w:ascii="Times New Roman" w:hAnsi="Times New Roman" w:cs="Times New Roman"/>
          <w:sz w:val="20"/>
          <w:szCs w:val="20"/>
        </w:rPr>
        <w:t xml:space="preserve">Patients receiving active systemic chemotherapy at the time of imaging. </w:t>
      </w:r>
    </w:p>
    <w:p w:rsidR="00746C27" w:rsidRPr="00466C93" w:rsidRDefault="00746C27" w:rsidP="00466C93">
      <w:pPr>
        <w:numPr>
          <w:ilvl w:val="0"/>
          <w:numId w:val="2"/>
        </w:numPr>
        <w:spacing w:after="0"/>
        <w:jc w:val="both"/>
        <w:rPr>
          <w:rFonts w:ascii="Times New Roman" w:hAnsi="Times New Roman" w:cs="Times New Roman"/>
          <w:sz w:val="20"/>
          <w:szCs w:val="20"/>
        </w:rPr>
      </w:pPr>
      <w:r w:rsidRPr="00466C93">
        <w:rPr>
          <w:rFonts w:ascii="Times New Roman" w:hAnsi="Times New Roman" w:cs="Times New Roman"/>
          <w:sz w:val="20"/>
          <w:szCs w:val="20"/>
        </w:rPr>
        <w:t xml:space="preserve">Known second malignancy. </w:t>
      </w:r>
    </w:p>
    <w:p w:rsidR="00746C27" w:rsidRPr="00466C93" w:rsidRDefault="00746C27" w:rsidP="00466C93">
      <w:pPr>
        <w:numPr>
          <w:ilvl w:val="0"/>
          <w:numId w:val="2"/>
        </w:numPr>
        <w:spacing w:after="0"/>
        <w:jc w:val="both"/>
        <w:rPr>
          <w:rFonts w:ascii="Times New Roman" w:hAnsi="Times New Roman" w:cs="Times New Roman"/>
          <w:sz w:val="20"/>
          <w:szCs w:val="20"/>
        </w:rPr>
      </w:pPr>
      <w:r w:rsidRPr="00466C93">
        <w:rPr>
          <w:rFonts w:ascii="Times New Roman" w:hAnsi="Times New Roman" w:cs="Times New Roman"/>
          <w:sz w:val="20"/>
          <w:szCs w:val="20"/>
        </w:rPr>
        <w:t xml:space="preserve">Incomplete clinical records. </w:t>
      </w:r>
    </w:p>
    <w:p w:rsidR="00746C27" w:rsidRPr="00466C93" w:rsidRDefault="00746C27" w:rsidP="00466C93">
      <w:pPr>
        <w:numPr>
          <w:ilvl w:val="0"/>
          <w:numId w:val="2"/>
        </w:numPr>
        <w:spacing w:after="0"/>
        <w:jc w:val="both"/>
        <w:rPr>
          <w:rFonts w:ascii="Times New Roman" w:hAnsi="Times New Roman" w:cs="Times New Roman"/>
          <w:sz w:val="20"/>
          <w:szCs w:val="20"/>
        </w:rPr>
      </w:pPr>
      <w:r w:rsidRPr="00466C93">
        <w:rPr>
          <w:rFonts w:ascii="Times New Roman" w:hAnsi="Times New Roman" w:cs="Times New Roman"/>
          <w:sz w:val="20"/>
          <w:szCs w:val="20"/>
        </w:rPr>
        <w:t xml:space="preserve">Patients unwilling for follow-up. </w:t>
      </w:r>
    </w:p>
    <w:p w:rsidR="00746C27" w:rsidRPr="00466C93" w:rsidRDefault="00746C27" w:rsidP="00466C93">
      <w:pPr>
        <w:spacing w:after="0"/>
        <w:jc w:val="both"/>
        <w:rPr>
          <w:rFonts w:ascii="Times New Roman" w:hAnsi="Times New Roman" w:cs="Times New Roman"/>
          <w:b/>
          <w:bCs/>
          <w:sz w:val="20"/>
          <w:szCs w:val="20"/>
        </w:rPr>
      </w:pPr>
      <w:r w:rsidRPr="00466C93">
        <w:rPr>
          <w:rFonts w:ascii="Times New Roman" w:hAnsi="Times New Roman" w:cs="Times New Roman"/>
          <w:b/>
          <w:bCs/>
          <w:sz w:val="20"/>
          <w:szCs w:val="20"/>
        </w:rPr>
        <w:t>Imaging Protocol</w:t>
      </w:r>
    </w:p>
    <w:p w:rsidR="00746C27" w:rsidRPr="00466C93" w:rsidRDefault="00746C27" w:rsidP="00466C93">
      <w:pPr>
        <w:spacing w:after="0"/>
        <w:jc w:val="both"/>
        <w:rPr>
          <w:rFonts w:ascii="Times New Roman" w:hAnsi="Times New Roman" w:cs="Times New Roman"/>
          <w:sz w:val="20"/>
          <w:szCs w:val="20"/>
        </w:rPr>
      </w:pPr>
      <w:r w:rsidRPr="00466C93">
        <w:rPr>
          <w:rFonts w:ascii="Times New Roman" w:hAnsi="Times New Roman" w:cs="Times New Roman"/>
          <w:sz w:val="20"/>
          <w:szCs w:val="20"/>
        </w:rPr>
        <w:t>Ga-68 PSMA PET-CT imaging was performed approximately 60 minutes after intravenous administration of Ga-68 PSMA radiotracer. Whole-body PET-CT acquisition from skull base to mid-thigh was performed using an integrated PET-CT scanner.</w:t>
      </w:r>
    </w:p>
    <w:p w:rsidR="00746C27" w:rsidRPr="00466C93" w:rsidRDefault="00746C27" w:rsidP="00466C93">
      <w:pPr>
        <w:spacing w:after="0"/>
        <w:jc w:val="both"/>
        <w:rPr>
          <w:rFonts w:ascii="Times New Roman" w:hAnsi="Times New Roman" w:cs="Times New Roman"/>
          <w:b/>
          <w:bCs/>
          <w:sz w:val="20"/>
          <w:szCs w:val="20"/>
        </w:rPr>
      </w:pPr>
      <w:r w:rsidRPr="00466C93">
        <w:rPr>
          <w:rFonts w:ascii="Times New Roman" w:hAnsi="Times New Roman" w:cs="Times New Roman"/>
          <w:b/>
          <w:bCs/>
          <w:sz w:val="20"/>
          <w:szCs w:val="20"/>
        </w:rPr>
        <w:t>Data Collection</w:t>
      </w:r>
    </w:p>
    <w:p w:rsidR="00746C27" w:rsidRPr="00466C93" w:rsidRDefault="00746C27" w:rsidP="00466C93">
      <w:pPr>
        <w:spacing w:after="0"/>
        <w:jc w:val="both"/>
        <w:rPr>
          <w:rFonts w:ascii="Times New Roman" w:hAnsi="Times New Roman" w:cs="Times New Roman"/>
          <w:sz w:val="20"/>
          <w:szCs w:val="20"/>
        </w:rPr>
      </w:pPr>
      <w:r w:rsidRPr="00466C93">
        <w:rPr>
          <w:rFonts w:ascii="Times New Roman" w:hAnsi="Times New Roman" w:cs="Times New Roman"/>
          <w:sz w:val="20"/>
          <w:szCs w:val="20"/>
        </w:rPr>
        <w:t>The following parameters were recorded:</w:t>
      </w:r>
    </w:p>
    <w:p w:rsidR="00746C27" w:rsidRPr="00466C93" w:rsidRDefault="00746C27" w:rsidP="00466C93">
      <w:pPr>
        <w:numPr>
          <w:ilvl w:val="0"/>
          <w:numId w:val="3"/>
        </w:numPr>
        <w:spacing w:after="0"/>
        <w:jc w:val="both"/>
        <w:rPr>
          <w:rFonts w:ascii="Times New Roman" w:hAnsi="Times New Roman" w:cs="Times New Roman"/>
          <w:sz w:val="20"/>
          <w:szCs w:val="20"/>
        </w:rPr>
      </w:pPr>
      <w:r w:rsidRPr="00466C93">
        <w:rPr>
          <w:rFonts w:ascii="Times New Roman" w:hAnsi="Times New Roman" w:cs="Times New Roman"/>
          <w:sz w:val="20"/>
          <w:szCs w:val="20"/>
        </w:rPr>
        <w:t xml:space="preserve">Age </w:t>
      </w:r>
    </w:p>
    <w:p w:rsidR="00746C27" w:rsidRPr="00466C93" w:rsidRDefault="00746C27" w:rsidP="00466C93">
      <w:pPr>
        <w:numPr>
          <w:ilvl w:val="0"/>
          <w:numId w:val="3"/>
        </w:numPr>
        <w:spacing w:after="0"/>
        <w:jc w:val="both"/>
        <w:rPr>
          <w:rFonts w:ascii="Times New Roman" w:hAnsi="Times New Roman" w:cs="Times New Roman"/>
          <w:sz w:val="20"/>
          <w:szCs w:val="20"/>
        </w:rPr>
      </w:pPr>
      <w:r w:rsidRPr="00466C93">
        <w:rPr>
          <w:rFonts w:ascii="Times New Roman" w:hAnsi="Times New Roman" w:cs="Times New Roman"/>
          <w:sz w:val="20"/>
          <w:szCs w:val="20"/>
        </w:rPr>
        <w:t xml:space="preserve">PSA level </w:t>
      </w:r>
    </w:p>
    <w:p w:rsidR="00746C27" w:rsidRPr="00466C93" w:rsidRDefault="00746C27" w:rsidP="00466C93">
      <w:pPr>
        <w:numPr>
          <w:ilvl w:val="0"/>
          <w:numId w:val="3"/>
        </w:numPr>
        <w:spacing w:after="0"/>
        <w:jc w:val="both"/>
        <w:rPr>
          <w:rFonts w:ascii="Times New Roman" w:hAnsi="Times New Roman" w:cs="Times New Roman"/>
          <w:sz w:val="20"/>
          <w:szCs w:val="20"/>
        </w:rPr>
      </w:pPr>
      <w:r w:rsidRPr="00466C93">
        <w:rPr>
          <w:rFonts w:ascii="Times New Roman" w:hAnsi="Times New Roman" w:cs="Times New Roman"/>
          <w:sz w:val="20"/>
          <w:szCs w:val="20"/>
        </w:rPr>
        <w:t xml:space="preserve">Primary treatment modality </w:t>
      </w:r>
    </w:p>
    <w:p w:rsidR="00746C27" w:rsidRPr="00466C93" w:rsidRDefault="00746C27" w:rsidP="00466C93">
      <w:pPr>
        <w:numPr>
          <w:ilvl w:val="0"/>
          <w:numId w:val="3"/>
        </w:numPr>
        <w:spacing w:after="0"/>
        <w:jc w:val="both"/>
        <w:rPr>
          <w:rFonts w:ascii="Times New Roman" w:hAnsi="Times New Roman" w:cs="Times New Roman"/>
          <w:sz w:val="20"/>
          <w:szCs w:val="20"/>
        </w:rPr>
      </w:pPr>
      <w:r w:rsidRPr="00466C93">
        <w:rPr>
          <w:rFonts w:ascii="Times New Roman" w:hAnsi="Times New Roman" w:cs="Times New Roman"/>
          <w:sz w:val="20"/>
          <w:szCs w:val="20"/>
        </w:rPr>
        <w:t xml:space="preserve">PET-CT findings </w:t>
      </w:r>
    </w:p>
    <w:p w:rsidR="00746C27" w:rsidRPr="00466C93" w:rsidRDefault="00746C27" w:rsidP="00466C93">
      <w:pPr>
        <w:numPr>
          <w:ilvl w:val="0"/>
          <w:numId w:val="3"/>
        </w:numPr>
        <w:spacing w:after="0"/>
        <w:jc w:val="both"/>
        <w:rPr>
          <w:rFonts w:ascii="Times New Roman" w:hAnsi="Times New Roman" w:cs="Times New Roman"/>
          <w:sz w:val="20"/>
          <w:szCs w:val="20"/>
        </w:rPr>
      </w:pPr>
      <w:r w:rsidRPr="00466C93">
        <w:rPr>
          <w:rFonts w:ascii="Times New Roman" w:hAnsi="Times New Roman" w:cs="Times New Roman"/>
          <w:sz w:val="20"/>
          <w:szCs w:val="20"/>
        </w:rPr>
        <w:t xml:space="preserve">Site of recurrence </w:t>
      </w:r>
    </w:p>
    <w:p w:rsidR="00746C27" w:rsidRPr="00466C93" w:rsidRDefault="00746C27" w:rsidP="00466C93">
      <w:pPr>
        <w:numPr>
          <w:ilvl w:val="0"/>
          <w:numId w:val="3"/>
        </w:numPr>
        <w:spacing w:after="0"/>
        <w:jc w:val="both"/>
        <w:rPr>
          <w:rFonts w:ascii="Times New Roman" w:hAnsi="Times New Roman" w:cs="Times New Roman"/>
          <w:sz w:val="20"/>
          <w:szCs w:val="20"/>
        </w:rPr>
      </w:pPr>
      <w:r w:rsidRPr="00466C93">
        <w:rPr>
          <w:rFonts w:ascii="Times New Roman" w:hAnsi="Times New Roman" w:cs="Times New Roman"/>
          <w:sz w:val="20"/>
          <w:szCs w:val="20"/>
        </w:rPr>
        <w:t xml:space="preserve">Histopathological confirmation where available </w:t>
      </w:r>
    </w:p>
    <w:p w:rsidR="00746C27" w:rsidRPr="00466C93" w:rsidRDefault="00746C27" w:rsidP="00466C93">
      <w:pPr>
        <w:numPr>
          <w:ilvl w:val="0"/>
          <w:numId w:val="3"/>
        </w:numPr>
        <w:spacing w:after="0"/>
        <w:jc w:val="both"/>
        <w:rPr>
          <w:rFonts w:ascii="Times New Roman" w:hAnsi="Times New Roman" w:cs="Times New Roman"/>
          <w:sz w:val="20"/>
          <w:szCs w:val="20"/>
        </w:rPr>
      </w:pPr>
      <w:r w:rsidRPr="00466C93">
        <w:rPr>
          <w:rFonts w:ascii="Times New Roman" w:hAnsi="Times New Roman" w:cs="Times New Roman"/>
          <w:sz w:val="20"/>
          <w:szCs w:val="20"/>
        </w:rPr>
        <w:t xml:space="preserve">Clinical and radiological follow-up </w:t>
      </w:r>
    </w:p>
    <w:p w:rsidR="00746C27" w:rsidRPr="00466C93" w:rsidRDefault="00746C27" w:rsidP="00466C93">
      <w:pPr>
        <w:spacing w:after="0"/>
        <w:jc w:val="both"/>
        <w:rPr>
          <w:rFonts w:ascii="Times New Roman" w:hAnsi="Times New Roman" w:cs="Times New Roman"/>
          <w:b/>
          <w:bCs/>
          <w:sz w:val="20"/>
          <w:szCs w:val="20"/>
        </w:rPr>
      </w:pPr>
      <w:r w:rsidRPr="00466C93">
        <w:rPr>
          <w:rFonts w:ascii="Times New Roman" w:hAnsi="Times New Roman" w:cs="Times New Roman"/>
          <w:b/>
          <w:bCs/>
          <w:sz w:val="20"/>
          <w:szCs w:val="20"/>
        </w:rPr>
        <w:t>Outcome Measures</w:t>
      </w:r>
    </w:p>
    <w:p w:rsidR="00746C27" w:rsidRPr="00466C93" w:rsidRDefault="00746C27" w:rsidP="00466C93">
      <w:pPr>
        <w:numPr>
          <w:ilvl w:val="0"/>
          <w:numId w:val="4"/>
        </w:numPr>
        <w:spacing w:after="0"/>
        <w:jc w:val="both"/>
        <w:rPr>
          <w:rFonts w:ascii="Times New Roman" w:hAnsi="Times New Roman" w:cs="Times New Roman"/>
          <w:sz w:val="20"/>
          <w:szCs w:val="20"/>
        </w:rPr>
      </w:pPr>
      <w:r w:rsidRPr="00466C93">
        <w:rPr>
          <w:rFonts w:ascii="Times New Roman" w:hAnsi="Times New Roman" w:cs="Times New Roman"/>
          <w:sz w:val="20"/>
          <w:szCs w:val="20"/>
        </w:rPr>
        <w:t xml:space="preserve">Detection rate </w:t>
      </w:r>
    </w:p>
    <w:p w:rsidR="00746C27" w:rsidRPr="00466C93" w:rsidRDefault="00746C27" w:rsidP="00466C93">
      <w:pPr>
        <w:numPr>
          <w:ilvl w:val="0"/>
          <w:numId w:val="4"/>
        </w:numPr>
        <w:spacing w:after="0"/>
        <w:jc w:val="both"/>
        <w:rPr>
          <w:rFonts w:ascii="Times New Roman" w:hAnsi="Times New Roman" w:cs="Times New Roman"/>
          <w:sz w:val="20"/>
          <w:szCs w:val="20"/>
        </w:rPr>
      </w:pPr>
      <w:r w:rsidRPr="00466C93">
        <w:rPr>
          <w:rFonts w:ascii="Times New Roman" w:hAnsi="Times New Roman" w:cs="Times New Roman"/>
          <w:sz w:val="20"/>
          <w:szCs w:val="20"/>
        </w:rPr>
        <w:t xml:space="preserve">Sensitivity </w:t>
      </w:r>
    </w:p>
    <w:p w:rsidR="00746C27" w:rsidRPr="00466C93" w:rsidRDefault="00746C27" w:rsidP="00466C93">
      <w:pPr>
        <w:numPr>
          <w:ilvl w:val="0"/>
          <w:numId w:val="4"/>
        </w:numPr>
        <w:spacing w:after="0"/>
        <w:jc w:val="both"/>
        <w:rPr>
          <w:rFonts w:ascii="Times New Roman" w:hAnsi="Times New Roman" w:cs="Times New Roman"/>
          <w:sz w:val="20"/>
          <w:szCs w:val="20"/>
        </w:rPr>
      </w:pPr>
      <w:r w:rsidRPr="00466C93">
        <w:rPr>
          <w:rFonts w:ascii="Times New Roman" w:hAnsi="Times New Roman" w:cs="Times New Roman"/>
          <w:sz w:val="20"/>
          <w:szCs w:val="20"/>
        </w:rPr>
        <w:t xml:space="preserve">Specificity </w:t>
      </w:r>
    </w:p>
    <w:p w:rsidR="00746C27" w:rsidRPr="00466C93" w:rsidRDefault="00746C27" w:rsidP="00466C93">
      <w:pPr>
        <w:numPr>
          <w:ilvl w:val="0"/>
          <w:numId w:val="4"/>
        </w:numPr>
        <w:spacing w:after="0"/>
        <w:jc w:val="both"/>
        <w:rPr>
          <w:rFonts w:ascii="Times New Roman" w:hAnsi="Times New Roman" w:cs="Times New Roman"/>
          <w:sz w:val="20"/>
          <w:szCs w:val="20"/>
        </w:rPr>
      </w:pPr>
      <w:r w:rsidRPr="00466C93">
        <w:rPr>
          <w:rFonts w:ascii="Times New Roman" w:hAnsi="Times New Roman" w:cs="Times New Roman"/>
          <w:sz w:val="20"/>
          <w:szCs w:val="20"/>
        </w:rPr>
        <w:t xml:space="preserve">Positive predictive value </w:t>
      </w:r>
    </w:p>
    <w:p w:rsidR="00746C27" w:rsidRPr="00466C93" w:rsidRDefault="00746C27" w:rsidP="00466C93">
      <w:pPr>
        <w:numPr>
          <w:ilvl w:val="0"/>
          <w:numId w:val="4"/>
        </w:numPr>
        <w:spacing w:after="0"/>
        <w:jc w:val="both"/>
        <w:rPr>
          <w:rFonts w:ascii="Times New Roman" w:hAnsi="Times New Roman" w:cs="Times New Roman"/>
          <w:sz w:val="20"/>
          <w:szCs w:val="20"/>
        </w:rPr>
      </w:pPr>
      <w:r w:rsidRPr="00466C93">
        <w:rPr>
          <w:rFonts w:ascii="Times New Roman" w:hAnsi="Times New Roman" w:cs="Times New Roman"/>
          <w:sz w:val="20"/>
          <w:szCs w:val="20"/>
        </w:rPr>
        <w:t xml:space="preserve">Negative predictive value </w:t>
      </w:r>
    </w:p>
    <w:p w:rsidR="00746C27" w:rsidRPr="00466C93" w:rsidRDefault="00746C27" w:rsidP="00466C93">
      <w:pPr>
        <w:numPr>
          <w:ilvl w:val="0"/>
          <w:numId w:val="4"/>
        </w:numPr>
        <w:spacing w:after="0"/>
        <w:jc w:val="both"/>
        <w:rPr>
          <w:rFonts w:ascii="Times New Roman" w:hAnsi="Times New Roman" w:cs="Times New Roman"/>
          <w:sz w:val="20"/>
          <w:szCs w:val="20"/>
        </w:rPr>
      </w:pPr>
      <w:r w:rsidRPr="00466C93">
        <w:rPr>
          <w:rFonts w:ascii="Times New Roman" w:hAnsi="Times New Roman" w:cs="Times New Roman"/>
          <w:sz w:val="20"/>
          <w:szCs w:val="20"/>
        </w:rPr>
        <w:t xml:space="preserve">Diagnostic accuracy </w:t>
      </w:r>
    </w:p>
    <w:p w:rsidR="00746C27" w:rsidRPr="00466C93" w:rsidRDefault="00746C27" w:rsidP="00466C93">
      <w:pPr>
        <w:spacing w:after="0"/>
        <w:jc w:val="both"/>
        <w:rPr>
          <w:rFonts w:ascii="Times New Roman" w:hAnsi="Times New Roman" w:cs="Times New Roman"/>
          <w:b/>
          <w:bCs/>
          <w:sz w:val="20"/>
          <w:szCs w:val="20"/>
        </w:rPr>
      </w:pPr>
      <w:r w:rsidRPr="00466C93">
        <w:rPr>
          <w:rFonts w:ascii="Times New Roman" w:hAnsi="Times New Roman" w:cs="Times New Roman"/>
          <w:b/>
          <w:bCs/>
          <w:sz w:val="20"/>
          <w:szCs w:val="20"/>
        </w:rPr>
        <w:t>Statistical Analysis</w:t>
      </w:r>
    </w:p>
    <w:p w:rsidR="00746C27" w:rsidRPr="00466C93" w:rsidRDefault="00746C27" w:rsidP="00466C93">
      <w:pPr>
        <w:spacing w:after="0"/>
        <w:jc w:val="both"/>
        <w:rPr>
          <w:rFonts w:ascii="Times New Roman" w:hAnsi="Times New Roman" w:cs="Times New Roman"/>
          <w:sz w:val="20"/>
          <w:szCs w:val="20"/>
        </w:rPr>
      </w:pPr>
      <w:r w:rsidRPr="00466C93">
        <w:rPr>
          <w:rFonts w:ascii="Times New Roman" w:hAnsi="Times New Roman" w:cs="Times New Roman"/>
          <w:sz w:val="20"/>
          <w:szCs w:val="20"/>
        </w:rPr>
        <w:t>Data were analyzed using SPSS version 25. Continuous variables were expressed as mean ± standard deviation. Diagnostic parameters were calculated using standard formulas. Chi-square test was used for categorical variables. A p-value &lt;0.05 was considered statistically significant.</w:t>
      </w:r>
    </w:p>
    <w:p w:rsidR="00466C93" w:rsidRDefault="00466C93" w:rsidP="00466C93">
      <w:pPr>
        <w:spacing w:after="0"/>
        <w:jc w:val="both"/>
        <w:rPr>
          <w:rFonts w:ascii="Times New Roman" w:hAnsi="Times New Roman" w:cs="Times New Roman"/>
          <w:b/>
          <w:bCs/>
          <w:sz w:val="20"/>
          <w:szCs w:val="20"/>
        </w:rPr>
      </w:pPr>
    </w:p>
    <w:p w:rsidR="00466C93" w:rsidRDefault="00466C93" w:rsidP="00466C93">
      <w:pPr>
        <w:spacing w:after="0"/>
        <w:jc w:val="both"/>
        <w:rPr>
          <w:rFonts w:ascii="Times New Roman" w:hAnsi="Times New Roman" w:cs="Times New Roman"/>
          <w:b/>
          <w:bCs/>
          <w:sz w:val="20"/>
          <w:szCs w:val="20"/>
        </w:rPr>
      </w:pPr>
    </w:p>
    <w:p w:rsidR="00466C93" w:rsidRDefault="00466C93" w:rsidP="00466C93">
      <w:pPr>
        <w:spacing w:after="0"/>
        <w:jc w:val="both"/>
        <w:rPr>
          <w:rFonts w:ascii="Times New Roman" w:hAnsi="Times New Roman" w:cs="Times New Roman"/>
          <w:b/>
          <w:bCs/>
          <w:sz w:val="20"/>
          <w:szCs w:val="20"/>
        </w:rPr>
      </w:pPr>
    </w:p>
    <w:p w:rsidR="00466C93" w:rsidRDefault="00466C93" w:rsidP="00466C93">
      <w:pPr>
        <w:spacing w:after="0"/>
        <w:jc w:val="both"/>
        <w:rPr>
          <w:rFonts w:ascii="Times New Roman" w:hAnsi="Times New Roman" w:cs="Times New Roman"/>
          <w:b/>
          <w:bCs/>
          <w:sz w:val="20"/>
          <w:szCs w:val="20"/>
        </w:rPr>
      </w:pPr>
    </w:p>
    <w:p w:rsidR="00466C93" w:rsidRDefault="00466C93" w:rsidP="00466C93">
      <w:pPr>
        <w:spacing w:after="0"/>
        <w:jc w:val="both"/>
        <w:rPr>
          <w:rFonts w:ascii="Times New Roman" w:hAnsi="Times New Roman" w:cs="Times New Roman"/>
          <w:b/>
          <w:bCs/>
          <w:sz w:val="20"/>
          <w:szCs w:val="20"/>
        </w:rPr>
      </w:pPr>
    </w:p>
    <w:p w:rsidR="00466C93" w:rsidRDefault="00466C93" w:rsidP="00466C93">
      <w:pPr>
        <w:spacing w:after="0"/>
        <w:jc w:val="both"/>
        <w:rPr>
          <w:rFonts w:ascii="Times New Roman" w:hAnsi="Times New Roman" w:cs="Times New Roman"/>
          <w:b/>
          <w:bCs/>
          <w:sz w:val="20"/>
          <w:szCs w:val="20"/>
        </w:rPr>
      </w:pPr>
    </w:p>
    <w:p w:rsidR="00746C27" w:rsidRPr="00466C93" w:rsidRDefault="00746C27" w:rsidP="00466C93">
      <w:pPr>
        <w:spacing w:after="0"/>
        <w:jc w:val="both"/>
        <w:rPr>
          <w:rFonts w:ascii="Times New Roman" w:hAnsi="Times New Roman" w:cs="Times New Roman"/>
          <w:b/>
          <w:bCs/>
          <w:sz w:val="20"/>
          <w:szCs w:val="20"/>
        </w:rPr>
      </w:pPr>
      <w:r w:rsidRPr="00466C93">
        <w:rPr>
          <w:rFonts w:ascii="Times New Roman" w:hAnsi="Times New Roman" w:cs="Times New Roman"/>
          <w:b/>
          <w:bCs/>
          <w:sz w:val="20"/>
          <w:szCs w:val="20"/>
        </w:rPr>
        <w:t>RESULTS</w:t>
      </w:r>
    </w:p>
    <w:p w:rsidR="00746C27" w:rsidRPr="00466C93" w:rsidRDefault="00746C27" w:rsidP="00466C93">
      <w:pPr>
        <w:spacing w:after="0"/>
        <w:jc w:val="both"/>
        <w:rPr>
          <w:rFonts w:ascii="Times New Roman" w:hAnsi="Times New Roman" w:cs="Times New Roman"/>
          <w:b/>
          <w:bCs/>
          <w:sz w:val="20"/>
          <w:szCs w:val="20"/>
        </w:rPr>
      </w:pPr>
      <w:r w:rsidRPr="00466C93">
        <w:rPr>
          <w:rFonts w:ascii="Times New Roman" w:hAnsi="Times New Roman" w:cs="Times New Roman"/>
          <w:b/>
          <w:bCs/>
          <w:sz w:val="20"/>
          <w:szCs w:val="20"/>
        </w:rPr>
        <w:t>Table 1: Demographic and Clinical Characteristics</w:t>
      </w:r>
    </w:p>
    <w:tbl>
      <w:tblPr>
        <w:tblStyle w:val="TableGrid"/>
        <w:tblW w:w="0" w:type="auto"/>
        <w:tblLook w:val="04A0" w:firstRow="1" w:lastRow="0" w:firstColumn="1" w:lastColumn="0" w:noHBand="0" w:noVBand="1"/>
      </w:tblPr>
      <w:tblGrid>
        <w:gridCol w:w="2010"/>
        <w:gridCol w:w="1127"/>
        <w:gridCol w:w="1160"/>
      </w:tblGrid>
      <w:tr w:rsidR="00746C27" w:rsidRPr="00466C93" w:rsidTr="00990AC2">
        <w:tc>
          <w:tcPr>
            <w:tcW w:w="0" w:type="auto"/>
            <w:hideMark/>
          </w:tcPr>
          <w:p w:rsidR="00746C27" w:rsidRPr="00466C93" w:rsidRDefault="00746C27" w:rsidP="00466C93">
            <w:pPr>
              <w:spacing w:line="276" w:lineRule="auto"/>
              <w:jc w:val="both"/>
              <w:rPr>
                <w:rFonts w:ascii="Times New Roman" w:hAnsi="Times New Roman" w:cs="Times New Roman"/>
                <w:b/>
                <w:bCs/>
                <w:sz w:val="20"/>
                <w:szCs w:val="20"/>
              </w:rPr>
            </w:pPr>
            <w:r w:rsidRPr="00466C93">
              <w:rPr>
                <w:rFonts w:ascii="Times New Roman" w:hAnsi="Times New Roman" w:cs="Times New Roman"/>
                <w:b/>
                <w:bCs/>
                <w:sz w:val="20"/>
                <w:szCs w:val="20"/>
              </w:rPr>
              <w:t>Variable</w:t>
            </w:r>
          </w:p>
        </w:tc>
        <w:tc>
          <w:tcPr>
            <w:tcW w:w="0" w:type="auto"/>
            <w:hideMark/>
          </w:tcPr>
          <w:p w:rsidR="00746C27" w:rsidRPr="00466C93" w:rsidRDefault="00746C27" w:rsidP="00466C93">
            <w:pPr>
              <w:spacing w:line="276" w:lineRule="auto"/>
              <w:jc w:val="both"/>
              <w:rPr>
                <w:rFonts w:ascii="Times New Roman" w:hAnsi="Times New Roman" w:cs="Times New Roman"/>
                <w:b/>
                <w:bCs/>
                <w:sz w:val="20"/>
                <w:szCs w:val="20"/>
              </w:rPr>
            </w:pPr>
            <w:r w:rsidRPr="00466C93">
              <w:rPr>
                <w:rFonts w:ascii="Times New Roman" w:hAnsi="Times New Roman" w:cs="Times New Roman"/>
                <w:b/>
                <w:bCs/>
                <w:sz w:val="20"/>
                <w:szCs w:val="20"/>
              </w:rPr>
              <w:t>Frequency</w:t>
            </w:r>
          </w:p>
        </w:tc>
        <w:tc>
          <w:tcPr>
            <w:tcW w:w="0" w:type="auto"/>
            <w:hideMark/>
          </w:tcPr>
          <w:p w:rsidR="00746C27" w:rsidRPr="00466C93" w:rsidRDefault="00746C27" w:rsidP="00466C93">
            <w:pPr>
              <w:spacing w:line="276" w:lineRule="auto"/>
              <w:jc w:val="both"/>
              <w:rPr>
                <w:rFonts w:ascii="Times New Roman" w:hAnsi="Times New Roman" w:cs="Times New Roman"/>
                <w:b/>
                <w:bCs/>
                <w:sz w:val="20"/>
                <w:szCs w:val="20"/>
              </w:rPr>
            </w:pPr>
            <w:r w:rsidRPr="00466C93">
              <w:rPr>
                <w:rFonts w:ascii="Times New Roman" w:hAnsi="Times New Roman" w:cs="Times New Roman"/>
                <w:b/>
                <w:bCs/>
                <w:sz w:val="20"/>
                <w:szCs w:val="20"/>
              </w:rPr>
              <w:t>Percentage</w:t>
            </w:r>
          </w:p>
        </w:tc>
      </w:tr>
      <w:tr w:rsidR="00746C27" w:rsidRPr="00466C93" w:rsidTr="00990AC2">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Age 51–60 years</w:t>
            </w:r>
          </w:p>
        </w:tc>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18</w:t>
            </w:r>
          </w:p>
        </w:tc>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25.0%</w:t>
            </w:r>
          </w:p>
        </w:tc>
      </w:tr>
      <w:tr w:rsidR="00746C27" w:rsidRPr="00466C93" w:rsidTr="00990AC2">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Age 61–70 years</w:t>
            </w:r>
          </w:p>
        </w:tc>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34</w:t>
            </w:r>
          </w:p>
        </w:tc>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47.2%</w:t>
            </w:r>
          </w:p>
        </w:tc>
      </w:tr>
      <w:tr w:rsidR="00746C27" w:rsidRPr="00466C93" w:rsidTr="00990AC2">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Age &gt;70 years</w:t>
            </w:r>
          </w:p>
        </w:tc>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20</w:t>
            </w:r>
          </w:p>
        </w:tc>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27.8%</w:t>
            </w:r>
          </w:p>
        </w:tc>
      </w:tr>
      <w:tr w:rsidR="00746C27" w:rsidRPr="00466C93" w:rsidTr="00990AC2">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Radical prostatectomy</w:t>
            </w:r>
          </w:p>
        </w:tc>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40</w:t>
            </w:r>
          </w:p>
        </w:tc>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55.6%</w:t>
            </w:r>
          </w:p>
        </w:tc>
      </w:tr>
      <w:tr w:rsidR="00746C27" w:rsidRPr="00466C93" w:rsidTr="00990AC2">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Radiotherapy</w:t>
            </w:r>
          </w:p>
        </w:tc>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24</w:t>
            </w:r>
          </w:p>
        </w:tc>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33.3%</w:t>
            </w:r>
          </w:p>
        </w:tc>
      </w:tr>
      <w:tr w:rsidR="00746C27" w:rsidRPr="00466C93" w:rsidTr="00990AC2">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Combined therapy</w:t>
            </w:r>
          </w:p>
        </w:tc>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8</w:t>
            </w:r>
          </w:p>
        </w:tc>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11.1%</w:t>
            </w:r>
          </w:p>
        </w:tc>
      </w:tr>
      <w:tr w:rsidR="00746C27" w:rsidRPr="00466C93" w:rsidTr="00990AC2">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PSA &lt;1 ng/mL</w:t>
            </w:r>
          </w:p>
        </w:tc>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20</w:t>
            </w:r>
          </w:p>
        </w:tc>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27.8%</w:t>
            </w:r>
          </w:p>
        </w:tc>
      </w:tr>
      <w:tr w:rsidR="00746C27" w:rsidRPr="00466C93" w:rsidTr="00990AC2">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PSA 1–2 ng/mL</w:t>
            </w:r>
          </w:p>
        </w:tc>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24</w:t>
            </w:r>
          </w:p>
        </w:tc>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33.3%</w:t>
            </w:r>
          </w:p>
        </w:tc>
      </w:tr>
      <w:tr w:rsidR="00746C27" w:rsidRPr="00466C93" w:rsidTr="00990AC2">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PSA &gt;2 ng/mL</w:t>
            </w:r>
          </w:p>
        </w:tc>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28</w:t>
            </w:r>
          </w:p>
        </w:tc>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38.9%</w:t>
            </w:r>
          </w:p>
        </w:tc>
      </w:tr>
    </w:tbl>
    <w:p w:rsidR="00746C27" w:rsidRPr="00466C93" w:rsidRDefault="00746C27" w:rsidP="00466C93">
      <w:pPr>
        <w:spacing w:after="0"/>
        <w:jc w:val="both"/>
        <w:rPr>
          <w:rFonts w:ascii="Times New Roman" w:hAnsi="Times New Roman" w:cs="Times New Roman"/>
          <w:sz w:val="20"/>
          <w:szCs w:val="20"/>
        </w:rPr>
      </w:pPr>
      <w:r w:rsidRPr="00466C93">
        <w:rPr>
          <w:rFonts w:ascii="Times New Roman" w:hAnsi="Times New Roman" w:cs="Times New Roman"/>
          <w:sz w:val="20"/>
          <w:szCs w:val="20"/>
        </w:rPr>
        <w:t>Most patients belonged to the 61–70 years age group.</w:t>
      </w:r>
    </w:p>
    <w:p w:rsidR="00746C27" w:rsidRPr="00466C93" w:rsidRDefault="00746C27" w:rsidP="00466C93">
      <w:pPr>
        <w:spacing w:after="0"/>
        <w:jc w:val="both"/>
        <w:rPr>
          <w:rFonts w:ascii="Times New Roman" w:hAnsi="Times New Roman" w:cs="Times New Roman"/>
          <w:sz w:val="20"/>
          <w:szCs w:val="20"/>
        </w:rPr>
      </w:pPr>
    </w:p>
    <w:p w:rsidR="00746C27" w:rsidRPr="00466C93" w:rsidRDefault="00746C27" w:rsidP="00466C93">
      <w:pPr>
        <w:spacing w:after="0"/>
        <w:jc w:val="both"/>
        <w:rPr>
          <w:rFonts w:ascii="Times New Roman" w:hAnsi="Times New Roman" w:cs="Times New Roman"/>
          <w:b/>
          <w:bCs/>
          <w:sz w:val="20"/>
          <w:szCs w:val="20"/>
        </w:rPr>
      </w:pPr>
      <w:r w:rsidRPr="00466C93">
        <w:rPr>
          <w:rFonts w:ascii="Times New Roman" w:hAnsi="Times New Roman" w:cs="Times New Roman"/>
          <w:b/>
          <w:bCs/>
          <w:sz w:val="20"/>
          <w:szCs w:val="20"/>
        </w:rPr>
        <w:t>Table 2: Ga-68 PSMA PET-CT Findings</w:t>
      </w:r>
    </w:p>
    <w:tbl>
      <w:tblPr>
        <w:tblStyle w:val="TableGrid"/>
        <w:tblW w:w="0" w:type="auto"/>
        <w:tblLook w:val="04A0" w:firstRow="1" w:lastRow="0" w:firstColumn="1" w:lastColumn="0" w:noHBand="0" w:noVBand="1"/>
      </w:tblPr>
      <w:tblGrid>
        <w:gridCol w:w="2161"/>
        <w:gridCol w:w="1127"/>
        <w:gridCol w:w="1160"/>
      </w:tblGrid>
      <w:tr w:rsidR="00746C27" w:rsidRPr="00466C93" w:rsidTr="00990AC2">
        <w:tc>
          <w:tcPr>
            <w:tcW w:w="0" w:type="auto"/>
            <w:hideMark/>
          </w:tcPr>
          <w:p w:rsidR="00746C27" w:rsidRPr="00466C93" w:rsidRDefault="00746C27" w:rsidP="00466C93">
            <w:pPr>
              <w:spacing w:line="276" w:lineRule="auto"/>
              <w:jc w:val="both"/>
              <w:rPr>
                <w:rFonts w:ascii="Times New Roman" w:hAnsi="Times New Roman" w:cs="Times New Roman"/>
                <w:b/>
                <w:bCs/>
                <w:sz w:val="20"/>
                <w:szCs w:val="20"/>
              </w:rPr>
            </w:pPr>
            <w:r w:rsidRPr="00466C93">
              <w:rPr>
                <w:rFonts w:ascii="Times New Roman" w:hAnsi="Times New Roman" w:cs="Times New Roman"/>
                <w:b/>
                <w:bCs/>
                <w:sz w:val="20"/>
                <w:szCs w:val="20"/>
              </w:rPr>
              <w:t>Finding</w:t>
            </w:r>
          </w:p>
        </w:tc>
        <w:tc>
          <w:tcPr>
            <w:tcW w:w="0" w:type="auto"/>
            <w:hideMark/>
          </w:tcPr>
          <w:p w:rsidR="00746C27" w:rsidRPr="00466C93" w:rsidRDefault="00746C27" w:rsidP="00466C93">
            <w:pPr>
              <w:spacing w:line="276" w:lineRule="auto"/>
              <w:jc w:val="both"/>
              <w:rPr>
                <w:rFonts w:ascii="Times New Roman" w:hAnsi="Times New Roman" w:cs="Times New Roman"/>
                <w:b/>
                <w:bCs/>
                <w:sz w:val="20"/>
                <w:szCs w:val="20"/>
              </w:rPr>
            </w:pPr>
            <w:r w:rsidRPr="00466C93">
              <w:rPr>
                <w:rFonts w:ascii="Times New Roman" w:hAnsi="Times New Roman" w:cs="Times New Roman"/>
                <w:b/>
                <w:bCs/>
                <w:sz w:val="20"/>
                <w:szCs w:val="20"/>
              </w:rPr>
              <w:t>Frequency</w:t>
            </w:r>
          </w:p>
        </w:tc>
        <w:tc>
          <w:tcPr>
            <w:tcW w:w="0" w:type="auto"/>
            <w:hideMark/>
          </w:tcPr>
          <w:p w:rsidR="00746C27" w:rsidRPr="00466C93" w:rsidRDefault="00746C27" w:rsidP="00466C93">
            <w:pPr>
              <w:spacing w:line="276" w:lineRule="auto"/>
              <w:jc w:val="both"/>
              <w:rPr>
                <w:rFonts w:ascii="Times New Roman" w:hAnsi="Times New Roman" w:cs="Times New Roman"/>
                <w:b/>
                <w:bCs/>
                <w:sz w:val="20"/>
                <w:szCs w:val="20"/>
              </w:rPr>
            </w:pPr>
            <w:r w:rsidRPr="00466C93">
              <w:rPr>
                <w:rFonts w:ascii="Times New Roman" w:hAnsi="Times New Roman" w:cs="Times New Roman"/>
                <w:b/>
                <w:bCs/>
                <w:sz w:val="20"/>
                <w:szCs w:val="20"/>
              </w:rPr>
              <w:t>Percentage</w:t>
            </w:r>
          </w:p>
        </w:tc>
      </w:tr>
      <w:tr w:rsidR="00746C27" w:rsidRPr="00466C93" w:rsidTr="00990AC2">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Positive PET-CT</w:t>
            </w:r>
          </w:p>
        </w:tc>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58</w:t>
            </w:r>
          </w:p>
        </w:tc>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80.6%</w:t>
            </w:r>
          </w:p>
        </w:tc>
      </w:tr>
      <w:tr w:rsidR="00746C27" w:rsidRPr="00466C93" w:rsidTr="00990AC2">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Negative PET-CT</w:t>
            </w:r>
          </w:p>
        </w:tc>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14</w:t>
            </w:r>
          </w:p>
        </w:tc>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19.4%</w:t>
            </w:r>
          </w:p>
        </w:tc>
      </w:tr>
      <w:tr w:rsidR="00746C27" w:rsidRPr="00466C93" w:rsidTr="00990AC2">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Local recurrence</w:t>
            </w:r>
          </w:p>
        </w:tc>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18</w:t>
            </w:r>
          </w:p>
        </w:tc>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25.0%</w:t>
            </w:r>
          </w:p>
        </w:tc>
      </w:tr>
      <w:tr w:rsidR="00746C27" w:rsidRPr="00466C93" w:rsidTr="00990AC2">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Pelvic nodal metastasis</w:t>
            </w:r>
          </w:p>
        </w:tc>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24</w:t>
            </w:r>
          </w:p>
        </w:tc>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33.3%</w:t>
            </w:r>
          </w:p>
        </w:tc>
      </w:tr>
      <w:tr w:rsidR="00746C27" w:rsidRPr="00466C93" w:rsidTr="00990AC2">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Distant nodal metastasis</w:t>
            </w:r>
          </w:p>
        </w:tc>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12</w:t>
            </w:r>
          </w:p>
        </w:tc>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16.7%</w:t>
            </w:r>
          </w:p>
        </w:tc>
      </w:tr>
      <w:tr w:rsidR="00746C27" w:rsidRPr="00466C93" w:rsidTr="00990AC2">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Skeletal metastasis</w:t>
            </w:r>
          </w:p>
        </w:tc>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20</w:t>
            </w:r>
          </w:p>
        </w:tc>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27.8%</w:t>
            </w:r>
          </w:p>
        </w:tc>
      </w:tr>
      <w:tr w:rsidR="00746C27" w:rsidRPr="00466C93" w:rsidTr="00990AC2">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Visceral metastasis</w:t>
            </w:r>
          </w:p>
        </w:tc>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4</w:t>
            </w:r>
          </w:p>
        </w:tc>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5.6%</w:t>
            </w:r>
          </w:p>
        </w:tc>
      </w:tr>
    </w:tbl>
    <w:p w:rsidR="00746C27" w:rsidRPr="00466C93" w:rsidRDefault="00746C27" w:rsidP="00466C93">
      <w:pPr>
        <w:spacing w:after="0"/>
        <w:jc w:val="both"/>
        <w:rPr>
          <w:rFonts w:ascii="Times New Roman" w:hAnsi="Times New Roman" w:cs="Times New Roman"/>
          <w:sz w:val="20"/>
          <w:szCs w:val="20"/>
        </w:rPr>
      </w:pPr>
      <w:r w:rsidRPr="00466C93">
        <w:rPr>
          <w:rFonts w:ascii="Times New Roman" w:hAnsi="Times New Roman" w:cs="Times New Roman"/>
          <w:sz w:val="20"/>
          <w:szCs w:val="20"/>
        </w:rPr>
        <w:t>Pelvic lymph node involvement was the most common site of recurrence.</w:t>
      </w:r>
    </w:p>
    <w:p w:rsidR="00746C27" w:rsidRPr="00466C93" w:rsidRDefault="00746C27" w:rsidP="00466C93">
      <w:pPr>
        <w:spacing w:after="0"/>
        <w:jc w:val="both"/>
        <w:rPr>
          <w:rFonts w:ascii="Times New Roman" w:hAnsi="Times New Roman" w:cs="Times New Roman"/>
          <w:sz w:val="20"/>
          <w:szCs w:val="20"/>
        </w:rPr>
      </w:pPr>
    </w:p>
    <w:p w:rsidR="00746C27" w:rsidRPr="00466C93" w:rsidRDefault="00746C27" w:rsidP="00466C93">
      <w:pPr>
        <w:spacing w:after="0"/>
        <w:jc w:val="both"/>
        <w:rPr>
          <w:rFonts w:ascii="Times New Roman" w:hAnsi="Times New Roman" w:cs="Times New Roman"/>
          <w:b/>
          <w:bCs/>
          <w:sz w:val="20"/>
          <w:szCs w:val="20"/>
        </w:rPr>
      </w:pPr>
      <w:r w:rsidRPr="00466C93">
        <w:rPr>
          <w:rFonts w:ascii="Times New Roman" w:hAnsi="Times New Roman" w:cs="Times New Roman"/>
          <w:b/>
          <w:bCs/>
          <w:sz w:val="20"/>
          <w:szCs w:val="20"/>
        </w:rPr>
        <w:t>Table 3: Detection Rate According to PSA Levels</w:t>
      </w:r>
      <w:bookmarkStart w:id="0" w:name="_GoBack"/>
      <w:bookmarkEnd w:id="0"/>
    </w:p>
    <w:tbl>
      <w:tblPr>
        <w:tblStyle w:val="TableGrid"/>
        <w:tblW w:w="0" w:type="auto"/>
        <w:tblLook w:val="04A0" w:firstRow="1" w:lastRow="0" w:firstColumn="1" w:lastColumn="0" w:noHBand="0" w:noVBand="1"/>
      </w:tblPr>
      <w:tblGrid>
        <w:gridCol w:w="1250"/>
        <w:gridCol w:w="1794"/>
      </w:tblGrid>
      <w:tr w:rsidR="00746C27" w:rsidRPr="00466C93" w:rsidTr="00990AC2">
        <w:tc>
          <w:tcPr>
            <w:tcW w:w="0" w:type="auto"/>
            <w:hideMark/>
          </w:tcPr>
          <w:p w:rsidR="00746C27" w:rsidRPr="00466C93" w:rsidRDefault="00746C27" w:rsidP="00466C93">
            <w:pPr>
              <w:spacing w:line="276" w:lineRule="auto"/>
              <w:jc w:val="both"/>
              <w:rPr>
                <w:rFonts w:ascii="Times New Roman" w:hAnsi="Times New Roman" w:cs="Times New Roman"/>
                <w:b/>
                <w:bCs/>
                <w:sz w:val="20"/>
                <w:szCs w:val="20"/>
              </w:rPr>
            </w:pPr>
            <w:r w:rsidRPr="00466C93">
              <w:rPr>
                <w:rFonts w:ascii="Times New Roman" w:hAnsi="Times New Roman" w:cs="Times New Roman"/>
                <w:b/>
                <w:bCs/>
                <w:sz w:val="20"/>
                <w:szCs w:val="20"/>
              </w:rPr>
              <w:t>PSA Level</w:t>
            </w:r>
          </w:p>
        </w:tc>
        <w:tc>
          <w:tcPr>
            <w:tcW w:w="0" w:type="auto"/>
            <w:hideMark/>
          </w:tcPr>
          <w:p w:rsidR="00746C27" w:rsidRPr="00466C93" w:rsidRDefault="00746C27" w:rsidP="00466C93">
            <w:pPr>
              <w:spacing w:line="276" w:lineRule="auto"/>
              <w:jc w:val="both"/>
              <w:rPr>
                <w:rFonts w:ascii="Times New Roman" w:hAnsi="Times New Roman" w:cs="Times New Roman"/>
                <w:b/>
                <w:bCs/>
                <w:sz w:val="20"/>
                <w:szCs w:val="20"/>
              </w:rPr>
            </w:pPr>
            <w:r w:rsidRPr="00466C93">
              <w:rPr>
                <w:rFonts w:ascii="Times New Roman" w:hAnsi="Times New Roman" w:cs="Times New Roman"/>
                <w:b/>
                <w:bCs/>
                <w:sz w:val="20"/>
                <w:szCs w:val="20"/>
              </w:rPr>
              <w:t>Positive Scan Rate</w:t>
            </w:r>
          </w:p>
        </w:tc>
      </w:tr>
      <w:tr w:rsidR="00746C27" w:rsidRPr="00466C93" w:rsidTr="00990AC2">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&lt;0.5 ng/mL</w:t>
            </w:r>
          </w:p>
        </w:tc>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50.0%</w:t>
            </w:r>
          </w:p>
        </w:tc>
      </w:tr>
      <w:tr w:rsidR="00746C27" w:rsidRPr="00466C93" w:rsidTr="00990AC2">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0.5–1 ng/mL</w:t>
            </w:r>
          </w:p>
        </w:tc>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72.7%</w:t>
            </w:r>
          </w:p>
        </w:tc>
      </w:tr>
      <w:tr w:rsidR="00746C27" w:rsidRPr="00466C93" w:rsidTr="00990AC2">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1–2 ng/mL</w:t>
            </w:r>
          </w:p>
        </w:tc>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83.3%</w:t>
            </w:r>
          </w:p>
        </w:tc>
      </w:tr>
      <w:tr w:rsidR="00746C27" w:rsidRPr="00466C93" w:rsidTr="00990AC2">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&gt;2 ng/mL</w:t>
            </w:r>
          </w:p>
        </w:tc>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96.4%</w:t>
            </w:r>
          </w:p>
        </w:tc>
      </w:tr>
    </w:tbl>
    <w:p w:rsidR="00746C27" w:rsidRPr="00466C93" w:rsidRDefault="00746C27" w:rsidP="00466C93">
      <w:pPr>
        <w:spacing w:after="0"/>
        <w:jc w:val="both"/>
        <w:rPr>
          <w:rFonts w:ascii="Times New Roman" w:hAnsi="Times New Roman" w:cs="Times New Roman"/>
          <w:sz w:val="20"/>
          <w:szCs w:val="20"/>
        </w:rPr>
      </w:pPr>
      <w:r w:rsidRPr="00466C93">
        <w:rPr>
          <w:rFonts w:ascii="Times New Roman" w:hAnsi="Times New Roman" w:cs="Times New Roman"/>
          <w:sz w:val="20"/>
          <w:szCs w:val="20"/>
        </w:rPr>
        <w:t>Detection rate significantly increased with rising PSA levels.</w:t>
      </w:r>
    </w:p>
    <w:p w:rsidR="00746C27" w:rsidRPr="00466C93" w:rsidRDefault="00746C27" w:rsidP="00466C93">
      <w:pPr>
        <w:spacing w:after="0"/>
        <w:jc w:val="both"/>
        <w:rPr>
          <w:rFonts w:ascii="Times New Roman" w:hAnsi="Times New Roman" w:cs="Times New Roman"/>
          <w:sz w:val="20"/>
          <w:szCs w:val="20"/>
        </w:rPr>
      </w:pPr>
    </w:p>
    <w:p w:rsidR="00746C27" w:rsidRPr="00466C93" w:rsidRDefault="00746C27" w:rsidP="00466C93">
      <w:pPr>
        <w:spacing w:after="0"/>
        <w:jc w:val="both"/>
        <w:rPr>
          <w:rFonts w:ascii="Times New Roman" w:hAnsi="Times New Roman" w:cs="Times New Roman"/>
          <w:b/>
          <w:bCs/>
          <w:sz w:val="20"/>
          <w:szCs w:val="20"/>
        </w:rPr>
      </w:pPr>
      <w:r w:rsidRPr="00466C93">
        <w:rPr>
          <w:rFonts w:ascii="Times New Roman" w:hAnsi="Times New Roman" w:cs="Times New Roman"/>
          <w:b/>
          <w:bCs/>
          <w:sz w:val="20"/>
          <w:szCs w:val="20"/>
        </w:rPr>
        <w:t>Table 4: Diagnostic Accuracy of Ga-68 PSMA PET-CT</w:t>
      </w:r>
    </w:p>
    <w:tbl>
      <w:tblPr>
        <w:tblStyle w:val="TableGrid"/>
        <w:tblW w:w="0" w:type="auto"/>
        <w:tblLook w:val="04A0" w:firstRow="1" w:lastRow="0" w:firstColumn="1" w:lastColumn="0" w:noHBand="0" w:noVBand="1"/>
      </w:tblPr>
      <w:tblGrid>
        <w:gridCol w:w="2327"/>
        <w:gridCol w:w="733"/>
      </w:tblGrid>
      <w:tr w:rsidR="00746C27" w:rsidRPr="00466C93" w:rsidTr="00990AC2">
        <w:tc>
          <w:tcPr>
            <w:tcW w:w="0" w:type="auto"/>
            <w:hideMark/>
          </w:tcPr>
          <w:p w:rsidR="00746C27" w:rsidRPr="00466C93" w:rsidRDefault="00746C27" w:rsidP="00466C93">
            <w:pPr>
              <w:spacing w:line="276" w:lineRule="auto"/>
              <w:jc w:val="both"/>
              <w:rPr>
                <w:rFonts w:ascii="Times New Roman" w:hAnsi="Times New Roman" w:cs="Times New Roman"/>
                <w:b/>
                <w:bCs/>
                <w:sz w:val="20"/>
                <w:szCs w:val="20"/>
              </w:rPr>
            </w:pPr>
            <w:r w:rsidRPr="00466C93">
              <w:rPr>
                <w:rFonts w:ascii="Times New Roman" w:hAnsi="Times New Roman" w:cs="Times New Roman"/>
                <w:b/>
                <w:bCs/>
                <w:sz w:val="20"/>
                <w:szCs w:val="20"/>
              </w:rPr>
              <w:t>Parameter</w:t>
            </w:r>
          </w:p>
        </w:tc>
        <w:tc>
          <w:tcPr>
            <w:tcW w:w="0" w:type="auto"/>
            <w:hideMark/>
          </w:tcPr>
          <w:p w:rsidR="00746C27" w:rsidRPr="00466C93" w:rsidRDefault="00746C27" w:rsidP="00466C93">
            <w:pPr>
              <w:spacing w:line="276" w:lineRule="auto"/>
              <w:jc w:val="both"/>
              <w:rPr>
                <w:rFonts w:ascii="Times New Roman" w:hAnsi="Times New Roman" w:cs="Times New Roman"/>
                <w:b/>
                <w:bCs/>
                <w:sz w:val="20"/>
                <w:szCs w:val="20"/>
              </w:rPr>
            </w:pPr>
            <w:r w:rsidRPr="00466C93">
              <w:rPr>
                <w:rFonts w:ascii="Times New Roman" w:hAnsi="Times New Roman" w:cs="Times New Roman"/>
                <w:b/>
                <w:bCs/>
                <w:sz w:val="20"/>
                <w:szCs w:val="20"/>
              </w:rPr>
              <w:t>Value</w:t>
            </w:r>
          </w:p>
        </w:tc>
      </w:tr>
      <w:tr w:rsidR="00746C27" w:rsidRPr="00466C93" w:rsidTr="00990AC2">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Sensitivity</w:t>
            </w:r>
          </w:p>
        </w:tc>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94.8%</w:t>
            </w:r>
          </w:p>
        </w:tc>
      </w:tr>
      <w:tr w:rsidR="00746C27" w:rsidRPr="00466C93" w:rsidTr="00990AC2">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Specificity</w:t>
            </w:r>
          </w:p>
        </w:tc>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88.2%</w:t>
            </w:r>
          </w:p>
        </w:tc>
      </w:tr>
      <w:tr w:rsidR="00746C27" w:rsidRPr="00466C93" w:rsidTr="00990AC2">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Positive Predictive Value</w:t>
            </w:r>
          </w:p>
        </w:tc>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92.0%</w:t>
            </w:r>
          </w:p>
        </w:tc>
      </w:tr>
      <w:tr w:rsidR="00746C27" w:rsidRPr="00466C93" w:rsidTr="00990AC2">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Negative Predictive Value</w:t>
            </w:r>
          </w:p>
        </w:tc>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91.0%</w:t>
            </w:r>
          </w:p>
        </w:tc>
      </w:tr>
      <w:tr w:rsidR="00746C27" w:rsidRPr="00466C93" w:rsidTr="00990AC2">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Diagnostic Accuracy</w:t>
            </w:r>
          </w:p>
        </w:tc>
        <w:tc>
          <w:tcPr>
            <w:tcW w:w="0" w:type="auto"/>
            <w:hideMark/>
          </w:tcPr>
          <w:p w:rsidR="00746C27" w:rsidRPr="00466C93" w:rsidRDefault="00746C27" w:rsidP="00466C93">
            <w:pPr>
              <w:spacing w:line="276" w:lineRule="auto"/>
              <w:jc w:val="both"/>
              <w:rPr>
                <w:rFonts w:ascii="Times New Roman" w:hAnsi="Times New Roman" w:cs="Times New Roman"/>
                <w:sz w:val="20"/>
                <w:szCs w:val="20"/>
              </w:rPr>
            </w:pPr>
            <w:r w:rsidRPr="00466C93">
              <w:rPr>
                <w:rFonts w:ascii="Times New Roman" w:hAnsi="Times New Roman" w:cs="Times New Roman"/>
                <w:sz w:val="20"/>
                <w:szCs w:val="20"/>
              </w:rPr>
              <w:t>93.1%</w:t>
            </w:r>
          </w:p>
        </w:tc>
      </w:tr>
    </w:tbl>
    <w:p w:rsidR="00746C27" w:rsidRPr="00466C93" w:rsidRDefault="00746C27" w:rsidP="00466C93">
      <w:pPr>
        <w:spacing w:after="0"/>
        <w:jc w:val="both"/>
        <w:rPr>
          <w:rFonts w:ascii="Times New Roman" w:hAnsi="Times New Roman" w:cs="Times New Roman"/>
          <w:sz w:val="20"/>
          <w:szCs w:val="20"/>
        </w:rPr>
      </w:pPr>
      <w:r w:rsidRPr="00466C93">
        <w:rPr>
          <w:rFonts w:ascii="Times New Roman" w:hAnsi="Times New Roman" w:cs="Times New Roman"/>
          <w:sz w:val="20"/>
          <w:szCs w:val="20"/>
        </w:rPr>
        <w:t>Ga-68 PSMA PET-CT demonstrated excellent overall diagnostic performance.</w:t>
      </w:r>
    </w:p>
    <w:p w:rsidR="00746C27" w:rsidRPr="00466C93" w:rsidRDefault="00746C27" w:rsidP="00466C93">
      <w:pPr>
        <w:spacing w:after="0"/>
        <w:jc w:val="both"/>
        <w:rPr>
          <w:rFonts w:ascii="Times New Roman" w:hAnsi="Times New Roman" w:cs="Times New Roman"/>
          <w:sz w:val="20"/>
          <w:szCs w:val="20"/>
        </w:rPr>
      </w:pPr>
    </w:p>
    <w:p w:rsidR="00746C27" w:rsidRPr="00466C93" w:rsidRDefault="00746C27" w:rsidP="00466C93">
      <w:pPr>
        <w:spacing w:after="0"/>
        <w:jc w:val="both"/>
        <w:rPr>
          <w:rFonts w:ascii="Times New Roman" w:hAnsi="Times New Roman" w:cs="Times New Roman"/>
          <w:b/>
          <w:bCs/>
          <w:sz w:val="20"/>
          <w:szCs w:val="20"/>
        </w:rPr>
      </w:pPr>
      <w:r w:rsidRPr="00466C93">
        <w:rPr>
          <w:rFonts w:ascii="Times New Roman" w:hAnsi="Times New Roman" w:cs="Times New Roman"/>
          <w:b/>
          <w:bCs/>
          <w:sz w:val="20"/>
          <w:szCs w:val="20"/>
        </w:rPr>
        <w:t>DISCUSSION</w:t>
      </w:r>
    </w:p>
    <w:p w:rsidR="00746C27" w:rsidRPr="00466C93" w:rsidRDefault="00746C27" w:rsidP="00466C93">
      <w:pPr>
        <w:spacing w:after="0"/>
        <w:jc w:val="both"/>
        <w:rPr>
          <w:rFonts w:ascii="Times New Roman" w:hAnsi="Times New Roman" w:cs="Times New Roman"/>
          <w:sz w:val="20"/>
          <w:szCs w:val="20"/>
        </w:rPr>
      </w:pPr>
      <w:r w:rsidRPr="00466C93">
        <w:rPr>
          <w:rFonts w:ascii="Times New Roman" w:hAnsi="Times New Roman" w:cs="Times New Roman"/>
          <w:sz w:val="20"/>
          <w:szCs w:val="20"/>
        </w:rPr>
        <w:t>Biochemical recurrence after definitive treatment of prostate cancer remains a major clinical challenge. Accurate localization of recurrent disease is essential for selecting appropriate salvage therapy and improving patient outcomes. Conventional imaging techniques often fail to detect recurrence at low PSA levels, thereby limiting timely intervention.</w:t>
      </w:r>
    </w:p>
    <w:p w:rsidR="00746C27" w:rsidRPr="00466C93" w:rsidRDefault="00746C27" w:rsidP="00466C93">
      <w:pPr>
        <w:spacing w:after="0"/>
        <w:jc w:val="both"/>
        <w:rPr>
          <w:rFonts w:ascii="Times New Roman" w:hAnsi="Times New Roman" w:cs="Times New Roman"/>
          <w:sz w:val="20"/>
          <w:szCs w:val="20"/>
        </w:rPr>
      </w:pPr>
      <w:r w:rsidRPr="00466C93">
        <w:rPr>
          <w:rFonts w:ascii="Times New Roman" w:hAnsi="Times New Roman" w:cs="Times New Roman"/>
          <w:sz w:val="20"/>
          <w:szCs w:val="20"/>
        </w:rPr>
        <w:t>The present study demonstrated excellent diagnostic performance of Ga-68 PSMA PET-CT in detecting recurrent prostate cancer. The overall detection rate was 80.6%, which is comparable to previously published international studies. Detection rates increased progressively with rising PSA levels, consistent with the biological behavior of recurrent disease.</w:t>
      </w:r>
    </w:p>
    <w:p w:rsidR="00746C27" w:rsidRPr="00466C93" w:rsidRDefault="00746C27" w:rsidP="00466C93">
      <w:pPr>
        <w:spacing w:after="0"/>
        <w:jc w:val="both"/>
        <w:rPr>
          <w:rFonts w:ascii="Times New Roman" w:hAnsi="Times New Roman" w:cs="Times New Roman"/>
          <w:sz w:val="20"/>
          <w:szCs w:val="20"/>
        </w:rPr>
      </w:pPr>
      <w:r w:rsidRPr="00466C93">
        <w:rPr>
          <w:rFonts w:ascii="Times New Roman" w:hAnsi="Times New Roman" w:cs="Times New Roman"/>
          <w:sz w:val="20"/>
          <w:szCs w:val="20"/>
        </w:rPr>
        <w:t>One of the major advantages of Ga-68 PSMA PET-CT observed in our study was its ability to detect lesions at low PSA levels. Even among patients with PSA levels below 1 ng/mL, substantial detection rates were achieved. This finding is clinically important because early localization allows curative salvage therapy in selected patients.</w:t>
      </w:r>
    </w:p>
    <w:p w:rsidR="00746C27" w:rsidRPr="00466C93" w:rsidRDefault="00746C27" w:rsidP="00466C93">
      <w:pPr>
        <w:spacing w:after="0"/>
        <w:jc w:val="both"/>
        <w:rPr>
          <w:rFonts w:ascii="Times New Roman" w:hAnsi="Times New Roman" w:cs="Times New Roman"/>
          <w:sz w:val="20"/>
          <w:szCs w:val="20"/>
        </w:rPr>
      </w:pPr>
      <w:r w:rsidRPr="00466C93">
        <w:rPr>
          <w:rFonts w:ascii="Times New Roman" w:hAnsi="Times New Roman" w:cs="Times New Roman"/>
          <w:sz w:val="20"/>
          <w:szCs w:val="20"/>
        </w:rPr>
        <w:t>Pelvic nodal recurrence was the most common metastatic pattern in our study. Small metastatic lymph nodes often remain undetected on CT or MRI due to lack of significant enlargement. Ga-68 PSMA PET-CT identifies lesions based on molecular expression rather than size criteria, thereby improving sensitivity.</w:t>
      </w:r>
    </w:p>
    <w:p w:rsidR="00746C27" w:rsidRPr="00466C93" w:rsidRDefault="00746C27" w:rsidP="00466C93">
      <w:pPr>
        <w:spacing w:after="0"/>
        <w:jc w:val="both"/>
        <w:rPr>
          <w:rFonts w:ascii="Times New Roman" w:hAnsi="Times New Roman" w:cs="Times New Roman"/>
          <w:sz w:val="20"/>
          <w:szCs w:val="20"/>
        </w:rPr>
      </w:pPr>
      <w:r w:rsidRPr="00466C93">
        <w:rPr>
          <w:rFonts w:ascii="Times New Roman" w:hAnsi="Times New Roman" w:cs="Times New Roman"/>
          <w:sz w:val="20"/>
          <w:szCs w:val="20"/>
        </w:rPr>
        <w:t>Skeletal metastases were detected in 27.8% of patients. PSMA PET-CT demonstrated superior lesion characterization compared to conventional bone scintigraphy. Early marrow lesions and small osseous metastases can be identified before structural changes become evident on CT.</w:t>
      </w:r>
    </w:p>
    <w:p w:rsidR="00746C27" w:rsidRPr="00466C93" w:rsidRDefault="00746C27" w:rsidP="00466C93">
      <w:pPr>
        <w:spacing w:after="0"/>
        <w:jc w:val="both"/>
        <w:rPr>
          <w:rFonts w:ascii="Times New Roman" w:hAnsi="Times New Roman" w:cs="Times New Roman"/>
          <w:sz w:val="20"/>
          <w:szCs w:val="20"/>
        </w:rPr>
      </w:pPr>
      <w:r w:rsidRPr="00466C93">
        <w:rPr>
          <w:rFonts w:ascii="Times New Roman" w:hAnsi="Times New Roman" w:cs="Times New Roman"/>
          <w:sz w:val="20"/>
          <w:szCs w:val="20"/>
        </w:rPr>
        <w:t>The high sensitivity and specificity observed in the present study are consistent with findings reported by Afshar-Oromieh et al. and Eiber et al., who demonstrated superior performance of PSMA PET imaging in recurrent prostate cancer. The ability to combine functional and anatomical imaging contributes significantly to improved lesion localization.</w:t>
      </w:r>
    </w:p>
    <w:p w:rsidR="00746C27" w:rsidRPr="00466C93" w:rsidRDefault="00746C27" w:rsidP="00466C93">
      <w:pPr>
        <w:spacing w:after="0"/>
        <w:jc w:val="both"/>
        <w:rPr>
          <w:rFonts w:ascii="Times New Roman" w:hAnsi="Times New Roman" w:cs="Times New Roman"/>
          <w:sz w:val="20"/>
          <w:szCs w:val="20"/>
        </w:rPr>
      </w:pPr>
      <w:r w:rsidRPr="00466C93">
        <w:rPr>
          <w:rFonts w:ascii="Times New Roman" w:hAnsi="Times New Roman" w:cs="Times New Roman"/>
          <w:sz w:val="20"/>
          <w:szCs w:val="20"/>
        </w:rPr>
        <w:t>False-positive findings were uncommon but included inflammatory lymph nodes and benign bone lesions. False-negative scans were mainly observed in patients with very low PSA levels or microscopic disease burden below imaging resolution.</w:t>
      </w:r>
    </w:p>
    <w:p w:rsidR="00746C27" w:rsidRPr="00466C93" w:rsidRDefault="00746C27" w:rsidP="00466C93">
      <w:pPr>
        <w:spacing w:after="0"/>
        <w:jc w:val="both"/>
        <w:rPr>
          <w:rFonts w:ascii="Times New Roman" w:hAnsi="Times New Roman" w:cs="Times New Roman"/>
          <w:sz w:val="20"/>
          <w:szCs w:val="20"/>
        </w:rPr>
      </w:pPr>
      <w:r w:rsidRPr="00466C93">
        <w:rPr>
          <w:rFonts w:ascii="Times New Roman" w:hAnsi="Times New Roman" w:cs="Times New Roman"/>
          <w:sz w:val="20"/>
          <w:szCs w:val="20"/>
        </w:rPr>
        <w:t>Ga-68 PSMA PET-CT significantly influences patient management. Detection of localized recurrence may guide salvage radiotherapy, while identification of distant metastases may alter systemic treatment strategies. Several studies have reported management changes in more than 50% of patients after PSMA PET imaging.</w:t>
      </w:r>
    </w:p>
    <w:p w:rsidR="00746C27" w:rsidRPr="00466C93" w:rsidRDefault="00746C27" w:rsidP="00466C93">
      <w:pPr>
        <w:spacing w:after="0"/>
        <w:jc w:val="both"/>
        <w:rPr>
          <w:rFonts w:ascii="Times New Roman" w:hAnsi="Times New Roman" w:cs="Times New Roman"/>
          <w:sz w:val="20"/>
          <w:szCs w:val="20"/>
        </w:rPr>
      </w:pPr>
      <w:r w:rsidRPr="00466C93">
        <w:rPr>
          <w:rFonts w:ascii="Times New Roman" w:hAnsi="Times New Roman" w:cs="Times New Roman"/>
          <w:sz w:val="20"/>
          <w:szCs w:val="20"/>
        </w:rPr>
        <w:t>In resource-limited settings, cost and availability remain important considerations. However, the increasing availability of PET-CT centers in developing countries has expanded access to advanced molecular imaging. Appropriate patient selection can maximize diagnostic benefit and cost-effectiveness.</w:t>
      </w:r>
    </w:p>
    <w:p w:rsidR="00746C27" w:rsidRPr="00466C93" w:rsidRDefault="00746C27" w:rsidP="00466C93">
      <w:pPr>
        <w:spacing w:after="0"/>
        <w:jc w:val="both"/>
        <w:rPr>
          <w:rFonts w:ascii="Times New Roman" w:hAnsi="Times New Roman" w:cs="Times New Roman"/>
          <w:sz w:val="20"/>
          <w:szCs w:val="20"/>
        </w:rPr>
      </w:pPr>
      <w:r w:rsidRPr="00466C93">
        <w:rPr>
          <w:rFonts w:ascii="Times New Roman" w:hAnsi="Times New Roman" w:cs="Times New Roman"/>
          <w:sz w:val="20"/>
          <w:szCs w:val="20"/>
        </w:rPr>
        <w:t>The present study highlights the importance of integrating molecular imaging into modern prostate cancer management algorithms. Future advances in PSMA-targeted theranostics may further improve outcomes in recurrent prostate cancer.</w:t>
      </w:r>
    </w:p>
    <w:p w:rsidR="00746C27" w:rsidRPr="00466C93" w:rsidRDefault="00746C27" w:rsidP="00466C93">
      <w:pPr>
        <w:spacing w:after="0"/>
        <w:jc w:val="both"/>
        <w:rPr>
          <w:rFonts w:ascii="Times New Roman" w:hAnsi="Times New Roman" w:cs="Times New Roman"/>
          <w:b/>
          <w:bCs/>
          <w:sz w:val="20"/>
          <w:szCs w:val="20"/>
        </w:rPr>
      </w:pPr>
      <w:r w:rsidRPr="00466C93">
        <w:rPr>
          <w:rFonts w:ascii="Times New Roman" w:hAnsi="Times New Roman" w:cs="Times New Roman"/>
          <w:b/>
          <w:bCs/>
          <w:sz w:val="20"/>
          <w:szCs w:val="20"/>
        </w:rPr>
        <w:t>CONCLUSION</w:t>
      </w:r>
    </w:p>
    <w:p w:rsidR="00746C27" w:rsidRPr="00466C93" w:rsidRDefault="00746C27" w:rsidP="00466C93">
      <w:pPr>
        <w:spacing w:after="0"/>
        <w:jc w:val="both"/>
        <w:rPr>
          <w:rFonts w:ascii="Times New Roman" w:hAnsi="Times New Roman" w:cs="Times New Roman"/>
          <w:sz w:val="20"/>
          <w:szCs w:val="20"/>
        </w:rPr>
      </w:pPr>
      <w:r w:rsidRPr="00466C93">
        <w:rPr>
          <w:rFonts w:ascii="Times New Roman" w:hAnsi="Times New Roman" w:cs="Times New Roman"/>
          <w:sz w:val="20"/>
          <w:szCs w:val="20"/>
        </w:rPr>
        <w:t>Ga-68 PSMA PET-CT demonstrates excellent diagnostic accuracy in detecting biochemical recurrence of prostate cancer. The modality is highly sensitive even at low PSA levels and effectively identifies local recurrence, nodal disease, and distant metastases. Ga-68 PSMA PET-CT should be considered an important imaging tool for early detection and management planning in recurrent prostate cancer.</w:t>
      </w:r>
    </w:p>
    <w:p w:rsidR="00746C27" w:rsidRPr="00466C93" w:rsidRDefault="00746C27" w:rsidP="00466C93">
      <w:pPr>
        <w:spacing w:after="0"/>
        <w:jc w:val="both"/>
        <w:rPr>
          <w:rFonts w:ascii="Times New Roman" w:hAnsi="Times New Roman" w:cs="Times New Roman"/>
          <w:sz w:val="20"/>
          <w:szCs w:val="20"/>
        </w:rPr>
      </w:pPr>
    </w:p>
    <w:p w:rsidR="00746C27" w:rsidRPr="00466C93" w:rsidRDefault="00746C27" w:rsidP="00466C93">
      <w:pPr>
        <w:spacing w:after="0"/>
        <w:jc w:val="both"/>
        <w:rPr>
          <w:rFonts w:ascii="Times New Roman" w:hAnsi="Times New Roman" w:cs="Times New Roman"/>
          <w:b/>
          <w:bCs/>
          <w:sz w:val="20"/>
          <w:szCs w:val="20"/>
        </w:rPr>
      </w:pPr>
      <w:r w:rsidRPr="00466C93">
        <w:rPr>
          <w:rFonts w:ascii="Times New Roman" w:hAnsi="Times New Roman" w:cs="Times New Roman"/>
          <w:b/>
          <w:bCs/>
          <w:sz w:val="20"/>
          <w:szCs w:val="20"/>
        </w:rPr>
        <w:t>REFERENCES</w:t>
      </w:r>
    </w:p>
    <w:p w:rsidR="00746C27" w:rsidRPr="00466C93" w:rsidRDefault="00746C27" w:rsidP="00466C93">
      <w:pPr>
        <w:numPr>
          <w:ilvl w:val="0"/>
          <w:numId w:val="6"/>
        </w:numPr>
        <w:spacing w:after="0"/>
        <w:jc w:val="both"/>
        <w:rPr>
          <w:rFonts w:ascii="Times New Roman" w:hAnsi="Times New Roman" w:cs="Times New Roman"/>
          <w:sz w:val="20"/>
          <w:szCs w:val="20"/>
        </w:rPr>
      </w:pPr>
      <w:r w:rsidRPr="00466C93">
        <w:rPr>
          <w:rFonts w:ascii="Times New Roman" w:hAnsi="Times New Roman" w:cs="Times New Roman"/>
          <w:sz w:val="20"/>
          <w:szCs w:val="20"/>
        </w:rPr>
        <w:t xml:space="preserve">Afshar-Oromieh A, Haberkorn U, Schlemmer HP, et al. Comparison of PET imaging with Ga-68 PSMA and F-18 choline in recurrent prostate cancer. Eur J Nucl Med Mol Imaging. 2014;41(1):11-20. </w:t>
      </w:r>
    </w:p>
    <w:p w:rsidR="00746C27" w:rsidRPr="00466C93" w:rsidRDefault="00746C27" w:rsidP="00466C93">
      <w:pPr>
        <w:numPr>
          <w:ilvl w:val="0"/>
          <w:numId w:val="6"/>
        </w:numPr>
        <w:spacing w:after="0"/>
        <w:jc w:val="both"/>
        <w:rPr>
          <w:rFonts w:ascii="Times New Roman" w:hAnsi="Times New Roman" w:cs="Times New Roman"/>
          <w:sz w:val="20"/>
          <w:szCs w:val="20"/>
        </w:rPr>
      </w:pPr>
      <w:r w:rsidRPr="00466C93">
        <w:rPr>
          <w:rFonts w:ascii="Times New Roman" w:hAnsi="Times New Roman" w:cs="Times New Roman"/>
          <w:sz w:val="20"/>
          <w:szCs w:val="20"/>
        </w:rPr>
        <w:t xml:space="preserve">Eiber M, Maurer T, Souvatzoglou M, et al. Evaluation of hybrid Ga-68 PSMA ligand PET/CT in recurrent prostate cancer. J Nucl Med. 2015;56(5):668-674. </w:t>
      </w:r>
    </w:p>
    <w:p w:rsidR="00746C27" w:rsidRPr="00466C93" w:rsidRDefault="00746C27" w:rsidP="00466C93">
      <w:pPr>
        <w:numPr>
          <w:ilvl w:val="0"/>
          <w:numId w:val="6"/>
        </w:numPr>
        <w:spacing w:after="0"/>
        <w:jc w:val="both"/>
        <w:rPr>
          <w:rFonts w:ascii="Times New Roman" w:hAnsi="Times New Roman" w:cs="Times New Roman"/>
          <w:sz w:val="20"/>
          <w:szCs w:val="20"/>
        </w:rPr>
      </w:pPr>
      <w:r w:rsidRPr="00466C93">
        <w:rPr>
          <w:rFonts w:ascii="Times New Roman" w:hAnsi="Times New Roman" w:cs="Times New Roman"/>
          <w:sz w:val="20"/>
          <w:szCs w:val="20"/>
        </w:rPr>
        <w:t xml:space="preserve">Perera M, Papa N, Roberts M, et al. Gallium-68 PSMA PET for recurrent prostate cancer: A systematic review. Eur Urol. 2016;70(6):926-937. </w:t>
      </w:r>
    </w:p>
    <w:p w:rsidR="00746C27" w:rsidRPr="00466C93" w:rsidRDefault="00746C27" w:rsidP="00466C93">
      <w:pPr>
        <w:numPr>
          <w:ilvl w:val="0"/>
          <w:numId w:val="6"/>
        </w:numPr>
        <w:spacing w:after="0"/>
        <w:jc w:val="both"/>
        <w:rPr>
          <w:rFonts w:ascii="Times New Roman" w:hAnsi="Times New Roman" w:cs="Times New Roman"/>
          <w:sz w:val="20"/>
          <w:szCs w:val="20"/>
        </w:rPr>
      </w:pPr>
      <w:r w:rsidRPr="00466C93">
        <w:rPr>
          <w:rFonts w:ascii="Times New Roman" w:hAnsi="Times New Roman" w:cs="Times New Roman"/>
          <w:sz w:val="20"/>
          <w:szCs w:val="20"/>
        </w:rPr>
        <w:t>Fendler WP, Calais J, Eiber M, et al. Assessment of Ga-68 PSMA PET accuracy in prostate can</w:t>
      </w:r>
      <w:r w:rsidR="00A34FDD" w:rsidRPr="00466C93">
        <w:rPr>
          <w:rFonts w:ascii="Times New Roman" w:hAnsi="Times New Roman" w:cs="Times New Roman"/>
          <w:sz w:val="20"/>
          <w:szCs w:val="20"/>
        </w:rPr>
        <w:t>cer recurrence. JAMA Oncol. 2018</w:t>
      </w:r>
      <w:r w:rsidRPr="00466C93">
        <w:rPr>
          <w:rFonts w:ascii="Times New Roman" w:hAnsi="Times New Roman" w:cs="Times New Roman"/>
          <w:sz w:val="20"/>
          <w:szCs w:val="20"/>
        </w:rPr>
        <w:t xml:space="preserve">;5(6):856-863. </w:t>
      </w:r>
    </w:p>
    <w:p w:rsidR="00746C27" w:rsidRPr="00466C93" w:rsidRDefault="00746C27" w:rsidP="00466C93">
      <w:pPr>
        <w:numPr>
          <w:ilvl w:val="0"/>
          <w:numId w:val="6"/>
        </w:numPr>
        <w:spacing w:after="0"/>
        <w:jc w:val="both"/>
        <w:rPr>
          <w:rFonts w:ascii="Times New Roman" w:hAnsi="Times New Roman" w:cs="Times New Roman"/>
          <w:sz w:val="20"/>
          <w:szCs w:val="20"/>
        </w:rPr>
      </w:pPr>
      <w:r w:rsidRPr="00466C93">
        <w:rPr>
          <w:rFonts w:ascii="Times New Roman" w:hAnsi="Times New Roman" w:cs="Times New Roman"/>
          <w:sz w:val="20"/>
          <w:szCs w:val="20"/>
        </w:rPr>
        <w:t xml:space="preserve">Hofman MS, Hicks RJ, Maurer T, Eiber M. Prostate-specific membrane antigen PET imaging in prostate cancer. Lancet. 2018;395(10231):1208-1220. </w:t>
      </w:r>
    </w:p>
    <w:p w:rsidR="00746C27" w:rsidRPr="00466C93" w:rsidRDefault="00746C27" w:rsidP="00466C93">
      <w:pPr>
        <w:numPr>
          <w:ilvl w:val="0"/>
          <w:numId w:val="6"/>
        </w:numPr>
        <w:spacing w:after="0"/>
        <w:jc w:val="both"/>
        <w:rPr>
          <w:rFonts w:ascii="Times New Roman" w:hAnsi="Times New Roman" w:cs="Times New Roman"/>
          <w:sz w:val="20"/>
          <w:szCs w:val="20"/>
        </w:rPr>
      </w:pPr>
      <w:r w:rsidRPr="00466C93">
        <w:rPr>
          <w:rFonts w:ascii="Times New Roman" w:hAnsi="Times New Roman" w:cs="Times New Roman"/>
          <w:sz w:val="20"/>
          <w:szCs w:val="20"/>
        </w:rPr>
        <w:t xml:space="preserve">Maurer T, Gschwend JE, Rauscher I, et al. Diagnostic efficacy of Ga-68 PSMA PET in prostate cancer recurrence. Eur Urol. 2016;70(5):829-836. </w:t>
      </w:r>
    </w:p>
    <w:p w:rsidR="00746C27" w:rsidRPr="00466C93" w:rsidRDefault="00746C27" w:rsidP="00466C93">
      <w:pPr>
        <w:numPr>
          <w:ilvl w:val="0"/>
          <w:numId w:val="6"/>
        </w:numPr>
        <w:spacing w:after="0"/>
        <w:jc w:val="both"/>
        <w:rPr>
          <w:rFonts w:ascii="Times New Roman" w:hAnsi="Times New Roman" w:cs="Times New Roman"/>
          <w:sz w:val="20"/>
          <w:szCs w:val="20"/>
        </w:rPr>
      </w:pPr>
      <w:r w:rsidRPr="00466C93">
        <w:rPr>
          <w:rFonts w:ascii="Times New Roman" w:hAnsi="Times New Roman" w:cs="Times New Roman"/>
          <w:sz w:val="20"/>
          <w:szCs w:val="20"/>
        </w:rPr>
        <w:t xml:space="preserve">Ceci F, Uprimny C, Nilica B, et al. Ga-68 PSMA PET/CT for restaging recurrent prostate cancer. Eur J Nucl Med Mol Imaging. 2015;42(13):1956-1963. </w:t>
      </w:r>
    </w:p>
    <w:p w:rsidR="00746C27" w:rsidRPr="00466C93" w:rsidRDefault="00746C27" w:rsidP="00466C93">
      <w:pPr>
        <w:numPr>
          <w:ilvl w:val="0"/>
          <w:numId w:val="6"/>
        </w:numPr>
        <w:spacing w:after="0"/>
        <w:jc w:val="both"/>
        <w:rPr>
          <w:rFonts w:ascii="Times New Roman" w:hAnsi="Times New Roman" w:cs="Times New Roman"/>
          <w:sz w:val="20"/>
          <w:szCs w:val="20"/>
        </w:rPr>
      </w:pPr>
      <w:r w:rsidRPr="00466C93">
        <w:rPr>
          <w:rFonts w:ascii="Times New Roman" w:hAnsi="Times New Roman" w:cs="Times New Roman"/>
          <w:sz w:val="20"/>
          <w:szCs w:val="20"/>
        </w:rPr>
        <w:t xml:space="preserve">Afshar-Oromieh A, Avtzi E, Giesel FL, et al. The diagnostic value of PET/CT imaging with Ga-68 PSMA ligand. Eur J Nucl Med Mol Imaging. 2015;42(2):197-209. </w:t>
      </w:r>
    </w:p>
    <w:p w:rsidR="00746C27" w:rsidRPr="00466C93" w:rsidRDefault="00746C27" w:rsidP="00466C93">
      <w:pPr>
        <w:numPr>
          <w:ilvl w:val="0"/>
          <w:numId w:val="6"/>
        </w:numPr>
        <w:spacing w:after="0"/>
        <w:jc w:val="both"/>
        <w:rPr>
          <w:rFonts w:ascii="Times New Roman" w:hAnsi="Times New Roman" w:cs="Times New Roman"/>
          <w:sz w:val="20"/>
          <w:szCs w:val="20"/>
        </w:rPr>
      </w:pPr>
      <w:r w:rsidRPr="00466C93">
        <w:rPr>
          <w:rFonts w:ascii="Times New Roman" w:hAnsi="Times New Roman" w:cs="Times New Roman"/>
          <w:sz w:val="20"/>
          <w:szCs w:val="20"/>
        </w:rPr>
        <w:t xml:space="preserve">Rowe SP, Macura KJ, Mena E, et al. PSMA-based detection of recurrent prostate cancer. AJR Am J Roentgenol. 2016;207(4):676-684. </w:t>
      </w:r>
    </w:p>
    <w:p w:rsidR="00746C27" w:rsidRPr="00466C93" w:rsidRDefault="00746C27" w:rsidP="00466C93">
      <w:pPr>
        <w:numPr>
          <w:ilvl w:val="0"/>
          <w:numId w:val="6"/>
        </w:numPr>
        <w:spacing w:after="0"/>
        <w:jc w:val="both"/>
        <w:rPr>
          <w:rFonts w:ascii="Times New Roman" w:hAnsi="Times New Roman" w:cs="Times New Roman"/>
          <w:sz w:val="20"/>
          <w:szCs w:val="20"/>
        </w:rPr>
      </w:pPr>
      <w:r w:rsidRPr="00466C93">
        <w:rPr>
          <w:rFonts w:ascii="Times New Roman" w:hAnsi="Times New Roman" w:cs="Times New Roman"/>
          <w:sz w:val="20"/>
          <w:szCs w:val="20"/>
        </w:rPr>
        <w:t xml:space="preserve">Hope TA, Goodman JZ, Allen IE, et al. Meta-analysis of PSMA PET detection rates. J Nucl Med. 2017;58(12):1955-1961. </w:t>
      </w:r>
    </w:p>
    <w:p w:rsidR="00746C27" w:rsidRPr="00466C93" w:rsidRDefault="00746C27" w:rsidP="00466C93">
      <w:pPr>
        <w:numPr>
          <w:ilvl w:val="0"/>
          <w:numId w:val="6"/>
        </w:numPr>
        <w:spacing w:after="0"/>
        <w:jc w:val="both"/>
        <w:rPr>
          <w:rFonts w:ascii="Times New Roman" w:hAnsi="Times New Roman" w:cs="Times New Roman"/>
          <w:sz w:val="20"/>
          <w:szCs w:val="20"/>
        </w:rPr>
      </w:pPr>
      <w:r w:rsidRPr="00466C93">
        <w:rPr>
          <w:rFonts w:ascii="Times New Roman" w:hAnsi="Times New Roman" w:cs="Times New Roman"/>
          <w:sz w:val="20"/>
          <w:szCs w:val="20"/>
        </w:rPr>
        <w:t xml:space="preserve">Calais J, Czernin J, Cao M, et al. PSMA PET imaging and radiotherapy planning in recurrent prostate cancer. J Nucl Med. 2018;59(2):230-237. </w:t>
      </w:r>
    </w:p>
    <w:p w:rsidR="00746C27" w:rsidRPr="00466C93" w:rsidRDefault="00746C27" w:rsidP="00466C93">
      <w:pPr>
        <w:numPr>
          <w:ilvl w:val="0"/>
          <w:numId w:val="6"/>
        </w:numPr>
        <w:spacing w:after="0"/>
        <w:jc w:val="both"/>
        <w:rPr>
          <w:rFonts w:ascii="Times New Roman" w:hAnsi="Times New Roman" w:cs="Times New Roman"/>
          <w:sz w:val="20"/>
          <w:szCs w:val="20"/>
        </w:rPr>
      </w:pPr>
      <w:r w:rsidRPr="00466C93">
        <w:rPr>
          <w:rFonts w:ascii="Times New Roman" w:hAnsi="Times New Roman" w:cs="Times New Roman"/>
          <w:sz w:val="20"/>
          <w:szCs w:val="20"/>
        </w:rPr>
        <w:t xml:space="preserve">Morigi JJ, Stricker PD, van Leeuwen PJ, et al. Prospective comparison of Ga-68 PSMA PET and choline PET in recurrent prostate cancer. J Nucl Med. 2015;56(8):1185-1190. </w:t>
      </w:r>
    </w:p>
    <w:p w:rsidR="00D84740" w:rsidRPr="00466C93" w:rsidRDefault="00D84740" w:rsidP="00466C93">
      <w:pPr>
        <w:spacing w:after="0"/>
        <w:jc w:val="both"/>
        <w:rPr>
          <w:rFonts w:ascii="Times New Roman" w:hAnsi="Times New Roman" w:cs="Times New Roman"/>
          <w:sz w:val="20"/>
          <w:szCs w:val="20"/>
        </w:rPr>
      </w:pPr>
    </w:p>
    <w:sectPr w:rsidR="00D84740" w:rsidRPr="00466C93" w:rsidSect="00466C93">
      <w:headerReference w:type="default" r:id="rId8"/>
      <w:footerReference w:type="default" r:id="rId9"/>
      <w:pgSz w:w="11906" w:h="16838"/>
      <w:pgMar w:top="1440" w:right="1440" w:bottom="1440" w:left="1440" w:header="720" w:footer="720" w:gutter="0"/>
      <w:pgNumType w:start="12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BBB" w:rsidRDefault="007A2BBB" w:rsidP="00746C27">
      <w:pPr>
        <w:spacing w:after="0" w:line="240" w:lineRule="auto"/>
      </w:pPr>
      <w:r>
        <w:separator/>
      </w:r>
    </w:p>
  </w:endnote>
  <w:endnote w:type="continuationSeparator" w:id="0">
    <w:p w:rsidR="007A2BBB" w:rsidRDefault="007A2BBB" w:rsidP="00746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5164897"/>
      <w:docPartObj>
        <w:docPartGallery w:val="Page Numbers (Bottom of Page)"/>
        <w:docPartUnique/>
      </w:docPartObj>
    </w:sdtPr>
    <w:sdtEndPr>
      <w:rPr>
        <w:noProof/>
      </w:rPr>
    </w:sdtEndPr>
    <w:sdtContent>
      <w:p w:rsidR="00466C93" w:rsidRDefault="00466C93">
        <w:pPr>
          <w:pStyle w:val="Footer"/>
          <w:jc w:val="right"/>
        </w:pPr>
        <w:r>
          <w:fldChar w:fldCharType="begin"/>
        </w:r>
        <w:r>
          <w:instrText xml:space="preserve"> PAGE   \* MERGEFORMAT </w:instrText>
        </w:r>
        <w:r>
          <w:fldChar w:fldCharType="separate"/>
        </w:r>
        <w:r w:rsidR="007A2BBB">
          <w:rPr>
            <w:noProof/>
          </w:rPr>
          <w:t>123</w:t>
        </w:r>
        <w:r>
          <w:rPr>
            <w:noProof/>
          </w:rPr>
          <w:fldChar w:fldCharType="end"/>
        </w:r>
      </w:p>
    </w:sdtContent>
  </w:sdt>
  <w:p w:rsidR="00466C93" w:rsidRPr="00915EFB" w:rsidRDefault="00466C93" w:rsidP="00466C93">
    <w:pPr>
      <w:pStyle w:val="Footer"/>
      <w:rPr>
        <w:rFonts w:ascii="Times New Roman" w:hAnsi="Times New Roman" w:cs="Times New Roman"/>
        <w:sz w:val="20"/>
        <w:szCs w:val="20"/>
        <w:lang w:val="en-US"/>
      </w:rPr>
    </w:pPr>
    <w:r w:rsidRPr="00915EFB">
      <w:rPr>
        <w:rFonts w:ascii="Times New Roman" w:hAnsi="Times New Roman" w:cs="Times New Roman"/>
        <w:sz w:val="20"/>
        <w:szCs w:val="20"/>
        <w:lang w:val="en-US"/>
      </w:rPr>
      <w:t>www.ijbamr.com   P ISSN: 2250-284X, E ISSN: 2250-2858</w:t>
    </w:r>
  </w:p>
  <w:p w:rsidR="00466C93" w:rsidRDefault="00466C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BBB" w:rsidRDefault="007A2BBB" w:rsidP="00746C27">
      <w:pPr>
        <w:spacing w:after="0" w:line="240" w:lineRule="auto"/>
      </w:pPr>
      <w:r>
        <w:separator/>
      </w:r>
    </w:p>
  </w:footnote>
  <w:footnote w:type="continuationSeparator" w:id="0">
    <w:p w:rsidR="007A2BBB" w:rsidRDefault="007A2BBB" w:rsidP="00746C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C93" w:rsidRPr="00915EFB" w:rsidRDefault="00466C93" w:rsidP="00466C93">
    <w:pPr>
      <w:tabs>
        <w:tab w:val="center" w:pos="4680"/>
        <w:tab w:val="right" w:pos="9360"/>
      </w:tabs>
      <w:spacing w:after="0" w:line="240" w:lineRule="auto"/>
      <w:rPr>
        <w:rFonts w:ascii="Cambria" w:eastAsia="Calibri" w:hAnsi="Cambria" w:cs="SimSun"/>
        <w:sz w:val="18"/>
        <w:szCs w:val="18"/>
        <w:lang w:val="en-US"/>
      </w:rPr>
    </w:pPr>
    <w:r w:rsidRPr="00915EFB">
      <w:rPr>
        <w:rFonts w:ascii="Cambria" w:eastAsia="Calibri" w:hAnsi="Cambria" w:cs="SimSun"/>
        <w:sz w:val="18"/>
        <w:szCs w:val="18"/>
        <w:lang w:val="en-US"/>
      </w:rPr>
      <w:t>Indian Journal of Basic and Applied Medical Research; March 2022: Vol.-11, Issue- 2, P. 1</w:t>
    </w:r>
    <w:r>
      <w:rPr>
        <w:rFonts w:ascii="Cambria" w:eastAsia="Calibri" w:hAnsi="Cambria" w:cs="SimSun"/>
        <w:sz w:val="18"/>
        <w:szCs w:val="18"/>
        <w:lang w:val="en-US"/>
      </w:rPr>
      <w:t xml:space="preserve">23 – 127 </w:t>
    </w:r>
    <w:r w:rsidRPr="00915EFB">
      <w:rPr>
        <w:rFonts w:ascii="Cambria" w:eastAsia="Calibri" w:hAnsi="Cambria" w:cs="SimSun"/>
        <w:sz w:val="18"/>
        <w:szCs w:val="18"/>
        <w:lang w:val="en-US"/>
      </w:rPr>
      <w:t xml:space="preserve"> </w:t>
    </w:r>
  </w:p>
  <w:p w:rsidR="00746C27" w:rsidRPr="00466C93" w:rsidRDefault="00466C93" w:rsidP="00466C93">
    <w:pPr>
      <w:tabs>
        <w:tab w:val="center" w:pos="4680"/>
        <w:tab w:val="right" w:pos="9360"/>
      </w:tabs>
      <w:spacing w:after="0" w:line="240" w:lineRule="auto"/>
      <w:rPr>
        <w:rFonts w:ascii="Calibri" w:eastAsia="Calibri" w:hAnsi="Calibri" w:cs="SimSun"/>
        <w:sz w:val="18"/>
        <w:szCs w:val="18"/>
        <w:lang w:val="en-US"/>
      </w:rPr>
    </w:pPr>
    <w:r w:rsidRPr="00915EFB">
      <w:rPr>
        <w:rFonts w:ascii="Cambria" w:eastAsia="Calibri" w:hAnsi="Cambria" w:cs="SimSun"/>
        <w:sz w:val="18"/>
        <w:szCs w:val="18"/>
        <w:lang w:val="en-US"/>
      </w:rPr>
      <w:t xml:space="preserve">DOI: </w:t>
    </w:r>
    <w:r>
      <w:rPr>
        <w:rFonts w:ascii="Cambria" w:eastAsia="Calibri" w:hAnsi="Cambria" w:cs="SimSun"/>
        <w:sz w:val="18"/>
        <w:szCs w:val="18"/>
        <w:lang w:val="en-US"/>
      </w:rPr>
      <w:t>10.36855/IJBAMR/2022/95215.55157</w:t>
    </w:r>
  </w:p>
  <w:p w:rsidR="00746C27" w:rsidRDefault="00746C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1E29F7"/>
    <w:multiLevelType w:val="multilevel"/>
    <w:tmpl w:val="5BE4C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CA16436"/>
    <w:multiLevelType w:val="multilevel"/>
    <w:tmpl w:val="73B69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3295C95"/>
    <w:multiLevelType w:val="multilevel"/>
    <w:tmpl w:val="1ABE6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8345D7B"/>
    <w:multiLevelType w:val="multilevel"/>
    <w:tmpl w:val="FB5ED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6FD6F5D"/>
    <w:multiLevelType w:val="multilevel"/>
    <w:tmpl w:val="3926B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F238D2"/>
    <w:multiLevelType w:val="multilevel"/>
    <w:tmpl w:val="1D6C3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C27"/>
    <w:rsid w:val="0021452C"/>
    <w:rsid w:val="00466C93"/>
    <w:rsid w:val="00746C27"/>
    <w:rsid w:val="007A2BBB"/>
    <w:rsid w:val="00990AC2"/>
    <w:rsid w:val="0099525E"/>
    <w:rsid w:val="00A31C0B"/>
    <w:rsid w:val="00A34FDD"/>
    <w:rsid w:val="00BA5AA2"/>
    <w:rsid w:val="00BC1466"/>
    <w:rsid w:val="00D64D92"/>
    <w:rsid w:val="00D84740"/>
    <w:rsid w:val="00F0054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C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6C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6C27"/>
  </w:style>
  <w:style w:type="paragraph" w:styleId="Footer">
    <w:name w:val="footer"/>
    <w:basedOn w:val="Normal"/>
    <w:link w:val="FooterChar"/>
    <w:uiPriority w:val="99"/>
    <w:unhideWhenUsed/>
    <w:rsid w:val="00746C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6C27"/>
  </w:style>
  <w:style w:type="paragraph" w:styleId="BalloonText">
    <w:name w:val="Balloon Text"/>
    <w:basedOn w:val="Normal"/>
    <w:link w:val="BalloonTextChar"/>
    <w:uiPriority w:val="99"/>
    <w:semiHidden/>
    <w:unhideWhenUsed/>
    <w:rsid w:val="00746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6C27"/>
    <w:rPr>
      <w:rFonts w:ascii="Tahoma" w:hAnsi="Tahoma" w:cs="Tahoma"/>
      <w:sz w:val="16"/>
      <w:szCs w:val="16"/>
    </w:rPr>
  </w:style>
  <w:style w:type="table" w:styleId="TableGrid">
    <w:name w:val="Table Grid"/>
    <w:basedOn w:val="TableNormal"/>
    <w:uiPriority w:val="59"/>
    <w:rsid w:val="00990A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C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6C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6C27"/>
  </w:style>
  <w:style w:type="paragraph" w:styleId="Footer">
    <w:name w:val="footer"/>
    <w:basedOn w:val="Normal"/>
    <w:link w:val="FooterChar"/>
    <w:uiPriority w:val="99"/>
    <w:unhideWhenUsed/>
    <w:rsid w:val="00746C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6C27"/>
  </w:style>
  <w:style w:type="paragraph" w:styleId="BalloonText">
    <w:name w:val="Balloon Text"/>
    <w:basedOn w:val="Normal"/>
    <w:link w:val="BalloonTextChar"/>
    <w:uiPriority w:val="99"/>
    <w:semiHidden/>
    <w:unhideWhenUsed/>
    <w:rsid w:val="00746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6C27"/>
    <w:rPr>
      <w:rFonts w:ascii="Tahoma" w:hAnsi="Tahoma" w:cs="Tahoma"/>
      <w:sz w:val="16"/>
      <w:szCs w:val="16"/>
    </w:rPr>
  </w:style>
  <w:style w:type="table" w:styleId="TableGrid">
    <w:name w:val="Table Grid"/>
    <w:basedOn w:val="TableNormal"/>
    <w:uiPriority w:val="59"/>
    <w:rsid w:val="00990A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684885">
      <w:bodyDiv w:val="1"/>
      <w:marLeft w:val="0"/>
      <w:marRight w:val="0"/>
      <w:marTop w:val="0"/>
      <w:marBottom w:val="0"/>
      <w:divBdr>
        <w:top w:val="none" w:sz="0" w:space="0" w:color="auto"/>
        <w:left w:val="none" w:sz="0" w:space="0" w:color="auto"/>
        <w:bottom w:val="none" w:sz="0" w:space="0" w:color="auto"/>
        <w:right w:val="none" w:sz="0" w:space="0" w:color="auto"/>
      </w:divBdr>
      <w:divsChild>
        <w:div w:id="1235581250">
          <w:marLeft w:val="0"/>
          <w:marRight w:val="0"/>
          <w:marTop w:val="0"/>
          <w:marBottom w:val="0"/>
          <w:divBdr>
            <w:top w:val="none" w:sz="0" w:space="0" w:color="auto"/>
            <w:left w:val="none" w:sz="0" w:space="0" w:color="auto"/>
            <w:bottom w:val="none" w:sz="0" w:space="0" w:color="auto"/>
            <w:right w:val="none" w:sz="0" w:space="0" w:color="auto"/>
          </w:divBdr>
          <w:divsChild>
            <w:div w:id="945190976">
              <w:marLeft w:val="0"/>
              <w:marRight w:val="0"/>
              <w:marTop w:val="0"/>
              <w:marBottom w:val="0"/>
              <w:divBdr>
                <w:top w:val="none" w:sz="0" w:space="0" w:color="auto"/>
                <w:left w:val="none" w:sz="0" w:space="0" w:color="auto"/>
                <w:bottom w:val="none" w:sz="0" w:space="0" w:color="auto"/>
                <w:right w:val="none" w:sz="0" w:space="0" w:color="auto"/>
              </w:divBdr>
              <w:divsChild>
                <w:div w:id="1047098101">
                  <w:marLeft w:val="0"/>
                  <w:marRight w:val="0"/>
                  <w:marTop w:val="0"/>
                  <w:marBottom w:val="0"/>
                  <w:divBdr>
                    <w:top w:val="none" w:sz="0" w:space="0" w:color="auto"/>
                    <w:left w:val="none" w:sz="0" w:space="0" w:color="auto"/>
                    <w:bottom w:val="none" w:sz="0" w:space="0" w:color="auto"/>
                    <w:right w:val="none" w:sz="0" w:space="0" w:color="auto"/>
                  </w:divBdr>
                  <w:divsChild>
                    <w:div w:id="1594438264">
                      <w:marLeft w:val="0"/>
                      <w:marRight w:val="0"/>
                      <w:marTop w:val="0"/>
                      <w:marBottom w:val="0"/>
                      <w:divBdr>
                        <w:top w:val="none" w:sz="0" w:space="0" w:color="auto"/>
                        <w:left w:val="none" w:sz="0" w:space="0" w:color="auto"/>
                        <w:bottom w:val="none" w:sz="0" w:space="0" w:color="auto"/>
                        <w:right w:val="none" w:sz="0" w:space="0" w:color="auto"/>
                      </w:divBdr>
                      <w:divsChild>
                        <w:div w:id="988747663">
                          <w:marLeft w:val="0"/>
                          <w:marRight w:val="0"/>
                          <w:marTop w:val="0"/>
                          <w:marBottom w:val="0"/>
                          <w:divBdr>
                            <w:top w:val="none" w:sz="0" w:space="0" w:color="auto"/>
                            <w:left w:val="none" w:sz="0" w:space="0" w:color="auto"/>
                            <w:bottom w:val="none" w:sz="0" w:space="0" w:color="auto"/>
                            <w:right w:val="none" w:sz="0" w:space="0" w:color="auto"/>
                          </w:divBdr>
                          <w:divsChild>
                            <w:div w:id="2015454233">
                              <w:marLeft w:val="0"/>
                              <w:marRight w:val="0"/>
                              <w:marTop w:val="0"/>
                              <w:marBottom w:val="0"/>
                              <w:divBdr>
                                <w:top w:val="none" w:sz="0" w:space="0" w:color="auto"/>
                                <w:left w:val="none" w:sz="0" w:space="0" w:color="auto"/>
                                <w:bottom w:val="none" w:sz="0" w:space="0" w:color="auto"/>
                                <w:right w:val="none" w:sz="0" w:space="0" w:color="auto"/>
                              </w:divBdr>
                              <w:divsChild>
                                <w:div w:id="1807771952">
                                  <w:marLeft w:val="0"/>
                                  <w:marRight w:val="0"/>
                                  <w:marTop w:val="0"/>
                                  <w:marBottom w:val="0"/>
                                  <w:divBdr>
                                    <w:top w:val="none" w:sz="0" w:space="0" w:color="auto"/>
                                    <w:left w:val="none" w:sz="0" w:space="0" w:color="auto"/>
                                    <w:bottom w:val="none" w:sz="0" w:space="0" w:color="auto"/>
                                    <w:right w:val="none" w:sz="0" w:space="0" w:color="auto"/>
                                  </w:divBdr>
                                  <w:divsChild>
                                    <w:div w:id="918056086">
                                      <w:marLeft w:val="0"/>
                                      <w:marRight w:val="0"/>
                                      <w:marTop w:val="0"/>
                                      <w:marBottom w:val="0"/>
                                      <w:divBdr>
                                        <w:top w:val="none" w:sz="0" w:space="0" w:color="auto"/>
                                        <w:left w:val="none" w:sz="0" w:space="0" w:color="auto"/>
                                        <w:bottom w:val="none" w:sz="0" w:space="0" w:color="auto"/>
                                        <w:right w:val="none" w:sz="0" w:space="0" w:color="auto"/>
                                      </w:divBdr>
                                      <w:divsChild>
                                        <w:div w:id="350037975">
                                          <w:marLeft w:val="0"/>
                                          <w:marRight w:val="0"/>
                                          <w:marTop w:val="0"/>
                                          <w:marBottom w:val="0"/>
                                          <w:divBdr>
                                            <w:top w:val="none" w:sz="0" w:space="0" w:color="auto"/>
                                            <w:left w:val="none" w:sz="0" w:space="0" w:color="auto"/>
                                            <w:bottom w:val="none" w:sz="0" w:space="0" w:color="auto"/>
                                            <w:right w:val="none" w:sz="0" w:space="0" w:color="auto"/>
                                          </w:divBdr>
                                          <w:divsChild>
                                            <w:div w:id="67193038">
                                              <w:marLeft w:val="0"/>
                                              <w:marRight w:val="0"/>
                                              <w:marTop w:val="0"/>
                                              <w:marBottom w:val="0"/>
                                              <w:divBdr>
                                                <w:top w:val="none" w:sz="0" w:space="0" w:color="auto"/>
                                                <w:left w:val="none" w:sz="0" w:space="0" w:color="auto"/>
                                                <w:bottom w:val="none" w:sz="0" w:space="0" w:color="auto"/>
                                                <w:right w:val="none" w:sz="0" w:space="0" w:color="auto"/>
                                              </w:divBdr>
                                            </w:div>
                                          </w:divsChild>
                                        </w:div>
                                        <w:div w:id="1979920643">
                                          <w:marLeft w:val="0"/>
                                          <w:marRight w:val="0"/>
                                          <w:marTop w:val="0"/>
                                          <w:marBottom w:val="0"/>
                                          <w:divBdr>
                                            <w:top w:val="none" w:sz="0" w:space="0" w:color="auto"/>
                                            <w:left w:val="none" w:sz="0" w:space="0" w:color="auto"/>
                                            <w:bottom w:val="none" w:sz="0" w:space="0" w:color="auto"/>
                                            <w:right w:val="none" w:sz="0" w:space="0" w:color="auto"/>
                                          </w:divBdr>
                                          <w:divsChild>
                                            <w:div w:id="55520179">
                                              <w:marLeft w:val="0"/>
                                              <w:marRight w:val="0"/>
                                              <w:marTop w:val="0"/>
                                              <w:marBottom w:val="0"/>
                                              <w:divBdr>
                                                <w:top w:val="none" w:sz="0" w:space="0" w:color="auto"/>
                                                <w:left w:val="none" w:sz="0" w:space="0" w:color="auto"/>
                                                <w:bottom w:val="none" w:sz="0" w:space="0" w:color="auto"/>
                                                <w:right w:val="none" w:sz="0" w:space="0" w:color="auto"/>
                                              </w:divBdr>
                                            </w:div>
                                          </w:divsChild>
                                        </w:div>
                                        <w:div w:id="71582236">
                                          <w:marLeft w:val="0"/>
                                          <w:marRight w:val="0"/>
                                          <w:marTop w:val="0"/>
                                          <w:marBottom w:val="0"/>
                                          <w:divBdr>
                                            <w:top w:val="none" w:sz="0" w:space="0" w:color="auto"/>
                                            <w:left w:val="none" w:sz="0" w:space="0" w:color="auto"/>
                                            <w:bottom w:val="none" w:sz="0" w:space="0" w:color="auto"/>
                                            <w:right w:val="none" w:sz="0" w:space="0" w:color="auto"/>
                                          </w:divBdr>
                                          <w:divsChild>
                                            <w:div w:id="305401734">
                                              <w:marLeft w:val="0"/>
                                              <w:marRight w:val="0"/>
                                              <w:marTop w:val="0"/>
                                              <w:marBottom w:val="0"/>
                                              <w:divBdr>
                                                <w:top w:val="none" w:sz="0" w:space="0" w:color="auto"/>
                                                <w:left w:val="none" w:sz="0" w:space="0" w:color="auto"/>
                                                <w:bottom w:val="none" w:sz="0" w:space="0" w:color="auto"/>
                                                <w:right w:val="none" w:sz="0" w:space="0" w:color="auto"/>
                                              </w:divBdr>
                                            </w:div>
                                          </w:divsChild>
                                        </w:div>
                                        <w:div w:id="971207236">
                                          <w:marLeft w:val="0"/>
                                          <w:marRight w:val="0"/>
                                          <w:marTop w:val="0"/>
                                          <w:marBottom w:val="0"/>
                                          <w:divBdr>
                                            <w:top w:val="none" w:sz="0" w:space="0" w:color="auto"/>
                                            <w:left w:val="none" w:sz="0" w:space="0" w:color="auto"/>
                                            <w:bottom w:val="none" w:sz="0" w:space="0" w:color="auto"/>
                                            <w:right w:val="none" w:sz="0" w:space="0" w:color="auto"/>
                                          </w:divBdr>
                                          <w:divsChild>
                                            <w:div w:id="178804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1858</Words>
  <Characters>10595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RDRL</dc:creator>
  <cp:lastModifiedBy>RDRL</cp:lastModifiedBy>
  <cp:revision>11</cp:revision>
  <cp:lastPrinted>2026-05-28T17:17:00Z</cp:lastPrinted>
  <dcterms:created xsi:type="dcterms:W3CDTF">2026-05-28T15:31:00Z</dcterms:created>
  <dcterms:modified xsi:type="dcterms:W3CDTF">2026-05-28T17:18:00Z</dcterms:modified>
</cp:coreProperties>
</file>