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EE" w:rsidRDefault="00DE65EE" w:rsidP="00DE65EE">
      <w:pPr>
        <w:pStyle w:val="Default"/>
      </w:pPr>
    </w:p>
    <w:p w:rsidR="00DE65EE" w:rsidRDefault="00DE65EE" w:rsidP="00DE65EE">
      <w:pPr>
        <w:pStyle w:val="Default"/>
        <w:rPr>
          <w:sz w:val="20"/>
          <w:szCs w:val="20"/>
        </w:rPr>
      </w:pPr>
      <w:r>
        <w:t xml:space="preserve"> </w:t>
      </w:r>
      <w:r>
        <w:rPr>
          <w:sz w:val="20"/>
          <w:szCs w:val="20"/>
        </w:rPr>
        <w:t xml:space="preserve">Indian Journal of Basic &amp; Applied Medical Research; March 2014: Vol.-3, Issue- 2, P. 779-783 </w:t>
      </w:r>
    </w:p>
    <w:p w:rsidR="00DE65EE" w:rsidRDefault="00DE65EE" w:rsidP="00DE65EE">
      <w:pPr>
        <w:pStyle w:val="Default"/>
        <w:rPr>
          <w:color w:val="auto"/>
        </w:rPr>
      </w:pPr>
    </w:p>
    <w:p w:rsidR="00DE65EE" w:rsidRDefault="00DE65EE" w:rsidP="00DE65EE">
      <w:pPr>
        <w:pStyle w:val="Default"/>
        <w:rPr>
          <w:color w:val="auto"/>
        </w:rPr>
      </w:pPr>
    </w:p>
    <w:p w:rsidR="00DE65EE" w:rsidRDefault="00DE65EE" w:rsidP="00DE65EE">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DE65EE" w:rsidRDefault="00DE65EE" w:rsidP="00DE65EE">
      <w:pPr>
        <w:pStyle w:val="Default"/>
        <w:rPr>
          <w:rFonts w:ascii="Cambria" w:hAnsi="Cambria" w:cs="Cambria"/>
          <w:b/>
          <w:bCs/>
          <w:color w:val="auto"/>
          <w:sz w:val="23"/>
          <w:szCs w:val="23"/>
        </w:rPr>
      </w:pPr>
    </w:p>
    <w:p w:rsidR="00DE65EE" w:rsidRDefault="00DE65EE" w:rsidP="00DE65EE">
      <w:pPr>
        <w:pStyle w:val="Default"/>
        <w:rPr>
          <w:rFonts w:ascii="Cambria" w:hAnsi="Cambria" w:cs="Cambria"/>
          <w:b/>
          <w:bCs/>
          <w:color w:val="1F487C"/>
          <w:sz w:val="28"/>
          <w:szCs w:val="28"/>
        </w:rPr>
      </w:pPr>
      <w:r>
        <w:rPr>
          <w:rFonts w:ascii="Cambria" w:hAnsi="Cambria" w:cs="Cambria"/>
          <w:b/>
          <w:bCs/>
          <w:color w:val="1F487C"/>
          <w:sz w:val="28"/>
          <w:szCs w:val="28"/>
        </w:rPr>
        <w:t xml:space="preserve">Infection Frequency in the First Year of Life: A Comparison </w:t>
      </w:r>
      <w:proofErr w:type="gramStart"/>
      <w:r>
        <w:rPr>
          <w:rFonts w:ascii="Cambria" w:hAnsi="Cambria" w:cs="Cambria"/>
          <w:b/>
          <w:bCs/>
          <w:color w:val="1F487C"/>
          <w:sz w:val="28"/>
          <w:szCs w:val="28"/>
        </w:rPr>
        <w:t>Between</w:t>
      </w:r>
      <w:proofErr w:type="gramEnd"/>
      <w:r>
        <w:rPr>
          <w:rFonts w:ascii="Cambria" w:hAnsi="Cambria" w:cs="Cambria"/>
          <w:b/>
          <w:bCs/>
          <w:color w:val="1F487C"/>
          <w:sz w:val="28"/>
          <w:szCs w:val="28"/>
        </w:rPr>
        <w:t xml:space="preserve"> Breastfed and Top-Fed Infa</w:t>
      </w:r>
      <w:bookmarkStart w:id="0" w:name="_GoBack"/>
      <w:bookmarkEnd w:id="0"/>
      <w:r>
        <w:rPr>
          <w:rFonts w:ascii="Cambria" w:hAnsi="Cambria" w:cs="Cambria"/>
          <w:b/>
          <w:bCs/>
          <w:color w:val="1F487C"/>
          <w:sz w:val="28"/>
          <w:szCs w:val="28"/>
        </w:rPr>
        <w:t xml:space="preserve">nts </w:t>
      </w:r>
    </w:p>
    <w:p w:rsidR="00DE65EE" w:rsidRDefault="00DE65EE" w:rsidP="00DE65EE">
      <w:pPr>
        <w:pStyle w:val="Default"/>
        <w:rPr>
          <w:sz w:val="28"/>
          <w:szCs w:val="28"/>
        </w:rPr>
      </w:pPr>
    </w:p>
    <w:p w:rsidR="00DE65EE" w:rsidRDefault="00DE65EE" w:rsidP="00DE65EE">
      <w:pPr>
        <w:pStyle w:val="Default"/>
        <w:rPr>
          <w:rFonts w:ascii="Cambria" w:hAnsi="Cambria" w:cs="Cambria"/>
          <w:b/>
          <w:bCs/>
          <w:sz w:val="13"/>
          <w:szCs w:val="13"/>
        </w:rPr>
      </w:pPr>
      <w:proofErr w:type="spellStart"/>
      <w:r>
        <w:rPr>
          <w:rFonts w:ascii="Cambria" w:hAnsi="Cambria" w:cs="Cambria"/>
          <w:b/>
          <w:bCs/>
          <w:sz w:val="20"/>
          <w:szCs w:val="20"/>
        </w:rPr>
        <w:t>Tushar</w:t>
      </w:r>
      <w:proofErr w:type="spellEnd"/>
      <w:r>
        <w:rPr>
          <w:rFonts w:ascii="Cambria" w:hAnsi="Cambria" w:cs="Cambria"/>
          <w:b/>
          <w:bCs/>
          <w:sz w:val="20"/>
          <w:szCs w:val="20"/>
        </w:rPr>
        <w:t xml:space="preserve"> Dashora</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Rakesh</w:t>
      </w:r>
      <w:proofErr w:type="spellEnd"/>
      <w:r>
        <w:rPr>
          <w:rFonts w:ascii="Cambria" w:hAnsi="Cambria" w:cs="Cambria"/>
          <w:b/>
          <w:bCs/>
          <w:sz w:val="20"/>
          <w:szCs w:val="20"/>
        </w:rPr>
        <w:t xml:space="preserve"> Sharma</w:t>
      </w:r>
      <w:r>
        <w:rPr>
          <w:rFonts w:ascii="Cambria" w:hAnsi="Cambria" w:cs="Cambria"/>
          <w:b/>
          <w:bCs/>
          <w:sz w:val="13"/>
          <w:szCs w:val="13"/>
        </w:rPr>
        <w:t xml:space="preserve">2 </w:t>
      </w:r>
    </w:p>
    <w:p w:rsidR="00DE65EE" w:rsidRDefault="00DE65EE" w:rsidP="00DE65EE">
      <w:pPr>
        <w:pStyle w:val="Default"/>
        <w:rPr>
          <w:sz w:val="13"/>
          <w:szCs w:val="13"/>
        </w:rPr>
      </w:pPr>
    </w:p>
    <w:p w:rsidR="00DE65EE" w:rsidRDefault="00DE65EE" w:rsidP="00DE65EE">
      <w:pPr>
        <w:pStyle w:val="Default"/>
        <w:rPr>
          <w:rFonts w:ascii="Cambria" w:hAnsi="Cambria" w:cs="Cambria"/>
          <w:sz w:val="18"/>
          <w:szCs w:val="18"/>
        </w:rPr>
      </w:pPr>
      <w:r>
        <w:rPr>
          <w:rFonts w:ascii="Cambria" w:hAnsi="Cambria" w:cs="Cambria"/>
          <w:sz w:val="12"/>
          <w:szCs w:val="12"/>
        </w:rPr>
        <w:t>1,2</w:t>
      </w:r>
      <w:r>
        <w:rPr>
          <w:rFonts w:ascii="Cambria" w:hAnsi="Cambria" w:cs="Cambria"/>
          <w:sz w:val="18"/>
          <w:szCs w:val="18"/>
        </w:rPr>
        <w:t xml:space="preserve">Assistant Professor, Department of </w:t>
      </w:r>
      <w:proofErr w:type="spellStart"/>
      <w:r>
        <w:rPr>
          <w:rFonts w:ascii="Cambria" w:hAnsi="Cambria" w:cs="Cambria"/>
          <w:sz w:val="18"/>
          <w:szCs w:val="18"/>
        </w:rPr>
        <w:t>Pediatrics</w:t>
      </w:r>
      <w:proofErr w:type="spellEnd"/>
      <w:r>
        <w:rPr>
          <w:rFonts w:ascii="Cambria" w:hAnsi="Cambria" w:cs="Cambria"/>
          <w:sz w:val="18"/>
          <w:szCs w:val="18"/>
        </w:rPr>
        <w:t xml:space="preserve">, NIMS Medical College &amp; Hospital, NIMS University, Jaipur, Rajasthan, India. </w:t>
      </w:r>
    </w:p>
    <w:p w:rsidR="00DE65EE" w:rsidRDefault="00DE65EE" w:rsidP="00DE65EE">
      <w:pPr>
        <w:pStyle w:val="Default"/>
        <w:rPr>
          <w:rFonts w:ascii="Cambria" w:hAnsi="Cambria" w:cs="Cambria"/>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Rakesh</w:t>
      </w:r>
      <w:proofErr w:type="spellEnd"/>
      <w:r>
        <w:rPr>
          <w:rFonts w:ascii="Cambria" w:hAnsi="Cambria" w:cs="Cambria"/>
          <w:sz w:val="18"/>
          <w:szCs w:val="18"/>
        </w:rPr>
        <w:t xml:space="preserve"> Sharma, Assistant Professor, Department of </w:t>
      </w:r>
      <w:proofErr w:type="spellStart"/>
      <w:r>
        <w:rPr>
          <w:rFonts w:ascii="Cambria" w:hAnsi="Cambria" w:cs="Cambria"/>
          <w:sz w:val="18"/>
          <w:szCs w:val="18"/>
        </w:rPr>
        <w:t>Pediatrics</w:t>
      </w:r>
      <w:proofErr w:type="spellEnd"/>
      <w:r>
        <w:rPr>
          <w:rFonts w:ascii="Cambria" w:hAnsi="Cambria" w:cs="Cambria"/>
          <w:sz w:val="18"/>
          <w:szCs w:val="18"/>
        </w:rPr>
        <w:t xml:space="preserve">, NIMS Medical College &amp; Hospital, NIMS University, Jaipur, Rajasthan, India. </w:t>
      </w:r>
    </w:p>
    <w:p w:rsidR="00DE65EE" w:rsidRDefault="00DE65EE" w:rsidP="00DE65EE">
      <w:pPr>
        <w:pStyle w:val="Default"/>
        <w:rPr>
          <w:rFonts w:ascii="Cambria" w:hAnsi="Cambria" w:cs="Cambria"/>
          <w:sz w:val="18"/>
          <w:szCs w:val="18"/>
        </w:rPr>
      </w:pPr>
      <w:r>
        <w:rPr>
          <w:rFonts w:ascii="Cambria" w:hAnsi="Cambria" w:cs="Cambria"/>
          <w:sz w:val="18"/>
          <w:szCs w:val="18"/>
        </w:rPr>
        <w:t xml:space="preserve">Date of submission: 19 February 2014, Date of acceptance: 26 March 2014 </w:t>
      </w:r>
    </w:p>
    <w:p w:rsidR="00DE65EE" w:rsidRDefault="00DE65EE" w:rsidP="00DE65EE">
      <w:pPr>
        <w:pStyle w:val="Default"/>
        <w:rPr>
          <w:sz w:val="18"/>
          <w:szCs w:val="18"/>
        </w:rPr>
      </w:pPr>
    </w:p>
    <w:p w:rsidR="00DE65EE" w:rsidRDefault="00DE65EE" w:rsidP="00DE65EE">
      <w:pPr>
        <w:pStyle w:val="Default"/>
        <w:rPr>
          <w:sz w:val="20"/>
          <w:szCs w:val="20"/>
        </w:rPr>
      </w:pPr>
      <w:r>
        <w:rPr>
          <w:b/>
          <w:bCs/>
          <w:sz w:val="20"/>
          <w:szCs w:val="20"/>
        </w:rPr>
        <w:t xml:space="preserve">Abstract </w:t>
      </w:r>
    </w:p>
    <w:p w:rsidR="00DE65EE" w:rsidRDefault="00DE65EE" w:rsidP="00DE65EE">
      <w:pPr>
        <w:pStyle w:val="Default"/>
        <w:rPr>
          <w:sz w:val="18"/>
          <w:szCs w:val="18"/>
        </w:rPr>
      </w:pPr>
      <w:r>
        <w:rPr>
          <w:b/>
          <w:bCs/>
          <w:sz w:val="18"/>
          <w:szCs w:val="18"/>
        </w:rPr>
        <w:t xml:space="preserve">Background: </w:t>
      </w:r>
      <w:r>
        <w:rPr>
          <w:sz w:val="18"/>
          <w:szCs w:val="18"/>
        </w:rPr>
        <w:t xml:space="preserve">Infancy is characterized by frequent exposure to infectious agents at a time when immune </w:t>
      </w:r>
      <w:proofErr w:type="spellStart"/>
      <w:r>
        <w:rPr>
          <w:sz w:val="18"/>
          <w:szCs w:val="18"/>
        </w:rPr>
        <w:t>defenses</w:t>
      </w:r>
      <w:proofErr w:type="spellEnd"/>
      <w:r>
        <w:rPr>
          <w:sz w:val="18"/>
          <w:szCs w:val="18"/>
        </w:rPr>
        <w:t xml:space="preserve"> are still developing. Early feeding practices may influence how infants respond to these exposures and may affect patterns of illness during the first year of life. </w:t>
      </w:r>
    </w:p>
    <w:p w:rsidR="00DE65EE" w:rsidRDefault="00DE65EE" w:rsidP="00DE65EE">
      <w:pPr>
        <w:pStyle w:val="Default"/>
        <w:rPr>
          <w:sz w:val="18"/>
          <w:szCs w:val="18"/>
        </w:rPr>
      </w:pPr>
      <w:r>
        <w:rPr>
          <w:b/>
          <w:bCs/>
          <w:sz w:val="18"/>
          <w:szCs w:val="18"/>
        </w:rPr>
        <w:t>Objective</w:t>
      </w:r>
      <w:r>
        <w:rPr>
          <w:sz w:val="18"/>
          <w:szCs w:val="18"/>
        </w:rPr>
        <w:t xml:space="preserve">: To examine differences in infection frequency during the first twelve months of life between breastfed and top-fed infants. </w:t>
      </w:r>
    </w:p>
    <w:p w:rsidR="00DE65EE" w:rsidRDefault="00DE65EE" w:rsidP="00DE65EE">
      <w:pPr>
        <w:pStyle w:val="Default"/>
        <w:rPr>
          <w:sz w:val="18"/>
          <w:szCs w:val="18"/>
        </w:rPr>
      </w:pPr>
      <w:r>
        <w:rPr>
          <w:b/>
          <w:bCs/>
          <w:sz w:val="18"/>
          <w:szCs w:val="18"/>
        </w:rPr>
        <w:t>Methods</w:t>
      </w:r>
      <w:r>
        <w:rPr>
          <w:sz w:val="18"/>
          <w:szCs w:val="18"/>
        </w:rPr>
        <w:t xml:space="preserve">: A comparative observational study was conducted among 90 infants aged 0–12 months attending </w:t>
      </w:r>
      <w:proofErr w:type="spellStart"/>
      <w:r>
        <w:rPr>
          <w:sz w:val="18"/>
          <w:szCs w:val="18"/>
        </w:rPr>
        <w:t>pediatric</w:t>
      </w:r>
      <w:proofErr w:type="spellEnd"/>
      <w:r>
        <w:rPr>
          <w:sz w:val="18"/>
          <w:szCs w:val="18"/>
        </w:rPr>
        <w:t xml:space="preserve"> services at a tertiary care center in Jaipur. Infants were categorized based on predominant feeding practice into breastfed (n = 45) and top-fed (n = 45) groups. Information regarding infectious episodes, particularly respiratory and gastrointestinal illnesses, was collected through caregiver interviews and review of available medical records. Statistical comparisons were performed to assess differences in illness occurrence between groups. </w:t>
      </w:r>
    </w:p>
    <w:p w:rsidR="00DE65EE" w:rsidRDefault="00DE65EE" w:rsidP="00DE65EE">
      <w:pPr>
        <w:pStyle w:val="Default"/>
        <w:rPr>
          <w:sz w:val="18"/>
          <w:szCs w:val="18"/>
        </w:rPr>
      </w:pPr>
      <w:r>
        <w:rPr>
          <w:b/>
          <w:bCs/>
          <w:sz w:val="18"/>
          <w:szCs w:val="18"/>
        </w:rPr>
        <w:t>Results</w:t>
      </w:r>
      <w:r>
        <w:rPr>
          <w:sz w:val="18"/>
          <w:szCs w:val="18"/>
        </w:rPr>
        <w:t xml:space="preserve">: Infants who received breast milk experienced fewer infectious episodes during the first year of life compared to those who were top-fed. Respiratory and gastrointestinal infections occurred more frequently among top-fed infants, and recurrent illnesses were also more common in this group. Healthcare utilization related to infection was higher among top-fed infants. </w:t>
      </w:r>
    </w:p>
    <w:p w:rsidR="00DE65EE" w:rsidRDefault="00DE65EE" w:rsidP="00DE65EE">
      <w:pPr>
        <w:pStyle w:val="Default"/>
        <w:rPr>
          <w:sz w:val="18"/>
          <w:szCs w:val="18"/>
        </w:rPr>
      </w:pPr>
      <w:r>
        <w:rPr>
          <w:b/>
          <w:bCs/>
          <w:sz w:val="18"/>
          <w:szCs w:val="18"/>
        </w:rPr>
        <w:t>Conclusion</w:t>
      </w:r>
      <w:r>
        <w:rPr>
          <w:sz w:val="18"/>
          <w:szCs w:val="18"/>
        </w:rPr>
        <w:t xml:space="preserve">: Differences in infection frequency were observed in relation to infant feeding practices. Breastfeeding was associated with fewer reported illnesses during the first year of life, suggesting a potential protective influence on early health outcomes. </w:t>
      </w:r>
    </w:p>
    <w:p w:rsidR="00CF3771" w:rsidRDefault="00DE65EE" w:rsidP="00DE65EE">
      <w:r>
        <w:rPr>
          <w:b/>
          <w:bCs/>
          <w:sz w:val="18"/>
          <w:szCs w:val="18"/>
        </w:rPr>
        <w:t xml:space="preserve">Key words: </w:t>
      </w:r>
      <w:r>
        <w:rPr>
          <w:sz w:val="18"/>
          <w:szCs w:val="18"/>
        </w:rPr>
        <w:t xml:space="preserve">Early infancy; Feeding patterns; Childhood infections; Health outcomes; </w:t>
      </w:r>
      <w:proofErr w:type="spellStart"/>
      <w:r>
        <w:rPr>
          <w:sz w:val="18"/>
          <w:szCs w:val="18"/>
        </w:rPr>
        <w:t>Pediatric</w:t>
      </w:r>
      <w:proofErr w:type="spellEnd"/>
      <w:r>
        <w:rPr>
          <w:sz w:val="18"/>
          <w:szCs w:val="18"/>
        </w:rPr>
        <w:t xml:space="preserve"> morbidity.</w:t>
      </w:r>
    </w:p>
    <w:sectPr w:rsidR="00CF377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A3E" w:rsidRDefault="003D4A3E" w:rsidP="00DE65EE">
      <w:pPr>
        <w:spacing w:after="0" w:line="240" w:lineRule="auto"/>
      </w:pPr>
      <w:r>
        <w:separator/>
      </w:r>
    </w:p>
  </w:endnote>
  <w:endnote w:type="continuationSeparator" w:id="0">
    <w:p w:rsidR="003D4A3E" w:rsidRDefault="003D4A3E" w:rsidP="00DE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A3E" w:rsidRDefault="003D4A3E" w:rsidP="00DE65EE">
      <w:pPr>
        <w:spacing w:after="0" w:line="240" w:lineRule="auto"/>
      </w:pPr>
      <w:r>
        <w:separator/>
      </w:r>
    </w:p>
  </w:footnote>
  <w:footnote w:type="continuationSeparator" w:id="0">
    <w:p w:rsidR="003D4A3E" w:rsidRDefault="003D4A3E" w:rsidP="00DE6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5EE" w:rsidRDefault="00DE65EE">
    <w:pPr>
      <w:pStyle w:val="Header"/>
    </w:pPr>
  </w:p>
  <w:p w:rsidR="00DE65EE" w:rsidRDefault="00DE6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comment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EE"/>
    <w:rsid w:val="003D4A3E"/>
    <w:rsid w:val="00CF3771"/>
    <w:rsid w:val="00DE65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5EE"/>
  </w:style>
  <w:style w:type="paragraph" w:styleId="Footer">
    <w:name w:val="footer"/>
    <w:basedOn w:val="Normal"/>
    <w:link w:val="FooterChar"/>
    <w:uiPriority w:val="99"/>
    <w:unhideWhenUsed/>
    <w:rsid w:val="00DE6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5EE"/>
  </w:style>
  <w:style w:type="paragraph" w:styleId="BalloonText">
    <w:name w:val="Balloon Text"/>
    <w:basedOn w:val="Normal"/>
    <w:link w:val="BalloonTextChar"/>
    <w:uiPriority w:val="99"/>
    <w:semiHidden/>
    <w:unhideWhenUsed/>
    <w:rsid w:val="00DE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5EE"/>
    <w:rPr>
      <w:rFonts w:ascii="Tahoma" w:hAnsi="Tahoma" w:cs="Tahoma"/>
      <w:sz w:val="16"/>
      <w:szCs w:val="16"/>
    </w:rPr>
  </w:style>
  <w:style w:type="paragraph" w:customStyle="1" w:styleId="Default">
    <w:name w:val="Default"/>
    <w:rsid w:val="00DE65E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5EE"/>
  </w:style>
  <w:style w:type="paragraph" w:styleId="Footer">
    <w:name w:val="footer"/>
    <w:basedOn w:val="Normal"/>
    <w:link w:val="FooterChar"/>
    <w:uiPriority w:val="99"/>
    <w:unhideWhenUsed/>
    <w:rsid w:val="00DE6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5EE"/>
  </w:style>
  <w:style w:type="paragraph" w:styleId="BalloonText">
    <w:name w:val="Balloon Text"/>
    <w:basedOn w:val="Normal"/>
    <w:link w:val="BalloonTextChar"/>
    <w:uiPriority w:val="99"/>
    <w:semiHidden/>
    <w:unhideWhenUsed/>
    <w:rsid w:val="00DE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5EE"/>
    <w:rPr>
      <w:rFonts w:ascii="Tahoma" w:hAnsi="Tahoma" w:cs="Tahoma"/>
      <w:sz w:val="16"/>
      <w:szCs w:val="16"/>
    </w:rPr>
  </w:style>
  <w:style w:type="paragraph" w:customStyle="1" w:styleId="Default">
    <w:name w:val="Default"/>
    <w:rsid w:val="00DE65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2026-02-05T08:57:00Z</dcterms:created>
  <dcterms:modified xsi:type="dcterms:W3CDTF">2026-02-05T09:11:00Z</dcterms:modified>
</cp:coreProperties>
</file>