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3BB3C" w14:textId="2366953E" w:rsidR="0018141D" w:rsidRPr="00413E69" w:rsidRDefault="00413E69" w:rsidP="00413E69">
      <w:pPr>
        <w:spacing w:after="0" w:line="360" w:lineRule="auto"/>
        <w:ind w:right="-472"/>
        <w:rPr>
          <w:rFonts w:ascii="Cambria" w:hAnsi="Cambria" w:cs="Times New Roman"/>
          <w:b/>
          <w:bCs/>
          <w:sz w:val="20"/>
          <w:szCs w:val="20"/>
        </w:rPr>
      </w:pPr>
      <w:r w:rsidRPr="00413E69">
        <w:rPr>
          <w:rFonts w:ascii="Cambria" w:hAnsi="Cambria" w:cstheme="minorHAnsi"/>
          <w:b/>
          <w:color w:val="000000"/>
          <w:sz w:val="24"/>
          <w:szCs w:val="24"/>
          <w:highlight w:val="lightGray"/>
          <w:shd w:val="clear" w:color="auto" w:fill="FFFFFF"/>
        </w:rPr>
        <w:t>Original article</w:t>
      </w:r>
      <w:r w:rsidRPr="00413E69">
        <w:rPr>
          <w:rFonts w:ascii="Cambria" w:hAnsi="Cambria" w:cstheme="minorHAnsi"/>
          <w:b/>
          <w:color w:val="000000"/>
          <w:sz w:val="24"/>
          <w:szCs w:val="24"/>
        </w:rPr>
        <w:br/>
      </w:r>
      <w:r w:rsidR="0076242C" w:rsidRPr="00413E69">
        <w:rPr>
          <w:rFonts w:ascii="Cambria" w:hAnsi="Cambria" w:cs="Times New Roman"/>
          <w:b/>
          <w:bCs/>
          <w:color w:val="48599F"/>
          <w:sz w:val="28"/>
          <w:szCs w:val="28"/>
        </w:rPr>
        <w:t>R</w:t>
      </w:r>
      <w:r w:rsidRPr="00413E69">
        <w:rPr>
          <w:rFonts w:ascii="Cambria" w:hAnsi="Cambria" w:cs="Times New Roman"/>
          <w:b/>
          <w:bCs/>
          <w:color w:val="48599F"/>
          <w:sz w:val="28"/>
          <w:szCs w:val="28"/>
        </w:rPr>
        <w:t xml:space="preserve">outine biochemical predictors of early diabetic kidney disease in </w:t>
      </w:r>
      <w:r>
        <w:rPr>
          <w:rFonts w:ascii="Cambria" w:hAnsi="Cambria" w:cs="Times New Roman"/>
          <w:b/>
          <w:bCs/>
          <w:color w:val="48599F"/>
          <w:sz w:val="28"/>
          <w:szCs w:val="28"/>
        </w:rPr>
        <w:t>I</w:t>
      </w:r>
      <w:r w:rsidRPr="00413E69">
        <w:rPr>
          <w:rFonts w:ascii="Cambria" w:hAnsi="Cambria" w:cs="Times New Roman"/>
          <w:b/>
          <w:bCs/>
          <w:color w:val="48599F"/>
          <w:sz w:val="28"/>
          <w:szCs w:val="28"/>
        </w:rPr>
        <w:t xml:space="preserve">ndian patients with </w:t>
      </w:r>
      <w:r>
        <w:rPr>
          <w:rFonts w:ascii="Cambria" w:hAnsi="Cambria" w:cs="Times New Roman"/>
          <w:b/>
          <w:bCs/>
          <w:color w:val="48599F"/>
          <w:sz w:val="28"/>
          <w:szCs w:val="28"/>
        </w:rPr>
        <w:t>T</w:t>
      </w:r>
      <w:r w:rsidRPr="00413E69">
        <w:rPr>
          <w:rFonts w:ascii="Cambria" w:hAnsi="Cambria" w:cs="Times New Roman"/>
          <w:b/>
          <w:bCs/>
          <w:color w:val="48599F"/>
          <w:sz w:val="28"/>
          <w:szCs w:val="28"/>
        </w:rPr>
        <w:t xml:space="preserve">ype 2 </w:t>
      </w:r>
      <w:r>
        <w:rPr>
          <w:rFonts w:ascii="Cambria" w:hAnsi="Cambria" w:cs="Times New Roman"/>
          <w:b/>
          <w:bCs/>
          <w:color w:val="48599F"/>
          <w:sz w:val="28"/>
          <w:szCs w:val="28"/>
        </w:rPr>
        <w:t>D</w:t>
      </w:r>
      <w:r w:rsidRPr="00413E69">
        <w:rPr>
          <w:rFonts w:ascii="Cambria" w:hAnsi="Cambria" w:cs="Times New Roman"/>
          <w:b/>
          <w:bCs/>
          <w:color w:val="48599F"/>
          <w:sz w:val="28"/>
          <w:szCs w:val="28"/>
        </w:rPr>
        <w:t>iabetes</w:t>
      </w:r>
      <w:r w:rsidRPr="00413E69">
        <w:rPr>
          <w:rFonts w:ascii="Cambria" w:hAnsi="Cambria" w:cs="Times New Roman"/>
          <w:b/>
          <w:bCs/>
          <w:sz w:val="20"/>
          <w:szCs w:val="20"/>
        </w:rPr>
        <w:t xml:space="preserve"> </w:t>
      </w:r>
    </w:p>
    <w:p w14:paraId="2136C202" w14:textId="15A90E6D" w:rsidR="00413E69" w:rsidRDefault="00413E69" w:rsidP="00413E69">
      <w:pPr>
        <w:spacing w:after="0" w:line="360" w:lineRule="auto"/>
        <w:rPr>
          <w:rFonts w:ascii="Cambria" w:hAnsi="Cambria" w:cs="Times New Roman"/>
          <w:b/>
          <w:bCs/>
          <w:sz w:val="20"/>
          <w:szCs w:val="20"/>
        </w:rPr>
      </w:pPr>
      <w:r w:rsidRPr="00413E69">
        <w:rPr>
          <w:rFonts w:ascii="Cambria" w:hAnsi="Cambria" w:cs="Times New Roman"/>
          <w:b/>
          <w:bCs/>
          <w:sz w:val="20"/>
          <w:szCs w:val="20"/>
        </w:rPr>
        <w:t xml:space="preserve">Dr. Monika Gupta </w:t>
      </w:r>
      <w:r>
        <w:rPr>
          <w:rFonts w:ascii="Cambria" w:hAnsi="Cambria" w:cs="Times New Roman"/>
          <w:b/>
          <w:bCs/>
          <w:sz w:val="20"/>
          <w:szCs w:val="20"/>
        </w:rPr>
        <w:t>*</w:t>
      </w:r>
    </w:p>
    <w:p w14:paraId="2055BCE7" w14:textId="77777777" w:rsidR="00413E69" w:rsidRDefault="00413E69" w:rsidP="00413E69">
      <w:pPr>
        <w:spacing w:after="0" w:line="360" w:lineRule="auto"/>
        <w:rPr>
          <w:rFonts w:ascii="Cambria" w:hAnsi="Cambria" w:cs="Times New Roman"/>
          <w:b/>
          <w:bCs/>
          <w:sz w:val="20"/>
          <w:szCs w:val="20"/>
        </w:rPr>
      </w:pPr>
    </w:p>
    <w:p w14:paraId="7DA3C2A9" w14:textId="083E2BD7" w:rsidR="00413E69" w:rsidRDefault="00413E69" w:rsidP="00413E69">
      <w:pPr>
        <w:spacing w:after="0" w:line="360" w:lineRule="auto"/>
        <w:rPr>
          <w:rFonts w:ascii="Cambria" w:hAnsi="Cambria" w:cs="Times New Roman"/>
          <w:sz w:val="20"/>
          <w:szCs w:val="20"/>
        </w:rPr>
      </w:pPr>
      <w:r w:rsidRPr="00413E69">
        <w:rPr>
          <w:rFonts w:ascii="Cambria" w:hAnsi="Cambria" w:cs="Times New Roman"/>
          <w:sz w:val="20"/>
          <w:szCs w:val="20"/>
        </w:rPr>
        <w:t>Assistant Professor,</w:t>
      </w:r>
      <w:r w:rsidRPr="00413E69">
        <w:rPr>
          <w:rFonts w:ascii="Cambria" w:hAnsi="Cambria" w:cs="Times New Roman"/>
          <w:sz w:val="20"/>
          <w:szCs w:val="20"/>
        </w:rPr>
        <w:t xml:space="preserve"> </w:t>
      </w:r>
      <w:r w:rsidRPr="00413E69">
        <w:rPr>
          <w:rFonts w:ascii="Cambria" w:hAnsi="Cambria" w:cs="Times New Roman"/>
          <w:sz w:val="20"/>
          <w:szCs w:val="20"/>
        </w:rPr>
        <w:t xml:space="preserve">Dept of </w:t>
      </w:r>
      <w:r w:rsidRPr="00413E69">
        <w:rPr>
          <w:rFonts w:ascii="Cambria" w:hAnsi="Cambria" w:cs="Times New Roman"/>
          <w:sz w:val="20"/>
          <w:szCs w:val="20"/>
        </w:rPr>
        <w:t>Biochemistry, Index</w:t>
      </w:r>
      <w:r w:rsidRPr="00413E69">
        <w:rPr>
          <w:rFonts w:ascii="Cambria" w:hAnsi="Cambria" w:cs="Times New Roman"/>
          <w:sz w:val="20"/>
          <w:szCs w:val="20"/>
        </w:rPr>
        <w:t xml:space="preserve"> Medical </w:t>
      </w:r>
      <w:r w:rsidRPr="00413E69">
        <w:rPr>
          <w:rFonts w:ascii="Cambria" w:hAnsi="Cambria" w:cs="Times New Roman"/>
          <w:sz w:val="20"/>
          <w:szCs w:val="20"/>
        </w:rPr>
        <w:t>College, Indore (</w:t>
      </w:r>
      <w:r w:rsidRPr="00413E69">
        <w:rPr>
          <w:rFonts w:ascii="Cambria" w:hAnsi="Cambria" w:cs="Times New Roman"/>
          <w:sz w:val="20"/>
          <w:szCs w:val="20"/>
        </w:rPr>
        <w:t>M.P.)</w:t>
      </w:r>
    </w:p>
    <w:p w14:paraId="178C5753" w14:textId="1E6AD2C4" w:rsidR="00413E69" w:rsidRPr="00413E69" w:rsidRDefault="00413E69" w:rsidP="00413E69">
      <w:pPr>
        <w:spacing w:after="0" w:line="360" w:lineRule="auto"/>
        <w:rPr>
          <w:rFonts w:ascii="Cambria" w:hAnsi="Cambria" w:cs="Times New Roman"/>
          <w:sz w:val="20"/>
          <w:szCs w:val="20"/>
        </w:rPr>
      </w:pPr>
      <w:r>
        <w:rPr>
          <w:rFonts w:ascii="Cambria" w:hAnsi="Cambria" w:cs="Times New Roman"/>
          <w:sz w:val="20"/>
          <w:szCs w:val="20"/>
        </w:rPr>
        <w:t>Corresponding author*</w:t>
      </w:r>
    </w:p>
    <w:p w14:paraId="2132D70C" w14:textId="77777777" w:rsidR="0018141D" w:rsidRPr="00413E69" w:rsidRDefault="0018141D" w:rsidP="00413E69">
      <w:pPr>
        <w:spacing w:after="0" w:line="360" w:lineRule="auto"/>
        <w:rPr>
          <w:rFonts w:ascii="Cambria" w:hAnsi="Cambria" w:cs="Times New Roman"/>
          <w:bCs/>
          <w:sz w:val="20"/>
          <w:szCs w:val="20"/>
        </w:rPr>
      </w:pPr>
    </w:p>
    <w:p w14:paraId="3670B091" w14:textId="77777777" w:rsidR="0018141D" w:rsidRPr="00413E69" w:rsidRDefault="0076242C" w:rsidP="00413E69">
      <w:pPr>
        <w:spacing w:after="0" w:line="360" w:lineRule="auto"/>
        <w:rPr>
          <w:rFonts w:ascii="Cambria" w:hAnsi="Cambria" w:cs="Times New Roman"/>
          <w:b/>
          <w:bCs/>
          <w:sz w:val="20"/>
          <w:szCs w:val="20"/>
        </w:rPr>
      </w:pPr>
      <w:r w:rsidRPr="00413E69">
        <w:rPr>
          <w:rFonts w:ascii="Cambria" w:hAnsi="Cambria" w:cs="Times New Roman"/>
          <w:b/>
          <w:bCs/>
          <w:sz w:val="20"/>
          <w:szCs w:val="20"/>
        </w:rPr>
        <w:t xml:space="preserve">ABSTRACT </w:t>
      </w:r>
    </w:p>
    <w:p w14:paraId="1C326FE9" w14:textId="77777777" w:rsidR="0018141D" w:rsidRPr="00413E69" w:rsidRDefault="0076242C" w:rsidP="00413E69">
      <w:pPr>
        <w:pStyle w:val="NormalWeb"/>
        <w:spacing w:before="0" w:beforeAutospacing="0" w:after="0" w:afterAutospacing="0" w:line="360" w:lineRule="auto"/>
        <w:jc w:val="both"/>
        <w:rPr>
          <w:rFonts w:ascii="Cambria" w:hAnsi="Cambria"/>
          <w:sz w:val="18"/>
          <w:szCs w:val="18"/>
        </w:rPr>
      </w:pPr>
      <w:r w:rsidRPr="00413E69">
        <w:rPr>
          <w:rFonts w:ascii="Cambria" w:hAnsi="Cambria"/>
          <w:b/>
          <w:bCs/>
          <w:sz w:val="18"/>
          <w:szCs w:val="18"/>
        </w:rPr>
        <w:t>Introduction:</w:t>
      </w:r>
      <w:r w:rsidRPr="00413E69">
        <w:rPr>
          <w:rFonts w:ascii="Cambria" w:hAnsi="Cambria"/>
          <w:bCs/>
          <w:sz w:val="18"/>
          <w:szCs w:val="18"/>
        </w:rPr>
        <w:t xml:space="preserve"> </w:t>
      </w:r>
      <w:r w:rsidRPr="00413E69">
        <w:rPr>
          <w:rFonts w:ascii="Cambria" w:hAnsi="Cambria"/>
          <w:sz w:val="18"/>
          <w:szCs w:val="18"/>
        </w:rPr>
        <w:t>Type 2 diabetes mellitus (T2DM) is a rapidly increasing metabolic disorder characterised by chronic hyperglycaemia, leading to microvascular complications such as diabetic kidney disease (DKD). Approximately 20–40% of patients with diabetes develop DKD, making early diagnosis essential. Although microalbuminuria and eGFR are standard diagnostic markers, additional routine biochemical markers may facilitate earlier detection of renal dysfunction and improve risk stratification and clinical management in patients with T2DM.</w:t>
      </w:r>
    </w:p>
    <w:p w14:paraId="55FC1130" w14:textId="77777777" w:rsidR="0018141D" w:rsidRPr="00413E69" w:rsidRDefault="0076242C" w:rsidP="00413E69">
      <w:pPr>
        <w:pStyle w:val="NormalWeb"/>
        <w:spacing w:before="0" w:beforeAutospacing="0" w:after="0" w:afterAutospacing="0" w:line="360" w:lineRule="auto"/>
        <w:jc w:val="both"/>
        <w:rPr>
          <w:rFonts w:ascii="Cambria" w:hAnsi="Cambria"/>
          <w:sz w:val="18"/>
          <w:szCs w:val="18"/>
        </w:rPr>
      </w:pPr>
      <w:r w:rsidRPr="00413E69">
        <w:rPr>
          <w:rFonts w:ascii="Cambria" w:hAnsi="Cambria"/>
          <w:b/>
          <w:bCs/>
          <w:sz w:val="18"/>
          <w:szCs w:val="18"/>
        </w:rPr>
        <w:t xml:space="preserve">Method: </w:t>
      </w:r>
      <w:r w:rsidRPr="00413E69">
        <w:rPr>
          <w:rFonts w:ascii="Cambria" w:hAnsi="Cambria"/>
          <w:sz w:val="18"/>
          <w:szCs w:val="18"/>
        </w:rPr>
        <w:t xml:space="preserve">A hospital-based cross-sectional comparative study was conducted over one year involving 150 patients with type 2 diabetes mellitus, categorized into normoalbuminuric (n=75) and </w:t>
      </w:r>
      <w:proofErr w:type="spellStart"/>
      <w:r w:rsidRPr="00413E69">
        <w:rPr>
          <w:rFonts w:ascii="Cambria" w:hAnsi="Cambria"/>
          <w:sz w:val="18"/>
          <w:szCs w:val="18"/>
        </w:rPr>
        <w:t>microalbuminuric</w:t>
      </w:r>
      <w:proofErr w:type="spellEnd"/>
      <w:r w:rsidRPr="00413E69">
        <w:rPr>
          <w:rFonts w:ascii="Cambria" w:hAnsi="Cambria"/>
          <w:sz w:val="18"/>
          <w:szCs w:val="18"/>
        </w:rPr>
        <w:t xml:space="preserve"> (n=75) groups based on UACR. Demographic, clinical, and biochemical parameters, including renal biomarkers, were assessed using standard laboratory methods. Group comparisons were performed using Student's </w:t>
      </w:r>
      <w:r w:rsidRPr="00413E69">
        <w:rPr>
          <w:rStyle w:val="Emphasis"/>
          <w:rFonts w:ascii="Cambria" w:hAnsi="Cambria"/>
          <w:sz w:val="18"/>
          <w:szCs w:val="18"/>
        </w:rPr>
        <w:t>t</w:t>
      </w:r>
      <w:r w:rsidRPr="00413E69">
        <w:rPr>
          <w:rFonts w:ascii="Cambria" w:hAnsi="Cambria"/>
          <w:sz w:val="18"/>
          <w:szCs w:val="18"/>
        </w:rPr>
        <w:t xml:space="preserve">-test or chi-square test, with statistical significance set at </w:t>
      </w:r>
      <w:r w:rsidRPr="00413E69">
        <w:rPr>
          <w:rStyle w:val="Emphasis"/>
          <w:rFonts w:ascii="Cambria" w:hAnsi="Cambria"/>
          <w:sz w:val="18"/>
          <w:szCs w:val="18"/>
        </w:rPr>
        <w:t>p</w:t>
      </w:r>
      <w:r w:rsidRPr="00413E69">
        <w:rPr>
          <w:rFonts w:ascii="Cambria" w:hAnsi="Cambria"/>
          <w:sz w:val="18"/>
          <w:szCs w:val="18"/>
        </w:rPr>
        <w:t xml:space="preserve">&lt;0.05 using SPSS version </w:t>
      </w:r>
      <w:r w:rsidRPr="00413E69">
        <w:rPr>
          <w:rFonts w:ascii="Cambria" w:hAnsi="Cambria"/>
          <w:sz w:val="18"/>
          <w:szCs w:val="18"/>
          <w:lang w:val="en-US"/>
        </w:rPr>
        <w:t>16</w:t>
      </w:r>
      <w:r w:rsidRPr="00413E69">
        <w:rPr>
          <w:rFonts w:ascii="Cambria" w:hAnsi="Cambria"/>
          <w:sz w:val="18"/>
          <w:szCs w:val="18"/>
        </w:rPr>
        <w:t>.</w:t>
      </w:r>
    </w:p>
    <w:p w14:paraId="422C4C95" w14:textId="77777777" w:rsidR="0018141D" w:rsidRPr="00413E69" w:rsidRDefault="0076242C" w:rsidP="00413E69">
      <w:pPr>
        <w:pStyle w:val="NormalWeb"/>
        <w:spacing w:before="0" w:beforeAutospacing="0" w:after="0" w:afterAutospacing="0" w:line="360" w:lineRule="auto"/>
        <w:jc w:val="both"/>
        <w:rPr>
          <w:rFonts w:ascii="Cambria" w:hAnsi="Cambria"/>
          <w:sz w:val="18"/>
          <w:szCs w:val="18"/>
        </w:rPr>
      </w:pPr>
      <w:r w:rsidRPr="00413E69">
        <w:rPr>
          <w:rFonts w:ascii="Cambria" w:hAnsi="Cambria"/>
          <w:b/>
          <w:bCs/>
          <w:sz w:val="18"/>
          <w:szCs w:val="18"/>
        </w:rPr>
        <w:t>Result:</w:t>
      </w:r>
      <w:r w:rsidRPr="00413E69">
        <w:rPr>
          <w:rFonts w:ascii="Cambria" w:hAnsi="Cambria"/>
          <w:bCs/>
          <w:sz w:val="18"/>
          <w:szCs w:val="18"/>
        </w:rPr>
        <w:t xml:space="preserve"> </w:t>
      </w:r>
      <w:r w:rsidRPr="00413E69">
        <w:rPr>
          <w:rFonts w:ascii="Cambria" w:hAnsi="Cambria"/>
          <w:sz w:val="18"/>
          <w:szCs w:val="18"/>
        </w:rPr>
        <w:t>Patients with microalbuminuria demonstrated significantly higher renal biomarker levels than normoalbuminuric patients, including serum creatinine (1.12 vs. 0.89 mg/dL), cystatin C (1.18 vs. 0.88 mg/L), blood urea (36 vs. 28 mg/dL), uric acid (6.1 vs. 5.2 mg/dL), 24-hour urinary protein (268 vs. 118 mg/day), and UACR (47 vs. 11 mg/g) (all p≤0.001). UACR combined with serum creatinine achieved the highest diagnostic accuracy (AUC=0.86; sensitivity 84%; specificity 83%), while UACR was the strongest independent predictor of microalbuminuria (adjusted OR=2.9, p&lt;0.001).</w:t>
      </w:r>
    </w:p>
    <w:p w14:paraId="3882CA6B" w14:textId="77777777" w:rsidR="0018141D" w:rsidRPr="00413E69" w:rsidRDefault="0076242C" w:rsidP="00413E69">
      <w:pPr>
        <w:spacing w:after="0" w:line="360" w:lineRule="auto"/>
        <w:jc w:val="both"/>
        <w:rPr>
          <w:rFonts w:ascii="Cambria" w:hAnsi="Cambria" w:cs="Times New Roman"/>
          <w:sz w:val="18"/>
          <w:szCs w:val="18"/>
        </w:rPr>
      </w:pPr>
      <w:r w:rsidRPr="00413E69">
        <w:rPr>
          <w:rFonts w:ascii="Cambria" w:hAnsi="Cambria" w:cs="Times New Roman"/>
          <w:b/>
          <w:bCs/>
          <w:sz w:val="18"/>
          <w:szCs w:val="18"/>
        </w:rPr>
        <w:t xml:space="preserve">Conclusion: </w:t>
      </w:r>
      <w:r w:rsidRPr="00413E69">
        <w:rPr>
          <w:rFonts w:ascii="Cambria" w:hAnsi="Cambria" w:cs="Times New Roman"/>
          <w:sz w:val="18"/>
          <w:szCs w:val="18"/>
        </w:rPr>
        <w:t xml:space="preserve">The study concluded that patients with type 2 diabetes mellitus and microalbuminuria exhibited significantly higher levels of conventional renal biomarkers, including serum creatinine, serum cystatin C, blood urea, serum uric acid, 24-hour urinary protein, and UACR, indicating greater renal impairment than normoalbuminuric </w:t>
      </w:r>
      <w:proofErr w:type="gramStart"/>
      <w:r w:rsidRPr="00413E69">
        <w:rPr>
          <w:rFonts w:ascii="Cambria" w:hAnsi="Cambria" w:cs="Times New Roman"/>
          <w:sz w:val="18"/>
          <w:szCs w:val="18"/>
        </w:rPr>
        <w:t>patients..</w:t>
      </w:r>
      <w:proofErr w:type="gramEnd"/>
    </w:p>
    <w:p w14:paraId="614FB3EF" w14:textId="77777777" w:rsidR="0018141D" w:rsidRPr="00413E69" w:rsidRDefault="0076242C" w:rsidP="00413E69">
      <w:pPr>
        <w:pStyle w:val="pdq2pgselectionanchorcontainer"/>
        <w:spacing w:before="0" w:beforeAutospacing="0" w:after="0" w:afterAutospacing="0" w:line="360" w:lineRule="auto"/>
        <w:jc w:val="both"/>
        <w:rPr>
          <w:rFonts w:ascii="Cambria" w:hAnsi="Cambria"/>
          <w:sz w:val="18"/>
          <w:szCs w:val="18"/>
          <w:lang w:val="en-US"/>
        </w:rPr>
      </w:pPr>
      <w:r w:rsidRPr="00413E69">
        <w:rPr>
          <w:rFonts w:ascii="Cambria" w:hAnsi="Cambria"/>
          <w:b/>
          <w:bCs/>
          <w:sz w:val="18"/>
          <w:szCs w:val="18"/>
        </w:rPr>
        <w:t>Keywords</w:t>
      </w:r>
      <w:r w:rsidRPr="00413E69">
        <w:rPr>
          <w:rFonts w:ascii="Cambria" w:hAnsi="Cambria"/>
          <w:b/>
          <w:bCs/>
          <w:sz w:val="18"/>
          <w:szCs w:val="18"/>
          <w:lang w:val="en-US"/>
        </w:rPr>
        <w:t xml:space="preserve">: </w:t>
      </w:r>
      <w:r w:rsidRPr="00413E69">
        <w:rPr>
          <w:rFonts w:ascii="Cambria" w:eastAsia="SimSun" w:hAnsi="Cambria"/>
          <w:sz w:val="18"/>
          <w:szCs w:val="18"/>
        </w:rPr>
        <w:t>Type 2 diabetes mellitus; Diabetic kidney disease; Microalbuminuria; Conventional renal biomarkers; Urinary albumin-to-creatinine ratio (UACR).</w:t>
      </w:r>
    </w:p>
    <w:p w14:paraId="49B6CEA9" w14:textId="77777777" w:rsidR="0018141D" w:rsidRPr="00413E69" w:rsidRDefault="0018141D" w:rsidP="00413E69">
      <w:pPr>
        <w:spacing w:after="0" w:line="360" w:lineRule="auto"/>
        <w:rPr>
          <w:rFonts w:ascii="Cambria" w:hAnsi="Cambria" w:cs="Times New Roman"/>
          <w:b/>
          <w:bCs/>
          <w:sz w:val="20"/>
          <w:szCs w:val="20"/>
        </w:rPr>
      </w:pPr>
    </w:p>
    <w:p w14:paraId="241A6C2F" w14:textId="77777777" w:rsidR="0018141D" w:rsidRPr="00413E69" w:rsidRDefault="0076242C" w:rsidP="00413E69">
      <w:pPr>
        <w:spacing w:after="0" w:line="360" w:lineRule="auto"/>
        <w:rPr>
          <w:rFonts w:ascii="Times New Roman" w:hAnsi="Times New Roman" w:cs="Times New Roman"/>
          <w:bCs/>
          <w:sz w:val="20"/>
          <w:szCs w:val="20"/>
        </w:rPr>
      </w:pPr>
      <w:r w:rsidRPr="00413E69">
        <w:rPr>
          <w:rFonts w:ascii="Times New Roman" w:hAnsi="Times New Roman" w:cs="Times New Roman"/>
          <w:b/>
          <w:bCs/>
          <w:sz w:val="20"/>
          <w:szCs w:val="20"/>
        </w:rPr>
        <w:t>INTRODUCTION</w:t>
      </w:r>
    </w:p>
    <w:p w14:paraId="24B4FDA0" w14:textId="77777777" w:rsidR="0018141D" w:rsidRPr="00413E69" w:rsidRDefault="0076242C" w:rsidP="00413E69">
      <w:pPr>
        <w:spacing w:after="0" w:line="360" w:lineRule="auto"/>
        <w:ind w:right="-472"/>
        <w:jc w:val="both"/>
        <w:rPr>
          <w:rFonts w:ascii="Times New Roman" w:hAnsi="Times New Roman" w:cs="Times New Roman"/>
          <w:sz w:val="20"/>
          <w:szCs w:val="20"/>
        </w:rPr>
      </w:pPr>
      <w:r w:rsidRPr="00413E69">
        <w:rPr>
          <w:rFonts w:ascii="Times New Roman" w:hAnsi="Times New Roman" w:cs="Times New Roman"/>
          <w:sz w:val="20"/>
          <w:szCs w:val="20"/>
        </w:rPr>
        <w:t>Increasing trend of sedentary lifestyle, higher average life expectancy and overall lack of physical activities are the reasons behind the global rise in the incidence of Diabetes mellitus type 2 (T2DM) globally. [1] Defective insulin secretion from the beta cells of the pancreas and the diminished sensitivity of peripheral tissues to insulin secretion are the hallmarks of T2</w:t>
      </w:r>
      <w:proofErr w:type="gramStart"/>
      <w:r w:rsidRPr="00413E69">
        <w:rPr>
          <w:rFonts w:ascii="Times New Roman" w:hAnsi="Times New Roman" w:cs="Times New Roman"/>
          <w:sz w:val="20"/>
          <w:szCs w:val="20"/>
        </w:rPr>
        <w:t>DM.[</w:t>
      </w:r>
      <w:proofErr w:type="gramEnd"/>
      <w:r w:rsidRPr="00413E69">
        <w:rPr>
          <w:rFonts w:ascii="Times New Roman" w:hAnsi="Times New Roman" w:cs="Times New Roman"/>
          <w:sz w:val="20"/>
          <w:szCs w:val="20"/>
        </w:rPr>
        <w:t>2] DM is characterised by excess blood glucose level (</w:t>
      </w:r>
      <w:proofErr w:type="spellStart"/>
      <w:r w:rsidRPr="00413E69">
        <w:rPr>
          <w:rFonts w:ascii="Times New Roman" w:hAnsi="Times New Roman" w:cs="Times New Roman"/>
          <w:sz w:val="20"/>
          <w:szCs w:val="20"/>
        </w:rPr>
        <w:t>hyperglycemia</w:t>
      </w:r>
      <w:proofErr w:type="spellEnd"/>
      <w:r w:rsidRPr="00413E69">
        <w:rPr>
          <w:rFonts w:ascii="Times New Roman" w:hAnsi="Times New Roman" w:cs="Times New Roman"/>
          <w:sz w:val="20"/>
          <w:szCs w:val="20"/>
        </w:rPr>
        <w:t xml:space="preserve">) and the presence of glucose in urine (glycosuria). Sustained </w:t>
      </w:r>
      <w:proofErr w:type="spellStart"/>
      <w:r w:rsidRPr="00413E69">
        <w:rPr>
          <w:rFonts w:ascii="Times New Roman" w:hAnsi="Times New Roman" w:cs="Times New Roman"/>
          <w:sz w:val="20"/>
          <w:szCs w:val="20"/>
        </w:rPr>
        <w:t>hyperglycemia</w:t>
      </w:r>
      <w:proofErr w:type="spellEnd"/>
      <w:r w:rsidRPr="00413E69">
        <w:rPr>
          <w:rFonts w:ascii="Times New Roman" w:hAnsi="Times New Roman" w:cs="Times New Roman"/>
          <w:sz w:val="20"/>
          <w:szCs w:val="20"/>
        </w:rPr>
        <w:t xml:space="preserve"> affects microvascular and macrovascular structures through the formation of Advanced Glycation End (AGE)</w:t>
      </w:r>
      <w:r w:rsidRPr="00413E69">
        <w:rPr>
          <w:rFonts w:ascii="Times New Roman" w:hAnsi="Times New Roman" w:cs="Times New Roman"/>
          <w:sz w:val="20"/>
          <w:szCs w:val="20"/>
          <w:lang w:val="en-US"/>
        </w:rPr>
        <w:t xml:space="preserve"> </w:t>
      </w:r>
      <w:proofErr w:type="gramStart"/>
      <w:r w:rsidRPr="00413E69">
        <w:rPr>
          <w:rFonts w:ascii="Times New Roman" w:hAnsi="Times New Roman" w:cs="Times New Roman"/>
          <w:sz w:val="20"/>
          <w:szCs w:val="20"/>
        </w:rPr>
        <w:t>proteins .</w:t>
      </w:r>
      <w:proofErr w:type="gramEnd"/>
      <w:r w:rsidRPr="00413E69">
        <w:rPr>
          <w:rFonts w:ascii="Times New Roman" w:hAnsi="Times New Roman" w:cs="Times New Roman"/>
          <w:sz w:val="20"/>
          <w:szCs w:val="20"/>
        </w:rPr>
        <w:t xml:space="preserve"> In the long term, it affects the function of almost every organ of the body. Thus, long-term complications are the biggest problem in T2DM, such as retinopathy, nephropathy, neuropathy and cardiac diseases. [3] Diabetic kidney disease</w:t>
      </w:r>
      <w:r w:rsidRPr="00413E69">
        <w:rPr>
          <w:rFonts w:ascii="Times New Roman" w:hAnsi="Times New Roman" w:cs="Times New Roman"/>
          <w:sz w:val="20"/>
          <w:szCs w:val="20"/>
          <w:lang w:val="en-US"/>
        </w:rPr>
        <w:t xml:space="preserve"> </w:t>
      </w:r>
      <w:r w:rsidRPr="00413E69">
        <w:rPr>
          <w:rFonts w:ascii="Times New Roman" w:hAnsi="Times New Roman" w:cs="Times New Roman"/>
          <w:sz w:val="20"/>
          <w:szCs w:val="20"/>
        </w:rPr>
        <w:t>(</w:t>
      </w:r>
      <w:proofErr w:type="gramStart"/>
      <w:r w:rsidRPr="00413E69">
        <w:rPr>
          <w:rFonts w:ascii="Times New Roman" w:hAnsi="Times New Roman" w:cs="Times New Roman"/>
          <w:sz w:val="20"/>
          <w:szCs w:val="20"/>
        </w:rPr>
        <w:t>DKD)  is</w:t>
      </w:r>
      <w:proofErr w:type="gramEnd"/>
      <w:r w:rsidRPr="00413E69">
        <w:rPr>
          <w:rFonts w:ascii="Times New Roman" w:hAnsi="Times New Roman" w:cs="Times New Roman"/>
          <w:sz w:val="20"/>
          <w:szCs w:val="20"/>
        </w:rPr>
        <w:t xml:space="preserve"> also called diabetic nephropathy and is a </w:t>
      </w:r>
      <w:r w:rsidRPr="00413E69">
        <w:rPr>
          <w:rFonts w:ascii="Times New Roman" w:hAnsi="Times New Roman" w:cs="Times New Roman"/>
          <w:sz w:val="20"/>
          <w:szCs w:val="20"/>
        </w:rPr>
        <w:lastRenderedPageBreak/>
        <w:t xml:space="preserve">multifaceted condition, and it can be described as a syndrome that occurs due to the effects of varying treatments in </w:t>
      </w:r>
      <w:proofErr w:type="gramStart"/>
      <w:r w:rsidRPr="00413E69">
        <w:rPr>
          <w:rFonts w:ascii="Times New Roman" w:hAnsi="Times New Roman" w:cs="Times New Roman"/>
          <w:sz w:val="20"/>
          <w:szCs w:val="20"/>
        </w:rPr>
        <w:t>DM.[</w:t>
      </w:r>
      <w:proofErr w:type="gramEnd"/>
      <w:r w:rsidRPr="00413E69">
        <w:rPr>
          <w:rFonts w:ascii="Times New Roman" w:hAnsi="Times New Roman" w:cs="Times New Roman"/>
          <w:sz w:val="20"/>
          <w:szCs w:val="20"/>
        </w:rPr>
        <w:t xml:space="preserve">4]   DKD affects every part of the kidney but notably the glomeruli. It is asymptomatic in the early stage and later develops symptoms like oedema, proteinuria, and systemic symptoms like nausea, vomiting and muscle cramps. The pathology behind it is glomerular basement membrane thickening, glomerular </w:t>
      </w:r>
      <w:proofErr w:type="gramStart"/>
      <w:r w:rsidRPr="00413E69">
        <w:rPr>
          <w:rFonts w:ascii="Times New Roman" w:hAnsi="Times New Roman" w:cs="Times New Roman"/>
          <w:sz w:val="20"/>
          <w:szCs w:val="20"/>
        </w:rPr>
        <w:t>hypertrophy,  narrowing</w:t>
      </w:r>
      <w:proofErr w:type="gramEnd"/>
      <w:r w:rsidRPr="00413E69">
        <w:rPr>
          <w:rFonts w:ascii="Times New Roman" w:hAnsi="Times New Roman" w:cs="Times New Roman"/>
          <w:sz w:val="20"/>
          <w:szCs w:val="20"/>
        </w:rPr>
        <w:t xml:space="preserve"> of the renal small arteries, effacement of podocyte foot processes, and mesangial matrix expansion.  It is an end-stage renal disease that occurs all over the world, and a disproportionately high burden is observed among the South Asian </w:t>
      </w:r>
      <w:proofErr w:type="gramStart"/>
      <w:r w:rsidRPr="00413E69">
        <w:rPr>
          <w:rFonts w:ascii="Times New Roman" w:hAnsi="Times New Roman" w:cs="Times New Roman"/>
          <w:sz w:val="20"/>
          <w:szCs w:val="20"/>
        </w:rPr>
        <w:t>population.[</w:t>
      </w:r>
      <w:proofErr w:type="gramEnd"/>
      <w:r w:rsidRPr="00413E69">
        <w:rPr>
          <w:rFonts w:ascii="Times New Roman" w:hAnsi="Times New Roman" w:cs="Times New Roman"/>
          <w:sz w:val="20"/>
          <w:szCs w:val="20"/>
        </w:rPr>
        <w:t>5</w:t>
      </w:r>
      <w:r w:rsidRPr="00413E69">
        <w:rPr>
          <w:rFonts w:ascii="Times New Roman" w:hAnsi="Times New Roman" w:cs="Times New Roman"/>
          <w:sz w:val="20"/>
          <w:szCs w:val="20"/>
          <w:lang w:val="en-US"/>
        </w:rPr>
        <w:t>,6</w:t>
      </w:r>
      <w:r w:rsidRPr="00413E69">
        <w:rPr>
          <w:rFonts w:ascii="Times New Roman" w:hAnsi="Times New Roman" w:cs="Times New Roman"/>
          <w:sz w:val="20"/>
          <w:szCs w:val="20"/>
        </w:rPr>
        <w:t xml:space="preserve">] </w:t>
      </w:r>
      <w:r w:rsidRPr="00413E69">
        <w:rPr>
          <w:rFonts w:ascii="Times New Roman" w:eastAsia="SimSun" w:hAnsi="Times New Roman" w:cs="Times New Roman"/>
          <w:sz w:val="20"/>
          <w:szCs w:val="20"/>
        </w:rPr>
        <w:t>Approximately 20–40% of patients with diabetes develop diabetic kidney disease (diabetic nephropathy).</w:t>
      </w:r>
      <w:r w:rsidRPr="00413E69">
        <w:rPr>
          <w:rFonts w:ascii="Times New Roman" w:hAnsi="Times New Roman" w:cs="Times New Roman"/>
          <w:sz w:val="20"/>
          <w:szCs w:val="20"/>
        </w:rPr>
        <w:t xml:space="preserve"> </w:t>
      </w:r>
      <w:r w:rsidRPr="00413E69">
        <w:rPr>
          <w:rFonts w:ascii="Times New Roman" w:eastAsia="SimSun" w:hAnsi="Times New Roman" w:cs="Times New Roman"/>
          <w:sz w:val="20"/>
          <w:szCs w:val="20"/>
        </w:rPr>
        <w:t>Around one-third of patients with type 2 diabetes develop diabetic nephropathy</w:t>
      </w:r>
      <w:r w:rsidRPr="00413E69">
        <w:rPr>
          <w:rFonts w:ascii="Times New Roman" w:eastAsia="SimSun" w:hAnsi="Times New Roman" w:cs="Times New Roman"/>
          <w:sz w:val="20"/>
          <w:szCs w:val="20"/>
          <w:lang w:val="en-US"/>
        </w:rPr>
        <w:t xml:space="preserve"> [6]. </w:t>
      </w:r>
      <w:r w:rsidRPr="00413E69">
        <w:rPr>
          <w:rFonts w:ascii="Times New Roman" w:hAnsi="Times New Roman" w:cs="Times New Roman"/>
          <w:sz w:val="20"/>
          <w:szCs w:val="20"/>
        </w:rPr>
        <w:t>In India, the prevalence of DKD has also been growing with that of T2DM, and early detection is very critical in terms of public health. The presence of elevated microalbuminuria and the reduction of the estimated glomerular filtration rate (eGFR) is the most common method for diagnosing DKD,[7]</w:t>
      </w:r>
      <w:r w:rsidRPr="00413E69">
        <w:rPr>
          <w:rFonts w:ascii="Times New Roman" w:hAnsi="Times New Roman" w:cs="Times New Roman"/>
          <w:sz w:val="20"/>
          <w:szCs w:val="20"/>
          <w:lang w:val="en-US"/>
        </w:rPr>
        <w:t xml:space="preserve">. </w:t>
      </w:r>
      <w:r w:rsidRPr="00413E69">
        <w:rPr>
          <w:rFonts w:ascii="Times New Roman" w:hAnsi="Times New Roman" w:cs="Times New Roman"/>
          <w:sz w:val="20"/>
          <w:szCs w:val="20"/>
        </w:rPr>
        <w:t xml:space="preserve">These represent the urgent need for the </w:t>
      </w:r>
      <w:r w:rsidRPr="00413E69">
        <w:rPr>
          <w:rFonts w:ascii="Times New Roman" w:hAnsi="Times New Roman" w:cs="Times New Roman"/>
          <w:sz w:val="20"/>
          <w:szCs w:val="20"/>
          <w:lang w:val="en-US"/>
        </w:rPr>
        <w:t xml:space="preserve">identification </w:t>
      </w:r>
      <w:r w:rsidRPr="00413E69">
        <w:rPr>
          <w:rFonts w:ascii="Times New Roman" w:hAnsi="Times New Roman" w:cs="Times New Roman"/>
          <w:sz w:val="20"/>
          <w:szCs w:val="20"/>
        </w:rPr>
        <w:t>of more sensitive and alternative biomarkers of renal dysfunction at an early stage. [8]</w:t>
      </w:r>
    </w:p>
    <w:p w14:paraId="4E729F97" w14:textId="77777777" w:rsidR="0018141D" w:rsidRPr="00413E69" w:rsidRDefault="0076242C" w:rsidP="00413E69">
      <w:pPr>
        <w:spacing w:after="0" w:line="360" w:lineRule="auto"/>
        <w:ind w:right="-472"/>
        <w:jc w:val="both"/>
        <w:rPr>
          <w:rFonts w:ascii="Times New Roman" w:hAnsi="Times New Roman" w:cs="Times New Roman"/>
          <w:sz w:val="20"/>
          <w:szCs w:val="20"/>
        </w:rPr>
      </w:pPr>
      <w:r w:rsidRPr="00413E69">
        <w:rPr>
          <w:rFonts w:ascii="Times New Roman" w:hAnsi="Times New Roman" w:cs="Times New Roman"/>
          <w:sz w:val="20"/>
          <w:szCs w:val="20"/>
        </w:rPr>
        <w:t>So, there is a need for easily available routine biomarkers such as the glycated haemoglobin (HbA1c), serum uric acid, and lipid ratios reflects the complex glucotoxicity, systemic inflammation and insulin resistance - which drive the pathogenesis of renal injury. [6]</w:t>
      </w:r>
    </w:p>
    <w:p w14:paraId="1E61541A" w14:textId="77777777" w:rsidR="0018141D" w:rsidRPr="00413E69" w:rsidRDefault="0076242C" w:rsidP="00413E69">
      <w:pPr>
        <w:spacing w:after="0" w:line="360" w:lineRule="auto"/>
        <w:ind w:right="-472"/>
        <w:jc w:val="both"/>
        <w:rPr>
          <w:rFonts w:ascii="Times New Roman" w:hAnsi="Times New Roman" w:cs="Times New Roman"/>
          <w:sz w:val="20"/>
          <w:szCs w:val="20"/>
          <w:lang w:val="en-US"/>
        </w:rPr>
      </w:pPr>
      <w:r w:rsidRPr="00413E69">
        <w:rPr>
          <w:rFonts w:ascii="Times New Roman" w:hAnsi="Times New Roman" w:cs="Times New Roman"/>
          <w:sz w:val="20"/>
          <w:szCs w:val="20"/>
        </w:rPr>
        <w:t xml:space="preserve">Early identification of routine biochemical markers will enable clinicians to stratify the high-risk T2DM patients accurately and help the patients to prevent fatal complications. By assessing the conventional biomarkers over a prospective period, this study aims </w:t>
      </w:r>
      <w:r w:rsidRPr="00413E69">
        <w:rPr>
          <w:rFonts w:ascii="Times New Roman" w:hAnsi="Times New Roman" w:cs="Times New Roman"/>
          <w:sz w:val="20"/>
          <w:szCs w:val="20"/>
          <w:lang w:val="en-US"/>
        </w:rPr>
        <w:t>t</w:t>
      </w:r>
      <w:r w:rsidRPr="00413E69">
        <w:rPr>
          <w:rFonts w:ascii="Times New Roman" w:hAnsi="Times New Roman" w:cs="Times New Roman"/>
          <w:sz w:val="20"/>
          <w:szCs w:val="20"/>
        </w:rPr>
        <w:t xml:space="preserve">o evaluate the association and diagnostic performance of routine biochemical biomarkers for the early detection of diabetic kidney disease among patients with type 2 diabetes mellitus by comparing normoalbuminuric and </w:t>
      </w:r>
      <w:proofErr w:type="spellStart"/>
      <w:r w:rsidRPr="00413E69">
        <w:rPr>
          <w:rFonts w:ascii="Times New Roman" w:hAnsi="Times New Roman" w:cs="Times New Roman"/>
          <w:sz w:val="20"/>
          <w:szCs w:val="20"/>
        </w:rPr>
        <w:t>microalbuminuric</w:t>
      </w:r>
      <w:proofErr w:type="spellEnd"/>
      <w:r w:rsidRPr="00413E69">
        <w:rPr>
          <w:rFonts w:ascii="Times New Roman" w:hAnsi="Times New Roman" w:cs="Times New Roman"/>
          <w:sz w:val="20"/>
          <w:szCs w:val="20"/>
        </w:rPr>
        <w:t xml:space="preserve"> individuals</w:t>
      </w:r>
      <w:r w:rsidRPr="00413E69">
        <w:rPr>
          <w:rFonts w:ascii="Times New Roman" w:hAnsi="Times New Roman" w:cs="Times New Roman"/>
          <w:sz w:val="20"/>
          <w:szCs w:val="20"/>
          <w:lang w:val="en-US"/>
        </w:rPr>
        <w:t>.</w:t>
      </w:r>
    </w:p>
    <w:p w14:paraId="48C614F1" w14:textId="77777777" w:rsidR="0018141D" w:rsidRPr="00413E69" w:rsidRDefault="0076242C" w:rsidP="00413E69">
      <w:pPr>
        <w:spacing w:after="0" w:line="360" w:lineRule="auto"/>
        <w:ind w:right="-472"/>
        <w:jc w:val="both"/>
        <w:rPr>
          <w:rFonts w:ascii="Times New Roman" w:hAnsi="Times New Roman" w:cs="Times New Roman"/>
          <w:b/>
          <w:sz w:val="20"/>
          <w:szCs w:val="20"/>
        </w:rPr>
      </w:pPr>
      <w:r w:rsidRPr="00413E69">
        <w:rPr>
          <w:rFonts w:ascii="Times New Roman" w:hAnsi="Times New Roman" w:cs="Times New Roman"/>
          <w:b/>
          <w:sz w:val="20"/>
          <w:szCs w:val="20"/>
        </w:rPr>
        <w:t>METHOD</w:t>
      </w:r>
    </w:p>
    <w:p w14:paraId="721E2CB3" w14:textId="77777777" w:rsidR="0018141D" w:rsidRPr="00413E69" w:rsidRDefault="0076242C" w:rsidP="00413E69">
      <w:pPr>
        <w:spacing w:after="0" w:line="360" w:lineRule="auto"/>
        <w:jc w:val="both"/>
        <w:rPr>
          <w:rFonts w:ascii="Times New Roman" w:hAnsi="Times New Roman" w:cs="Times New Roman"/>
          <w:b/>
          <w:sz w:val="20"/>
          <w:szCs w:val="20"/>
        </w:rPr>
      </w:pPr>
      <w:r w:rsidRPr="00413E69">
        <w:rPr>
          <w:rFonts w:ascii="Times New Roman" w:hAnsi="Times New Roman" w:cs="Times New Roman"/>
          <w:b/>
          <w:sz w:val="20"/>
          <w:szCs w:val="20"/>
        </w:rPr>
        <w:t xml:space="preserve">Research design </w:t>
      </w:r>
    </w:p>
    <w:p w14:paraId="0AA5D65A" w14:textId="77777777" w:rsidR="0018141D" w:rsidRPr="00413E69" w:rsidRDefault="0076242C" w:rsidP="00413E69">
      <w:pPr>
        <w:spacing w:after="0" w:line="360" w:lineRule="auto"/>
        <w:jc w:val="both"/>
        <w:rPr>
          <w:rFonts w:ascii="Times New Roman" w:hAnsi="Times New Roman" w:cs="Times New Roman"/>
          <w:sz w:val="20"/>
          <w:szCs w:val="20"/>
        </w:rPr>
      </w:pPr>
      <w:r w:rsidRPr="00413E69">
        <w:rPr>
          <w:rFonts w:ascii="Times New Roman" w:hAnsi="Times New Roman" w:cs="Times New Roman"/>
          <w:sz w:val="20"/>
          <w:szCs w:val="20"/>
        </w:rPr>
        <w:t xml:space="preserve">The study is a </w:t>
      </w:r>
      <w:r w:rsidRPr="00413E69">
        <w:rPr>
          <w:rStyle w:val="Strong"/>
          <w:rFonts w:ascii="Times New Roman" w:hAnsi="Times New Roman" w:cs="Times New Roman"/>
          <w:b w:val="0"/>
          <w:bCs w:val="0"/>
          <w:sz w:val="20"/>
          <w:szCs w:val="20"/>
        </w:rPr>
        <w:t>h</w:t>
      </w:r>
      <w:r w:rsidRPr="00413E69">
        <w:rPr>
          <w:rStyle w:val="Strong"/>
          <w:rFonts w:ascii="Times New Roman" w:hAnsi="Times New Roman" w:cs="Times New Roman"/>
          <w:b w:val="0"/>
          <w:sz w:val="20"/>
          <w:szCs w:val="20"/>
        </w:rPr>
        <w:t xml:space="preserve">ospital-based </w:t>
      </w:r>
      <w:r w:rsidRPr="00413E69">
        <w:rPr>
          <w:rStyle w:val="Strong"/>
          <w:rFonts w:ascii="Times New Roman" w:hAnsi="Times New Roman" w:cs="Times New Roman"/>
          <w:b w:val="0"/>
          <w:sz w:val="20"/>
          <w:szCs w:val="20"/>
          <w:lang w:val="en-US"/>
        </w:rPr>
        <w:t xml:space="preserve">analytical cross-sectional comparative </w:t>
      </w:r>
      <w:r w:rsidRPr="00413E69">
        <w:rPr>
          <w:rStyle w:val="Strong"/>
          <w:rFonts w:ascii="Times New Roman" w:hAnsi="Times New Roman" w:cs="Times New Roman"/>
          <w:b w:val="0"/>
          <w:sz w:val="20"/>
          <w:szCs w:val="20"/>
        </w:rPr>
        <w:t>study which was conducted</w:t>
      </w:r>
      <w:r w:rsidRPr="00413E69">
        <w:rPr>
          <w:rStyle w:val="Strong"/>
          <w:rFonts w:ascii="Times New Roman" w:hAnsi="Times New Roman" w:cs="Times New Roman"/>
          <w:b w:val="0"/>
          <w:sz w:val="20"/>
          <w:szCs w:val="20"/>
          <w:lang w:val="en-US"/>
        </w:rPr>
        <w:t xml:space="preserve"> from 2009 to 2010</w:t>
      </w:r>
      <w:r w:rsidRPr="00413E69">
        <w:rPr>
          <w:rStyle w:val="Strong"/>
          <w:rFonts w:ascii="Times New Roman" w:hAnsi="Times New Roman" w:cs="Times New Roman"/>
          <w:b w:val="0"/>
          <w:sz w:val="20"/>
          <w:szCs w:val="20"/>
        </w:rPr>
        <w:t xml:space="preserve"> to evaluate the biochemical predictors for the analysis of the </w:t>
      </w:r>
      <w:r w:rsidRPr="00413E69">
        <w:rPr>
          <w:rStyle w:val="Strong"/>
          <w:rFonts w:ascii="Times New Roman" w:hAnsi="Times New Roman" w:cs="Times New Roman"/>
          <w:b w:val="0"/>
          <w:sz w:val="20"/>
          <w:szCs w:val="20"/>
          <w:lang w:val="en-US"/>
        </w:rPr>
        <w:t xml:space="preserve">renal </w:t>
      </w:r>
      <w:r w:rsidRPr="00413E69">
        <w:rPr>
          <w:rStyle w:val="Strong"/>
          <w:rFonts w:ascii="Times New Roman" w:hAnsi="Times New Roman" w:cs="Times New Roman"/>
          <w:b w:val="0"/>
          <w:sz w:val="20"/>
          <w:szCs w:val="20"/>
        </w:rPr>
        <w:t xml:space="preserve">disease among Type 2 diabetes patients. The study was conducted in </w:t>
      </w:r>
      <w:r w:rsidRPr="00413E69">
        <w:rPr>
          <w:rStyle w:val="Strong"/>
          <w:rFonts w:ascii="Times New Roman" w:hAnsi="Times New Roman" w:cs="Times New Roman"/>
          <w:b w:val="0"/>
          <w:sz w:val="20"/>
          <w:szCs w:val="20"/>
          <w:lang w:val="en-US"/>
        </w:rPr>
        <w:t>a t</w:t>
      </w:r>
      <w:proofErr w:type="spellStart"/>
      <w:r w:rsidRPr="00413E69">
        <w:rPr>
          <w:rStyle w:val="Strong"/>
          <w:rFonts w:ascii="Times New Roman" w:hAnsi="Times New Roman" w:cs="Times New Roman"/>
          <w:b w:val="0"/>
          <w:sz w:val="20"/>
          <w:szCs w:val="20"/>
        </w:rPr>
        <w:t>ertiary</w:t>
      </w:r>
      <w:proofErr w:type="spellEnd"/>
      <w:r w:rsidRPr="00413E69">
        <w:rPr>
          <w:rStyle w:val="Strong"/>
          <w:rFonts w:ascii="Times New Roman" w:hAnsi="Times New Roman" w:cs="Times New Roman"/>
          <w:b w:val="0"/>
          <w:sz w:val="20"/>
          <w:szCs w:val="20"/>
        </w:rPr>
        <w:t xml:space="preserve"> care </w:t>
      </w:r>
      <w:r w:rsidRPr="00413E69">
        <w:rPr>
          <w:rStyle w:val="Strong"/>
          <w:rFonts w:ascii="Times New Roman" w:hAnsi="Times New Roman" w:cs="Times New Roman"/>
          <w:b w:val="0"/>
          <w:sz w:val="20"/>
          <w:szCs w:val="20"/>
          <w:lang w:val="en-US"/>
        </w:rPr>
        <w:t xml:space="preserve">setting </w:t>
      </w:r>
      <w:r w:rsidRPr="00413E69">
        <w:rPr>
          <w:rStyle w:val="Strong"/>
          <w:rFonts w:ascii="Times New Roman" w:hAnsi="Times New Roman" w:cs="Times New Roman"/>
          <w:b w:val="0"/>
          <w:sz w:val="20"/>
          <w:szCs w:val="20"/>
        </w:rPr>
        <w:t xml:space="preserve">for a duration of 1 year. Total 150 patients of T2DM were included in the study. 150 patients were </w:t>
      </w:r>
      <w:r w:rsidRPr="00413E69">
        <w:rPr>
          <w:rStyle w:val="Strong"/>
          <w:rFonts w:ascii="Times New Roman" w:hAnsi="Times New Roman" w:cs="Times New Roman"/>
          <w:b w:val="0"/>
          <w:sz w:val="20"/>
          <w:szCs w:val="20"/>
          <w:lang w:val="en-US"/>
        </w:rPr>
        <w:t xml:space="preserve">divided </w:t>
      </w:r>
      <w:r w:rsidRPr="00413E69">
        <w:rPr>
          <w:rStyle w:val="Strong"/>
          <w:rFonts w:ascii="Times New Roman" w:hAnsi="Times New Roman" w:cs="Times New Roman"/>
          <w:b w:val="0"/>
          <w:sz w:val="20"/>
          <w:szCs w:val="20"/>
        </w:rPr>
        <w:t>into 2 groups, Group I (Normoalbuminuric, n = 75)</w:t>
      </w:r>
      <w:r w:rsidRPr="00413E69">
        <w:rPr>
          <w:rFonts w:ascii="Times New Roman" w:hAnsi="Times New Roman" w:cs="Times New Roman"/>
          <w:b/>
          <w:sz w:val="20"/>
          <w:szCs w:val="20"/>
        </w:rPr>
        <w:t xml:space="preserve"> </w:t>
      </w:r>
      <w:r w:rsidRPr="00413E69">
        <w:rPr>
          <w:rFonts w:ascii="Times New Roman" w:hAnsi="Times New Roman" w:cs="Times New Roman"/>
          <w:sz w:val="20"/>
          <w:szCs w:val="20"/>
        </w:rPr>
        <w:t>and</w:t>
      </w:r>
      <w:r w:rsidRPr="00413E69">
        <w:rPr>
          <w:rFonts w:ascii="Times New Roman" w:hAnsi="Times New Roman" w:cs="Times New Roman"/>
          <w:b/>
          <w:sz w:val="20"/>
          <w:szCs w:val="20"/>
        </w:rPr>
        <w:t xml:space="preserve"> </w:t>
      </w:r>
      <w:r w:rsidRPr="00413E69">
        <w:rPr>
          <w:rStyle w:val="Strong"/>
          <w:rFonts w:ascii="Times New Roman" w:hAnsi="Times New Roman" w:cs="Times New Roman"/>
          <w:b w:val="0"/>
          <w:sz w:val="20"/>
          <w:szCs w:val="20"/>
        </w:rPr>
        <w:t>Group II (</w:t>
      </w:r>
      <w:proofErr w:type="spellStart"/>
      <w:r w:rsidRPr="00413E69">
        <w:rPr>
          <w:rStyle w:val="Strong"/>
          <w:rFonts w:ascii="Times New Roman" w:hAnsi="Times New Roman" w:cs="Times New Roman"/>
          <w:b w:val="0"/>
          <w:sz w:val="20"/>
          <w:szCs w:val="20"/>
        </w:rPr>
        <w:t>Microalbuminuric</w:t>
      </w:r>
      <w:proofErr w:type="spellEnd"/>
      <w:r w:rsidRPr="00413E69">
        <w:rPr>
          <w:rStyle w:val="Strong"/>
          <w:rFonts w:ascii="Times New Roman" w:hAnsi="Times New Roman" w:cs="Times New Roman"/>
          <w:b w:val="0"/>
          <w:sz w:val="20"/>
          <w:szCs w:val="20"/>
        </w:rPr>
        <w:t>, n = 75)</w:t>
      </w:r>
      <w:r w:rsidRPr="00413E69">
        <w:rPr>
          <w:rFonts w:ascii="Times New Roman" w:hAnsi="Times New Roman" w:cs="Times New Roman"/>
          <w:b/>
          <w:sz w:val="20"/>
          <w:szCs w:val="20"/>
        </w:rPr>
        <w:t xml:space="preserve">. </w:t>
      </w:r>
      <w:r w:rsidRPr="00413E69">
        <w:rPr>
          <w:rFonts w:ascii="Times New Roman" w:hAnsi="Times New Roman" w:cs="Times New Roman"/>
          <w:sz w:val="20"/>
          <w:szCs w:val="20"/>
        </w:rPr>
        <w:t xml:space="preserve">Informed consent was taken for the study. Various predefined exclusion and inclusion criteria were considered for the study. </w:t>
      </w:r>
    </w:p>
    <w:p w14:paraId="4C2EDC8D" w14:textId="77777777" w:rsidR="0018141D" w:rsidRPr="00413E69" w:rsidRDefault="0076242C" w:rsidP="00413E69">
      <w:pPr>
        <w:spacing w:after="0" w:line="360" w:lineRule="auto"/>
        <w:jc w:val="both"/>
        <w:rPr>
          <w:rFonts w:ascii="Times New Roman" w:hAnsi="Times New Roman" w:cs="Times New Roman"/>
          <w:b/>
          <w:sz w:val="20"/>
          <w:szCs w:val="20"/>
        </w:rPr>
      </w:pPr>
      <w:r w:rsidRPr="00413E69">
        <w:rPr>
          <w:rFonts w:ascii="Times New Roman" w:hAnsi="Times New Roman" w:cs="Times New Roman"/>
          <w:b/>
          <w:sz w:val="20"/>
          <w:szCs w:val="20"/>
        </w:rPr>
        <w:t xml:space="preserve">Inclusion criteria </w:t>
      </w:r>
    </w:p>
    <w:p w14:paraId="3CCFF6CC" w14:textId="77777777" w:rsidR="0018141D" w:rsidRPr="00413E69" w:rsidRDefault="0076242C" w:rsidP="00413E69">
      <w:pPr>
        <w:pStyle w:val="ListParagraph"/>
        <w:numPr>
          <w:ilvl w:val="0"/>
          <w:numId w:val="1"/>
        </w:numPr>
        <w:spacing w:after="0" w:line="360" w:lineRule="auto"/>
        <w:jc w:val="both"/>
        <w:rPr>
          <w:rFonts w:ascii="Times New Roman" w:hAnsi="Times New Roman" w:cs="Times New Roman"/>
          <w:b/>
          <w:sz w:val="20"/>
          <w:szCs w:val="20"/>
        </w:rPr>
      </w:pPr>
      <w:r w:rsidRPr="00413E69">
        <w:rPr>
          <w:rFonts w:ascii="Times New Roman" w:hAnsi="Times New Roman" w:cs="Times New Roman"/>
          <w:sz w:val="20"/>
          <w:szCs w:val="20"/>
        </w:rPr>
        <w:t xml:space="preserve">Patients of age 30 to 70 years and confirmed with the T2DM diagnosis were selected for the study. </w:t>
      </w:r>
    </w:p>
    <w:p w14:paraId="113BC754" w14:textId="77777777" w:rsidR="0018141D" w:rsidRPr="00413E69" w:rsidRDefault="0076242C" w:rsidP="00413E69">
      <w:pPr>
        <w:pStyle w:val="ListParagraph"/>
        <w:numPr>
          <w:ilvl w:val="0"/>
          <w:numId w:val="1"/>
        </w:numPr>
        <w:spacing w:after="0" w:line="360" w:lineRule="auto"/>
        <w:jc w:val="both"/>
        <w:rPr>
          <w:rFonts w:ascii="Times New Roman" w:hAnsi="Times New Roman" w:cs="Times New Roman"/>
          <w:b/>
          <w:sz w:val="20"/>
          <w:szCs w:val="20"/>
        </w:rPr>
      </w:pPr>
      <w:r w:rsidRPr="00413E69">
        <w:rPr>
          <w:rFonts w:ascii="Times New Roman" w:hAnsi="Times New Roman" w:cs="Times New Roman"/>
          <w:sz w:val="20"/>
          <w:szCs w:val="20"/>
        </w:rPr>
        <w:t xml:space="preserve">Patients of </w:t>
      </w:r>
      <w:r w:rsidRPr="00413E69">
        <w:rPr>
          <w:rFonts w:ascii="Times New Roman" w:eastAsia="Times New Roman" w:hAnsi="Times New Roman" w:cs="Times New Roman"/>
          <w:bCs/>
          <w:kern w:val="0"/>
          <w:sz w:val="20"/>
          <w:szCs w:val="20"/>
          <w:lang w:eastAsia="en-IN"/>
        </w:rPr>
        <w:t xml:space="preserve">Normoalbuminuric with the </w:t>
      </w:r>
      <w:r w:rsidRPr="00413E69">
        <w:rPr>
          <w:rFonts w:ascii="Times New Roman" w:eastAsia="Times New Roman" w:hAnsi="Times New Roman" w:cs="Times New Roman"/>
          <w:kern w:val="0"/>
          <w:sz w:val="20"/>
          <w:szCs w:val="20"/>
          <w:lang w:eastAsia="en-IN"/>
        </w:rPr>
        <w:t xml:space="preserve">UACR &lt;30 mg/g and of </w:t>
      </w:r>
      <w:r w:rsidRPr="00413E69">
        <w:rPr>
          <w:rFonts w:ascii="Times New Roman" w:eastAsia="Times New Roman" w:hAnsi="Times New Roman" w:cs="Times New Roman"/>
          <w:bCs/>
          <w:kern w:val="0"/>
          <w:sz w:val="20"/>
          <w:szCs w:val="20"/>
          <w:lang w:eastAsia="en-IN"/>
        </w:rPr>
        <w:t>eGFR ≥60 mL/min/1.73 m</w:t>
      </w:r>
      <w:r w:rsidRPr="00413E69">
        <w:rPr>
          <w:rFonts w:ascii="Times New Roman" w:eastAsia="Times New Roman" w:hAnsi="Times New Roman" w:cs="Times New Roman"/>
          <w:b/>
          <w:bCs/>
          <w:kern w:val="0"/>
          <w:sz w:val="20"/>
          <w:szCs w:val="20"/>
          <w:lang w:eastAsia="en-IN"/>
        </w:rPr>
        <w:t>²</w:t>
      </w:r>
      <w:r w:rsidRPr="00413E69">
        <w:rPr>
          <w:rFonts w:ascii="Times New Roman" w:eastAsia="Times New Roman" w:hAnsi="Times New Roman" w:cs="Times New Roman"/>
          <w:kern w:val="0"/>
          <w:sz w:val="20"/>
          <w:szCs w:val="20"/>
          <w:lang w:eastAsia="en-IN"/>
        </w:rPr>
        <w:t xml:space="preserve"> were included. </w:t>
      </w:r>
    </w:p>
    <w:p w14:paraId="3D5AA57A" w14:textId="77777777" w:rsidR="0018141D" w:rsidRPr="00413E69" w:rsidRDefault="0076242C" w:rsidP="00413E69">
      <w:pPr>
        <w:pStyle w:val="ListParagraph"/>
        <w:numPr>
          <w:ilvl w:val="0"/>
          <w:numId w:val="1"/>
        </w:numPr>
        <w:spacing w:after="0" w:line="360" w:lineRule="auto"/>
        <w:jc w:val="both"/>
        <w:rPr>
          <w:rFonts w:ascii="Times New Roman" w:hAnsi="Times New Roman" w:cs="Times New Roman"/>
          <w:b/>
          <w:sz w:val="20"/>
          <w:szCs w:val="20"/>
        </w:rPr>
      </w:pPr>
      <w:r w:rsidRPr="00413E69">
        <w:rPr>
          <w:rFonts w:ascii="Times New Roman" w:hAnsi="Times New Roman" w:cs="Times New Roman"/>
          <w:sz w:val="20"/>
          <w:szCs w:val="20"/>
        </w:rPr>
        <w:t xml:space="preserve">Patients of </w:t>
      </w:r>
      <w:proofErr w:type="spellStart"/>
      <w:r w:rsidRPr="00413E69">
        <w:rPr>
          <w:rFonts w:ascii="Times New Roman" w:eastAsia="Times New Roman" w:hAnsi="Times New Roman" w:cs="Times New Roman"/>
          <w:bCs/>
          <w:kern w:val="0"/>
          <w:sz w:val="20"/>
          <w:szCs w:val="20"/>
          <w:lang w:eastAsia="en-IN"/>
        </w:rPr>
        <w:t>Microalbuminuric</w:t>
      </w:r>
      <w:proofErr w:type="spellEnd"/>
      <w:r w:rsidRPr="00413E69">
        <w:rPr>
          <w:rFonts w:ascii="Times New Roman" w:eastAsia="Times New Roman" w:hAnsi="Times New Roman" w:cs="Times New Roman"/>
          <w:bCs/>
          <w:kern w:val="0"/>
          <w:sz w:val="20"/>
          <w:szCs w:val="20"/>
          <w:lang w:eastAsia="en-IN"/>
        </w:rPr>
        <w:t xml:space="preserve"> groups with the </w:t>
      </w:r>
      <w:r w:rsidRPr="00413E69">
        <w:rPr>
          <w:rFonts w:ascii="Times New Roman" w:eastAsia="Times New Roman" w:hAnsi="Times New Roman" w:cs="Times New Roman"/>
          <w:kern w:val="0"/>
          <w:sz w:val="20"/>
          <w:szCs w:val="20"/>
          <w:lang w:eastAsia="en-IN"/>
        </w:rPr>
        <w:t xml:space="preserve">UACR </w:t>
      </w:r>
      <w:r w:rsidRPr="00413E69">
        <w:rPr>
          <w:rFonts w:ascii="Times New Roman" w:eastAsia="Times New Roman" w:hAnsi="Times New Roman" w:cs="Times New Roman"/>
          <w:bCs/>
          <w:kern w:val="0"/>
          <w:sz w:val="20"/>
          <w:szCs w:val="20"/>
          <w:lang w:eastAsia="en-IN"/>
        </w:rPr>
        <w:t>30–300 mg/g for duration of 3 months along with the</w:t>
      </w:r>
      <w:r w:rsidRPr="00413E69">
        <w:rPr>
          <w:rFonts w:ascii="Times New Roman" w:eastAsia="Times New Roman" w:hAnsi="Times New Roman" w:cs="Times New Roman"/>
          <w:b/>
          <w:bCs/>
          <w:kern w:val="0"/>
          <w:sz w:val="20"/>
          <w:szCs w:val="20"/>
          <w:lang w:eastAsia="en-IN"/>
        </w:rPr>
        <w:t xml:space="preserve"> </w:t>
      </w:r>
      <w:r w:rsidRPr="00413E69">
        <w:rPr>
          <w:rFonts w:ascii="Times New Roman" w:eastAsia="Times New Roman" w:hAnsi="Times New Roman" w:cs="Times New Roman"/>
          <w:bCs/>
          <w:kern w:val="0"/>
          <w:sz w:val="20"/>
          <w:szCs w:val="20"/>
          <w:lang w:eastAsia="en-IN"/>
        </w:rPr>
        <w:t xml:space="preserve">eGFR ≥30 mL/min/1.73 m² were included. </w:t>
      </w:r>
    </w:p>
    <w:p w14:paraId="598B097E" w14:textId="77777777" w:rsidR="0018141D" w:rsidRPr="00413E69" w:rsidRDefault="0076242C" w:rsidP="00413E69">
      <w:pPr>
        <w:pStyle w:val="ListParagraph"/>
        <w:numPr>
          <w:ilvl w:val="0"/>
          <w:numId w:val="1"/>
        </w:numPr>
        <w:spacing w:after="0" w:line="360" w:lineRule="auto"/>
        <w:jc w:val="both"/>
        <w:rPr>
          <w:rFonts w:ascii="Times New Roman" w:hAnsi="Times New Roman" w:cs="Times New Roman"/>
          <w:sz w:val="20"/>
          <w:szCs w:val="20"/>
        </w:rPr>
      </w:pPr>
      <w:r w:rsidRPr="00413E69">
        <w:rPr>
          <w:rFonts w:ascii="Times New Roman" w:hAnsi="Times New Roman" w:cs="Times New Roman"/>
          <w:sz w:val="20"/>
          <w:szCs w:val="20"/>
        </w:rPr>
        <w:t xml:space="preserve">Informed consent was taken for the study. </w:t>
      </w:r>
    </w:p>
    <w:p w14:paraId="5847812B" w14:textId="77777777" w:rsidR="0018141D" w:rsidRPr="00413E69" w:rsidRDefault="0076242C" w:rsidP="00413E69">
      <w:pPr>
        <w:spacing w:after="0" w:line="360" w:lineRule="auto"/>
        <w:jc w:val="both"/>
        <w:rPr>
          <w:rFonts w:ascii="Times New Roman" w:hAnsi="Times New Roman" w:cs="Times New Roman"/>
          <w:b/>
          <w:sz w:val="20"/>
          <w:szCs w:val="20"/>
        </w:rPr>
      </w:pPr>
      <w:r w:rsidRPr="00413E69">
        <w:rPr>
          <w:rFonts w:ascii="Times New Roman" w:hAnsi="Times New Roman" w:cs="Times New Roman"/>
          <w:b/>
          <w:sz w:val="20"/>
          <w:szCs w:val="20"/>
        </w:rPr>
        <w:t xml:space="preserve">Exclusion criteria </w:t>
      </w:r>
    </w:p>
    <w:p w14:paraId="4A33393E" w14:textId="77777777" w:rsidR="0018141D" w:rsidRPr="00413E69" w:rsidRDefault="0076242C" w:rsidP="00413E69">
      <w:pPr>
        <w:pStyle w:val="ListParagraph"/>
        <w:numPr>
          <w:ilvl w:val="0"/>
          <w:numId w:val="2"/>
        </w:numPr>
        <w:spacing w:after="0" w:line="360" w:lineRule="auto"/>
        <w:jc w:val="both"/>
        <w:rPr>
          <w:rFonts w:ascii="Times New Roman" w:hAnsi="Times New Roman" w:cs="Times New Roman"/>
          <w:b/>
          <w:sz w:val="20"/>
          <w:szCs w:val="20"/>
        </w:rPr>
      </w:pPr>
      <w:r w:rsidRPr="00413E69">
        <w:rPr>
          <w:rFonts w:ascii="Times New Roman" w:eastAsia="Times New Roman" w:hAnsi="Times New Roman" w:cs="Times New Roman"/>
          <w:kern w:val="0"/>
          <w:sz w:val="20"/>
          <w:szCs w:val="20"/>
          <w:lang w:eastAsia="en-IN"/>
        </w:rPr>
        <w:t xml:space="preserve">Non-diabetic kidney disease with infection in the urinary tract was excluded. </w:t>
      </w:r>
    </w:p>
    <w:p w14:paraId="2A27EB92" w14:textId="77777777" w:rsidR="0018141D" w:rsidRPr="00413E69" w:rsidRDefault="0076242C" w:rsidP="00413E69">
      <w:pPr>
        <w:pStyle w:val="ListParagraph"/>
        <w:numPr>
          <w:ilvl w:val="0"/>
          <w:numId w:val="2"/>
        </w:numPr>
        <w:spacing w:after="0" w:line="360" w:lineRule="auto"/>
        <w:jc w:val="both"/>
        <w:rPr>
          <w:rFonts w:ascii="Times New Roman" w:hAnsi="Times New Roman" w:cs="Times New Roman"/>
          <w:sz w:val="20"/>
          <w:szCs w:val="20"/>
        </w:rPr>
      </w:pPr>
      <w:r w:rsidRPr="00413E69">
        <w:rPr>
          <w:rFonts w:ascii="Times New Roman" w:hAnsi="Times New Roman" w:cs="Times New Roman"/>
          <w:sz w:val="20"/>
          <w:szCs w:val="20"/>
        </w:rPr>
        <w:t xml:space="preserve">Patients with acute infection, chronic liver disorder, or malignant patients were not allowed for the study. </w:t>
      </w:r>
    </w:p>
    <w:p w14:paraId="58851708" w14:textId="77777777" w:rsidR="0018141D" w:rsidRPr="00413E69" w:rsidRDefault="0076242C" w:rsidP="00413E69">
      <w:pPr>
        <w:pStyle w:val="ListParagraph"/>
        <w:numPr>
          <w:ilvl w:val="0"/>
          <w:numId w:val="2"/>
        </w:numPr>
        <w:spacing w:after="0" w:line="360" w:lineRule="auto"/>
        <w:jc w:val="both"/>
        <w:rPr>
          <w:rFonts w:ascii="Times New Roman" w:hAnsi="Times New Roman" w:cs="Times New Roman"/>
          <w:sz w:val="20"/>
          <w:szCs w:val="20"/>
        </w:rPr>
      </w:pPr>
      <w:r w:rsidRPr="00413E69">
        <w:rPr>
          <w:rFonts w:ascii="Times New Roman" w:hAnsi="Times New Roman" w:cs="Times New Roman"/>
          <w:sz w:val="20"/>
          <w:szCs w:val="20"/>
        </w:rPr>
        <w:t xml:space="preserve">Pregnant patients were eliminated. </w:t>
      </w:r>
    </w:p>
    <w:p w14:paraId="04D16354" w14:textId="77777777" w:rsidR="0018141D" w:rsidRPr="00413E69" w:rsidRDefault="0076242C" w:rsidP="00413E69">
      <w:pPr>
        <w:pStyle w:val="ListParagraph"/>
        <w:numPr>
          <w:ilvl w:val="0"/>
          <w:numId w:val="2"/>
        </w:numPr>
        <w:spacing w:after="0" w:line="360" w:lineRule="auto"/>
        <w:jc w:val="both"/>
        <w:rPr>
          <w:rFonts w:ascii="Times New Roman" w:hAnsi="Times New Roman" w:cs="Times New Roman"/>
          <w:b/>
          <w:sz w:val="20"/>
          <w:szCs w:val="20"/>
        </w:rPr>
      </w:pPr>
      <w:r w:rsidRPr="00413E69">
        <w:rPr>
          <w:rFonts w:ascii="Times New Roman" w:hAnsi="Times New Roman" w:cs="Times New Roman"/>
          <w:sz w:val="20"/>
          <w:szCs w:val="20"/>
        </w:rPr>
        <w:t xml:space="preserve">Those who were exposed to the </w:t>
      </w:r>
      <w:r w:rsidRPr="00413E69">
        <w:rPr>
          <w:rFonts w:ascii="Times New Roman" w:eastAsia="Times New Roman" w:hAnsi="Times New Roman" w:cs="Times New Roman"/>
          <w:kern w:val="0"/>
          <w:sz w:val="20"/>
          <w:szCs w:val="20"/>
          <w:lang w:eastAsia="en-IN"/>
        </w:rPr>
        <w:t xml:space="preserve">nephrotoxic drugs within initial 2 weeks were excluded. </w:t>
      </w:r>
    </w:p>
    <w:p w14:paraId="6FDC43B0" w14:textId="77777777" w:rsidR="0018141D" w:rsidRPr="00413E69" w:rsidRDefault="0018141D" w:rsidP="00413E69">
      <w:pPr>
        <w:spacing w:after="0" w:line="360" w:lineRule="auto"/>
        <w:jc w:val="both"/>
        <w:rPr>
          <w:rFonts w:ascii="Times New Roman" w:hAnsi="Times New Roman" w:cs="Times New Roman"/>
          <w:b/>
          <w:sz w:val="20"/>
          <w:szCs w:val="20"/>
        </w:rPr>
      </w:pPr>
    </w:p>
    <w:p w14:paraId="701D9D49" w14:textId="77777777" w:rsidR="0018141D" w:rsidRPr="00413E69" w:rsidRDefault="0076242C" w:rsidP="00413E69">
      <w:pPr>
        <w:spacing w:after="0" w:line="360" w:lineRule="auto"/>
        <w:jc w:val="both"/>
        <w:rPr>
          <w:rFonts w:ascii="Times New Roman" w:hAnsi="Times New Roman" w:cs="Times New Roman"/>
          <w:b/>
          <w:sz w:val="20"/>
          <w:szCs w:val="20"/>
        </w:rPr>
      </w:pPr>
      <w:r w:rsidRPr="00413E69">
        <w:rPr>
          <w:rFonts w:ascii="Times New Roman" w:hAnsi="Times New Roman" w:cs="Times New Roman"/>
          <w:b/>
          <w:sz w:val="20"/>
          <w:szCs w:val="20"/>
        </w:rPr>
        <w:lastRenderedPageBreak/>
        <w:t xml:space="preserve">Procedure </w:t>
      </w:r>
    </w:p>
    <w:p w14:paraId="3B27FE85" w14:textId="77777777" w:rsidR="0018141D" w:rsidRPr="00413E69" w:rsidRDefault="0076242C" w:rsidP="00413E69">
      <w:pPr>
        <w:spacing w:after="0" w:line="360" w:lineRule="auto"/>
        <w:jc w:val="both"/>
        <w:rPr>
          <w:rFonts w:ascii="Times New Roman" w:hAnsi="Times New Roman" w:cs="Times New Roman"/>
          <w:b/>
          <w:sz w:val="20"/>
          <w:szCs w:val="20"/>
        </w:rPr>
      </w:pPr>
      <w:r w:rsidRPr="00413E69">
        <w:rPr>
          <w:rFonts w:ascii="Times New Roman" w:hAnsi="Times New Roman" w:cs="Times New Roman"/>
          <w:sz w:val="20"/>
          <w:szCs w:val="20"/>
        </w:rPr>
        <w:t xml:space="preserve">Informed consent was taken for the study. All 150 patients with </w:t>
      </w:r>
      <w:r w:rsidRPr="00413E69">
        <w:rPr>
          <w:rFonts w:ascii="Times New Roman" w:eastAsia="Times New Roman" w:hAnsi="Times New Roman" w:cs="Times New Roman"/>
          <w:bCs/>
          <w:kern w:val="0"/>
          <w:sz w:val="20"/>
          <w:szCs w:val="20"/>
          <w:lang w:eastAsia="en-IN"/>
        </w:rPr>
        <w:t>type 2 diabetes mellitus (T2DM) were selected for the study. The patients were categorised into Group I (Normoalbuminuric, n = 75)</w:t>
      </w:r>
      <w:r w:rsidRPr="00413E69">
        <w:rPr>
          <w:rFonts w:ascii="Times New Roman" w:eastAsia="Times New Roman" w:hAnsi="Times New Roman" w:cs="Times New Roman"/>
          <w:kern w:val="0"/>
          <w:sz w:val="20"/>
          <w:szCs w:val="20"/>
          <w:lang w:eastAsia="en-IN"/>
        </w:rPr>
        <w:t xml:space="preserve"> and </w:t>
      </w:r>
      <w:r w:rsidRPr="00413E69">
        <w:rPr>
          <w:rFonts w:ascii="Times New Roman" w:eastAsia="Times New Roman" w:hAnsi="Times New Roman" w:cs="Times New Roman"/>
          <w:bCs/>
          <w:kern w:val="0"/>
          <w:sz w:val="20"/>
          <w:szCs w:val="20"/>
          <w:lang w:eastAsia="en-IN"/>
        </w:rPr>
        <w:t>Group II (</w:t>
      </w:r>
      <w:proofErr w:type="spellStart"/>
      <w:r w:rsidRPr="00413E69">
        <w:rPr>
          <w:rFonts w:ascii="Times New Roman" w:eastAsia="Times New Roman" w:hAnsi="Times New Roman" w:cs="Times New Roman"/>
          <w:bCs/>
          <w:kern w:val="0"/>
          <w:sz w:val="20"/>
          <w:szCs w:val="20"/>
          <w:lang w:eastAsia="en-IN"/>
        </w:rPr>
        <w:t>Microalbuminuric</w:t>
      </w:r>
      <w:proofErr w:type="spellEnd"/>
      <w:r w:rsidRPr="00413E69">
        <w:rPr>
          <w:rFonts w:ascii="Times New Roman" w:eastAsia="Times New Roman" w:hAnsi="Times New Roman" w:cs="Times New Roman"/>
          <w:bCs/>
          <w:kern w:val="0"/>
          <w:sz w:val="20"/>
          <w:szCs w:val="20"/>
          <w:lang w:eastAsia="en-IN"/>
        </w:rPr>
        <w:t>, n = 75)</w:t>
      </w:r>
      <w:r w:rsidRPr="00413E69">
        <w:rPr>
          <w:rFonts w:ascii="Times New Roman" w:eastAsia="Times New Roman" w:hAnsi="Times New Roman" w:cs="Times New Roman"/>
          <w:kern w:val="0"/>
          <w:sz w:val="20"/>
          <w:szCs w:val="20"/>
          <w:lang w:eastAsia="en-IN"/>
        </w:rPr>
        <w:t xml:space="preserve"> on the basis of the urinary albumin-to-creatinine ratio (UACR). All patients were analysed and the demographic and clinical parameters including the age, sex, body mass index (BMI), duration of diabetes, blood pressure, previous history of medication, comorbidities, and glycaemic status (</w:t>
      </w:r>
      <w:proofErr w:type="spellStart"/>
      <w:r w:rsidRPr="00413E69">
        <w:rPr>
          <w:rFonts w:ascii="Times New Roman" w:eastAsia="Times New Roman" w:hAnsi="Times New Roman" w:cs="Times New Roman"/>
          <w:kern w:val="0"/>
          <w:sz w:val="20"/>
          <w:szCs w:val="20"/>
          <w:lang w:eastAsia="en-IN"/>
        </w:rPr>
        <w:t>HbA₁c</w:t>
      </w:r>
      <w:proofErr w:type="spellEnd"/>
      <w:r w:rsidRPr="00413E69">
        <w:rPr>
          <w:rFonts w:ascii="Times New Roman" w:eastAsia="Times New Roman" w:hAnsi="Times New Roman" w:cs="Times New Roman"/>
          <w:kern w:val="0"/>
          <w:sz w:val="20"/>
          <w:szCs w:val="20"/>
          <w:lang w:eastAsia="en-IN"/>
        </w:rPr>
        <w:t xml:space="preserve">), was recorded by the use of proper structured proforma. </w:t>
      </w:r>
      <w:proofErr w:type="gramStart"/>
      <w:r w:rsidRPr="00413E69">
        <w:rPr>
          <w:rFonts w:ascii="Times New Roman" w:eastAsia="Times New Roman" w:hAnsi="Times New Roman" w:cs="Times New Roman"/>
          <w:kern w:val="0"/>
          <w:sz w:val="20"/>
          <w:szCs w:val="20"/>
          <w:lang w:eastAsia="en-IN"/>
        </w:rPr>
        <w:t>.Following</w:t>
      </w:r>
      <w:proofErr w:type="gramEnd"/>
      <w:r w:rsidRPr="00413E69">
        <w:rPr>
          <w:rFonts w:ascii="Times New Roman" w:eastAsia="Times New Roman" w:hAnsi="Times New Roman" w:cs="Times New Roman"/>
          <w:kern w:val="0"/>
          <w:sz w:val="20"/>
          <w:szCs w:val="20"/>
          <w:lang w:eastAsia="en-IN"/>
        </w:rPr>
        <w:t xml:space="preserve"> an overnight fast, venous blood samples were collected for the estimation of serum creatinine (enzymatic method), blood urea (urease-glutamate dehydrogenase method), serum uric acid (uricase-peroxidase method), serum cystatin C (immunoturbidimetric assay), and glycated haemoglobin (</w:t>
      </w:r>
      <w:proofErr w:type="spellStart"/>
      <w:r w:rsidRPr="00413E69">
        <w:rPr>
          <w:rFonts w:ascii="Times New Roman" w:eastAsia="Times New Roman" w:hAnsi="Times New Roman" w:cs="Times New Roman"/>
          <w:kern w:val="0"/>
          <w:sz w:val="20"/>
          <w:szCs w:val="20"/>
          <w:lang w:eastAsia="en-IN"/>
        </w:rPr>
        <w:t>HbA₁c</w:t>
      </w:r>
      <w:proofErr w:type="spellEnd"/>
      <w:r w:rsidRPr="00413E69">
        <w:rPr>
          <w:rFonts w:ascii="Times New Roman" w:eastAsia="Times New Roman" w:hAnsi="Times New Roman" w:cs="Times New Roman"/>
          <w:kern w:val="0"/>
          <w:sz w:val="20"/>
          <w:szCs w:val="20"/>
          <w:lang w:eastAsia="en-IN"/>
        </w:rPr>
        <w:t>) by high-performance liquid chromatography (HPLC).</w:t>
      </w:r>
      <w:r w:rsidRPr="00413E69">
        <w:rPr>
          <w:rFonts w:ascii="Times New Roman" w:eastAsia="Times New Roman" w:hAnsi="Times New Roman" w:cs="Times New Roman"/>
          <w:bCs/>
          <w:kern w:val="0"/>
          <w:sz w:val="20"/>
          <w:szCs w:val="20"/>
          <w:lang w:eastAsia="en-IN"/>
        </w:rPr>
        <w:t xml:space="preserve"> The estimated glomerular filtration rate (eGFR) was calculated using the Modification of Diet in Renal Disease (MDRD) equation</w:t>
      </w:r>
      <w:r w:rsidRPr="00413E69">
        <w:rPr>
          <w:rFonts w:ascii="Times New Roman" w:eastAsia="Times New Roman" w:hAnsi="Times New Roman" w:cs="Times New Roman"/>
          <w:kern w:val="0"/>
          <w:sz w:val="20"/>
          <w:szCs w:val="20"/>
          <w:lang w:eastAsia="en-IN"/>
        </w:rPr>
        <w:t>. First-morning urine samples were collected for the determination of the urinary albumin-to-creatinine ratio (UACR) by immunoturbidimetry, while urinary creatinine was measured using the Jaffe method. In addition, 24-hour urine samples were collected for the estimation of total urinary protein using the pyrogallol red-molybdate method.</w:t>
      </w:r>
      <w:r w:rsidRPr="00413E69">
        <w:rPr>
          <w:rFonts w:ascii="Times New Roman" w:eastAsia="Times New Roman" w:hAnsi="Times New Roman" w:cs="Times New Roman"/>
          <w:kern w:val="0"/>
          <w:sz w:val="20"/>
          <w:szCs w:val="20"/>
          <w:lang w:val="en-US" w:eastAsia="en-IN"/>
        </w:rPr>
        <w:t xml:space="preserve"> All samples were processed according to standard laboratory protocols. Blood and urine specimens were centrifuged promptly, and serum samples intended for cystatin C estimation were stored at −80°C until analysis, while routine biochemical investigations were performed immediately after collection.</w:t>
      </w:r>
    </w:p>
    <w:p w14:paraId="4B398D00" w14:textId="77777777" w:rsidR="0018141D" w:rsidRPr="00413E69" w:rsidRDefault="0076242C" w:rsidP="00413E69">
      <w:pPr>
        <w:spacing w:after="0" w:line="360" w:lineRule="auto"/>
        <w:jc w:val="both"/>
        <w:rPr>
          <w:rFonts w:ascii="Times New Roman" w:hAnsi="Times New Roman" w:cs="Times New Roman"/>
          <w:b/>
          <w:sz w:val="20"/>
          <w:szCs w:val="20"/>
        </w:rPr>
      </w:pPr>
      <w:r w:rsidRPr="00413E69">
        <w:rPr>
          <w:rFonts w:ascii="Times New Roman" w:hAnsi="Times New Roman" w:cs="Times New Roman"/>
          <w:b/>
          <w:sz w:val="20"/>
          <w:szCs w:val="20"/>
        </w:rPr>
        <w:t xml:space="preserve">Statistical analysis </w:t>
      </w:r>
    </w:p>
    <w:p w14:paraId="79E31B14" w14:textId="77777777" w:rsidR="0018141D" w:rsidRPr="00413E69" w:rsidRDefault="0076242C" w:rsidP="00413E69">
      <w:pPr>
        <w:spacing w:after="0" w:line="360" w:lineRule="auto"/>
        <w:jc w:val="both"/>
        <w:rPr>
          <w:rFonts w:ascii="Times New Roman" w:hAnsi="Times New Roman" w:cs="Times New Roman"/>
          <w:b/>
          <w:sz w:val="20"/>
          <w:szCs w:val="20"/>
        </w:rPr>
      </w:pPr>
      <w:r w:rsidRPr="00413E69">
        <w:rPr>
          <w:rFonts w:ascii="Times New Roman" w:hAnsi="Times New Roman" w:cs="Times New Roman"/>
          <w:sz w:val="20"/>
          <w:szCs w:val="20"/>
        </w:rPr>
        <w:t xml:space="preserve">Statistical analysis was conducted by the SPSS version </w:t>
      </w:r>
      <w:r w:rsidRPr="00413E69">
        <w:rPr>
          <w:rFonts w:ascii="Times New Roman" w:hAnsi="Times New Roman" w:cs="Times New Roman"/>
          <w:sz w:val="20"/>
          <w:szCs w:val="20"/>
          <w:lang w:val="en-US"/>
        </w:rPr>
        <w:t>16</w:t>
      </w:r>
      <w:r w:rsidRPr="00413E69">
        <w:rPr>
          <w:rFonts w:ascii="Times New Roman" w:hAnsi="Times New Roman" w:cs="Times New Roman"/>
          <w:sz w:val="20"/>
          <w:szCs w:val="20"/>
        </w:rPr>
        <w:t xml:space="preserve"> for data analysis. The </w:t>
      </w:r>
      <w:r w:rsidRPr="00413E69">
        <w:rPr>
          <w:rStyle w:val="Strong"/>
          <w:rFonts w:ascii="Times New Roman" w:hAnsi="Times New Roman" w:cs="Times New Roman"/>
          <w:b w:val="0"/>
          <w:sz w:val="20"/>
          <w:szCs w:val="20"/>
        </w:rPr>
        <w:t xml:space="preserve">mean ± SD was used for the expression of the continuous variables and the </w:t>
      </w:r>
      <w:r w:rsidRPr="00413E69">
        <w:rPr>
          <w:rFonts w:ascii="Times New Roman" w:hAnsi="Times New Roman" w:cs="Times New Roman"/>
          <w:sz w:val="20"/>
          <w:szCs w:val="20"/>
        </w:rPr>
        <w:t xml:space="preserve">frequencies and percentages were used for expressing the categorical variables. </w:t>
      </w:r>
      <w:r w:rsidRPr="00413E69">
        <w:rPr>
          <w:rStyle w:val="Strong"/>
          <w:rFonts w:ascii="Times New Roman" w:hAnsi="Times New Roman" w:cs="Times New Roman"/>
          <w:b w:val="0"/>
          <w:sz w:val="20"/>
          <w:szCs w:val="20"/>
        </w:rPr>
        <w:t>Student's t-test</w:t>
      </w:r>
      <w:r w:rsidRPr="00413E69">
        <w:rPr>
          <w:rFonts w:ascii="Times New Roman" w:hAnsi="Times New Roman" w:cs="Times New Roman"/>
          <w:b/>
          <w:sz w:val="20"/>
          <w:szCs w:val="20"/>
        </w:rPr>
        <w:t xml:space="preserve"> or </w:t>
      </w:r>
      <w:r w:rsidRPr="00413E69">
        <w:rPr>
          <w:rStyle w:val="Strong"/>
          <w:rFonts w:ascii="Times New Roman" w:hAnsi="Times New Roman" w:cs="Times New Roman"/>
          <w:b w:val="0"/>
          <w:sz w:val="20"/>
          <w:szCs w:val="20"/>
        </w:rPr>
        <w:t xml:space="preserve">chi-square test was used for comparison between the groups. </w:t>
      </w:r>
      <w:r w:rsidRPr="00413E69">
        <w:rPr>
          <w:rFonts w:ascii="Times New Roman" w:eastAsia="Times New Roman" w:hAnsi="Times New Roman" w:cs="Times New Roman"/>
          <w:bCs/>
          <w:kern w:val="0"/>
          <w:sz w:val="20"/>
          <w:szCs w:val="20"/>
          <w:lang w:eastAsia="en-IN"/>
        </w:rPr>
        <w:t xml:space="preserve">The </w:t>
      </w:r>
      <w:r w:rsidRPr="00413E69">
        <w:rPr>
          <w:rFonts w:ascii="Times New Roman" w:hAnsi="Times New Roman" w:cs="Times New Roman"/>
          <w:sz w:val="20"/>
          <w:szCs w:val="20"/>
        </w:rPr>
        <w:t xml:space="preserve">p &lt; 0.05 was maintained for statistical analysis. </w:t>
      </w:r>
    </w:p>
    <w:p w14:paraId="51B192A8" w14:textId="77777777" w:rsidR="0018141D" w:rsidRPr="00413E69" w:rsidRDefault="0076242C" w:rsidP="00413E69">
      <w:pPr>
        <w:spacing w:after="0" w:line="360" w:lineRule="auto"/>
        <w:jc w:val="both"/>
        <w:rPr>
          <w:rFonts w:ascii="Times New Roman" w:hAnsi="Times New Roman" w:cs="Times New Roman"/>
          <w:b/>
          <w:sz w:val="20"/>
          <w:szCs w:val="20"/>
        </w:rPr>
      </w:pPr>
      <w:r w:rsidRPr="00413E69">
        <w:rPr>
          <w:rFonts w:ascii="Times New Roman" w:hAnsi="Times New Roman" w:cs="Times New Roman"/>
          <w:b/>
          <w:sz w:val="20"/>
          <w:szCs w:val="20"/>
        </w:rPr>
        <w:t xml:space="preserve">RESULT </w:t>
      </w:r>
    </w:p>
    <w:p w14:paraId="2454081B" w14:textId="77777777" w:rsidR="0018141D" w:rsidRPr="00413E69" w:rsidRDefault="0076242C" w:rsidP="00413E69">
      <w:pPr>
        <w:spacing w:after="0" w:line="360" w:lineRule="auto"/>
        <w:jc w:val="both"/>
        <w:rPr>
          <w:rFonts w:ascii="Times New Roman" w:hAnsi="Times New Roman" w:cs="Times New Roman"/>
          <w:sz w:val="20"/>
          <w:szCs w:val="20"/>
        </w:rPr>
      </w:pPr>
      <w:r w:rsidRPr="00413E69">
        <w:rPr>
          <w:rFonts w:ascii="Times New Roman" w:hAnsi="Times New Roman" w:cs="Times New Roman"/>
          <w:sz w:val="20"/>
          <w:szCs w:val="20"/>
        </w:rPr>
        <w:t xml:space="preserve">Table 1 showed the comparative analysis of baseline demographic and clinical characteristics of the two groups, namely </w:t>
      </w:r>
      <w:proofErr w:type="spellStart"/>
      <w:r w:rsidRPr="00413E69">
        <w:rPr>
          <w:rFonts w:ascii="Times New Roman" w:hAnsi="Times New Roman" w:cs="Times New Roman"/>
          <w:sz w:val="20"/>
          <w:szCs w:val="20"/>
        </w:rPr>
        <w:t>normoalbuminuria</w:t>
      </w:r>
      <w:proofErr w:type="spellEnd"/>
      <w:r w:rsidRPr="00413E69">
        <w:rPr>
          <w:rFonts w:ascii="Times New Roman" w:hAnsi="Times New Roman" w:cs="Times New Roman"/>
          <w:sz w:val="20"/>
          <w:szCs w:val="20"/>
        </w:rPr>
        <w:t xml:space="preserve"> (Group I) and microalbuminuria (Group II). No significant difference was observed regarding the age (54.8 ± 8.2 vs. 56.3 ± 8.6 years; p = 0.31) and female sex (41.3% vs. 46.7%; p = 0.52) between the two groups. Group II, showed high diabetes duration (8.6 ± 3.2 vs. 6.8 ± 2.6 years; p = 0.008) and significantly higher levels of </w:t>
      </w:r>
      <w:proofErr w:type="spellStart"/>
      <w:r w:rsidRPr="00413E69">
        <w:rPr>
          <w:rFonts w:ascii="Times New Roman" w:hAnsi="Times New Roman" w:cs="Times New Roman"/>
          <w:sz w:val="20"/>
          <w:szCs w:val="20"/>
        </w:rPr>
        <w:t>HbA₁c</w:t>
      </w:r>
      <w:proofErr w:type="spellEnd"/>
      <w:r w:rsidRPr="00413E69">
        <w:rPr>
          <w:rFonts w:ascii="Times New Roman" w:hAnsi="Times New Roman" w:cs="Times New Roman"/>
          <w:sz w:val="20"/>
          <w:szCs w:val="20"/>
        </w:rPr>
        <w:t xml:space="preserve"> (8.3 ± 1.0% vs. 7.4 ± 0.8%; p &lt; 0.001), reflecting poor glycaemic control. Furthermore, significantly higher systolic blood pressure was observed in Group II (133 ± 11 vs. 127 ± 10 mmHg; p = 0.03). Despite the high or low levels of BMI, eGFR, and usage of </w:t>
      </w:r>
      <w:proofErr w:type="spellStart"/>
      <w:r w:rsidRPr="00413E69">
        <w:rPr>
          <w:rFonts w:ascii="Times New Roman" w:hAnsi="Times New Roman" w:cs="Times New Roman"/>
          <w:sz w:val="20"/>
          <w:szCs w:val="20"/>
        </w:rPr>
        <w:t>ACEi</w:t>
      </w:r>
      <w:proofErr w:type="spellEnd"/>
      <w:r w:rsidRPr="00413E69">
        <w:rPr>
          <w:rFonts w:ascii="Times New Roman" w:hAnsi="Times New Roman" w:cs="Times New Roman"/>
          <w:sz w:val="20"/>
          <w:szCs w:val="20"/>
        </w:rPr>
        <w:t xml:space="preserve">/ARB in the microalbuminuria group was noted.  </w:t>
      </w:r>
    </w:p>
    <w:p w14:paraId="46C7BBD1" w14:textId="77777777" w:rsidR="0018141D" w:rsidRPr="00413E69" w:rsidRDefault="0018141D" w:rsidP="00413E69">
      <w:pPr>
        <w:spacing w:after="0" w:line="360" w:lineRule="auto"/>
        <w:jc w:val="both"/>
        <w:rPr>
          <w:rFonts w:ascii="Times New Roman" w:hAnsi="Times New Roman" w:cs="Times New Roman"/>
          <w:sz w:val="20"/>
          <w:szCs w:val="20"/>
        </w:rPr>
      </w:pPr>
    </w:p>
    <w:p w14:paraId="777D09C1" w14:textId="77777777" w:rsidR="0018141D" w:rsidRPr="00413E69" w:rsidRDefault="0018141D" w:rsidP="00413E69">
      <w:pPr>
        <w:spacing w:after="0" w:line="360" w:lineRule="auto"/>
        <w:jc w:val="both"/>
        <w:rPr>
          <w:rFonts w:ascii="Times New Roman" w:hAnsi="Times New Roman" w:cs="Times New Roman"/>
          <w:sz w:val="20"/>
          <w:szCs w:val="20"/>
        </w:rPr>
      </w:pPr>
    </w:p>
    <w:p w14:paraId="12EC203C" w14:textId="77777777" w:rsidR="0018141D" w:rsidRPr="00413E69" w:rsidRDefault="0018141D" w:rsidP="00413E69">
      <w:pPr>
        <w:spacing w:after="0" w:line="360" w:lineRule="auto"/>
        <w:jc w:val="both"/>
        <w:rPr>
          <w:rFonts w:ascii="Times New Roman" w:hAnsi="Times New Roman" w:cs="Times New Roman"/>
          <w:sz w:val="20"/>
          <w:szCs w:val="20"/>
        </w:rPr>
      </w:pPr>
    </w:p>
    <w:p w14:paraId="22482D01" w14:textId="77777777" w:rsidR="00413E69" w:rsidRDefault="00413E69" w:rsidP="00413E69">
      <w:pPr>
        <w:spacing w:after="0" w:line="360" w:lineRule="auto"/>
        <w:jc w:val="both"/>
        <w:rPr>
          <w:rFonts w:ascii="Times New Roman" w:hAnsi="Times New Roman" w:cs="Times New Roman"/>
          <w:b/>
          <w:sz w:val="20"/>
          <w:szCs w:val="20"/>
        </w:rPr>
      </w:pPr>
    </w:p>
    <w:p w14:paraId="207EB66C" w14:textId="77777777" w:rsidR="00413E69" w:rsidRDefault="00413E69" w:rsidP="00413E69">
      <w:pPr>
        <w:spacing w:after="0" w:line="360" w:lineRule="auto"/>
        <w:jc w:val="both"/>
        <w:rPr>
          <w:rFonts w:ascii="Times New Roman" w:hAnsi="Times New Roman" w:cs="Times New Roman"/>
          <w:b/>
          <w:sz w:val="20"/>
          <w:szCs w:val="20"/>
        </w:rPr>
      </w:pPr>
    </w:p>
    <w:p w14:paraId="1B854FD4" w14:textId="77777777" w:rsidR="00413E69" w:rsidRDefault="00413E69" w:rsidP="00413E69">
      <w:pPr>
        <w:spacing w:after="0" w:line="360" w:lineRule="auto"/>
        <w:jc w:val="both"/>
        <w:rPr>
          <w:rFonts w:ascii="Times New Roman" w:hAnsi="Times New Roman" w:cs="Times New Roman"/>
          <w:b/>
          <w:sz w:val="20"/>
          <w:szCs w:val="20"/>
        </w:rPr>
      </w:pPr>
    </w:p>
    <w:p w14:paraId="10A73DD0" w14:textId="77777777" w:rsidR="00413E69" w:rsidRDefault="00413E69" w:rsidP="00413E69">
      <w:pPr>
        <w:spacing w:after="0" w:line="360" w:lineRule="auto"/>
        <w:jc w:val="both"/>
        <w:rPr>
          <w:rFonts w:ascii="Times New Roman" w:hAnsi="Times New Roman" w:cs="Times New Roman"/>
          <w:b/>
          <w:sz w:val="20"/>
          <w:szCs w:val="20"/>
        </w:rPr>
      </w:pPr>
    </w:p>
    <w:p w14:paraId="0CFA0797" w14:textId="77777777" w:rsidR="00413E69" w:rsidRDefault="00413E69" w:rsidP="00413E69">
      <w:pPr>
        <w:spacing w:after="0" w:line="360" w:lineRule="auto"/>
        <w:jc w:val="both"/>
        <w:rPr>
          <w:rFonts w:ascii="Times New Roman" w:hAnsi="Times New Roman" w:cs="Times New Roman"/>
          <w:b/>
          <w:sz w:val="20"/>
          <w:szCs w:val="20"/>
        </w:rPr>
      </w:pPr>
    </w:p>
    <w:p w14:paraId="3773FF72" w14:textId="77777777" w:rsidR="00413E69" w:rsidRDefault="00413E69" w:rsidP="00413E69">
      <w:pPr>
        <w:spacing w:after="0" w:line="360" w:lineRule="auto"/>
        <w:jc w:val="both"/>
        <w:rPr>
          <w:rFonts w:ascii="Times New Roman" w:hAnsi="Times New Roman" w:cs="Times New Roman"/>
          <w:b/>
          <w:sz w:val="20"/>
          <w:szCs w:val="20"/>
        </w:rPr>
      </w:pPr>
    </w:p>
    <w:p w14:paraId="079D5FAA" w14:textId="781B9074" w:rsidR="0018141D" w:rsidRPr="00413E69" w:rsidRDefault="0076242C" w:rsidP="00413E69">
      <w:pPr>
        <w:spacing w:after="0" w:line="360" w:lineRule="auto"/>
        <w:jc w:val="both"/>
        <w:rPr>
          <w:rFonts w:ascii="Times New Roman" w:hAnsi="Times New Roman" w:cs="Times New Roman"/>
          <w:sz w:val="20"/>
          <w:szCs w:val="20"/>
        </w:rPr>
      </w:pPr>
      <w:r w:rsidRPr="00413E69">
        <w:rPr>
          <w:rFonts w:ascii="Times New Roman" w:hAnsi="Times New Roman" w:cs="Times New Roman"/>
          <w:b/>
          <w:sz w:val="20"/>
          <w:szCs w:val="20"/>
        </w:rPr>
        <w:lastRenderedPageBreak/>
        <w:t>Table 1:</w:t>
      </w:r>
      <w:r w:rsidRPr="00413E69">
        <w:rPr>
          <w:rFonts w:ascii="Times New Roman" w:hAnsi="Times New Roman" w:cs="Times New Roman"/>
          <w:sz w:val="20"/>
          <w:szCs w:val="20"/>
        </w:rPr>
        <w:t xml:space="preserve"> The baseline demographic and clinical parameter for patients of both of the groups </w:t>
      </w:r>
    </w:p>
    <w:tbl>
      <w:tblPr>
        <w:tblW w:w="5000" w:type="pct"/>
        <w:tblLook w:val="04A0" w:firstRow="1" w:lastRow="0" w:firstColumn="1" w:lastColumn="0" w:noHBand="0" w:noVBand="1"/>
      </w:tblPr>
      <w:tblGrid>
        <w:gridCol w:w="1924"/>
        <w:gridCol w:w="2861"/>
        <w:gridCol w:w="2651"/>
        <w:gridCol w:w="1806"/>
      </w:tblGrid>
      <w:tr w:rsidR="0018141D" w:rsidRPr="00413E69" w14:paraId="41F5C8D9" w14:textId="77777777">
        <w:trPr>
          <w:trHeight w:val="936"/>
        </w:trPr>
        <w:tc>
          <w:tcPr>
            <w:tcW w:w="1041" w:type="pct"/>
            <w:tcBorders>
              <w:top w:val="single" w:sz="4" w:space="0" w:color="auto"/>
              <w:left w:val="single" w:sz="4" w:space="0" w:color="auto"/>
              <w:bottom w:val="single" w:sz="4" w:space="0" w:color="auto"/>
              <w:right w:val="single" w:sz="4" w:space="0" w:color="auto"/>
            </w:tcBorders>
            <w:vAlign w:val="center"/>
          </w:tcPr>
          <w:p w14:paraId="3B6BA346" w14:textId="77777777" w:rsidR="0018141D" w:rsidRPr="00413E69" w:rsidRDefault="0076242C" w:rsidP="00413E69">
            <w:pPr>
              <w:spacing w:after="0" w:line="360" w:lineRule="auto"/>
              <w:jc w:val="center"/>
              <w:rPr>
                <w:rFonts w:ascii="Times New Roman" w:eastAsia="Times New Roman" w:hAnsi="Times New Roman" w:cs="Times New Roman"/>
                <w:b/>
                <w:bCs/>
                <w:color w:val="000000"/>
                <w:kern w:val="0"/>
                <w:sz w:val="20"/>
                <w:szCs w:val="20"/>
                <w:lang w:eastAsia="en-IN"/>
              </w:rPr>
            </w:pPr>
            <w:r w:rsidRPr="00413E69">
              <w:rPr>
                <w:rFonts w:ascii="Times New Roman" w:eastAsia="Times New Roman" w:hAnsi="Times New Roman" w:cs="Times New Roman"/>
                <w:b/>
                <w:bCs/>
                <w:color w:val="000000"/>
                <w:kern w:val="0"/>
                <w:sz w:val="20"/>
                <w:szCs w:val="20"/>
                <w:lang w:eastAsia="en-IN"/>
              </w:rPr>
              <w:t>Variable</w:t>
            </w:r>
          </w:p>
        </w:tc>
        <w:tc>
          <w:tcPr>
            <w:tcW w:w="1548" w:type="pct"/>
            <w:tcBorders>
              <w:top w:val="single" w:sz="4" w:space="0" w:color="auto"/>
              <w:left w:val="nil"/>
              <w:bottom w:val="single" w:sz="4" w:space="0" w:color="auto"/>
              <w:right w:val="single" w:sz="4" w:space="0" w:color="auto"/>
            </w:tcBorders>
            <w:vAlign w:val="center"/>
          </w:tcPr>
          <w:p w14:paraId="2B6375D8" w14:textId="77777777" w:rsidR="0018141D" w:rsidRPr="00413E69" w:rsidRDefault="0076242C" w:rsidP="00413E69">
            <w:pPr>
              <w:spacing w:after="0" w:line="360" w:lineRule="auto"/>
              <w:jc w:val="center"/>
              <w:rPr>
                <w:rFonts w:ascii="Times New Roman" w:eastAsia="Times New Roman" w:hAnsi="Times New Roman" w:cs="Times New Roman"/>
                <w:b/>
                <w:bCs/>
                <w:color w:val="000000"/>
                <w:kern w:val="0"/>
                <w:sz w:val="20"/>
                <w:szCs w:val="20"/>
                <w:lang w:eastAsia="en-IN"/>
              </w:rPr>
            </w:pPr>
            <w:r w:rsidRPr="00413E69">
              <w:rPr>
                <w:rFonts w:ascii="Times New Roman" w:eastAsia="Times New Roman" w:hAnsi="Times New Roman" w:cs="Times New Roman"/>
                <w:b/>
                <w:bCs/>
                <w:color w:val="000000"/>
                <w:kern w:val="0"/>
                <w:sz w:val="20"/>
                <w:szCs w:val="20"/>
                <w:lang w:eastAsia="en-IN"/>
              </w:rPr>
              <w:t>Group I (Normoalbuminuric, n = 75)</w:t>
            </w:r>
          </w:p>
        </w:tc>
        <w:tc>
          <w:tcPr>
            <w:tcW w:w="1434" w:type="pct"/>
            <w:tcBorders>
              <w:top w:val="single" w:sz="4" w:space="0" w:color="auto"/>
              <w:left w:val="nil"/>
              <w:bottom w:val="single" w:sz="4" w:space="0" w:color="auto"/>
              <w:right w:val="single" w:sz="4" w:space="0" w:color="auto"/>
            </w:tcBorders>
            <w:vAlign w:val="center"/>
          </w:tcPr>
          <w:p w14:paraId="21ACA8E7" w14:textId="77777777" w:rsidR="0018141D" w:rsidRPr="00413E69" w:rsidRDefault="0076242C" w:rsidP="00413E69">
            <w:pPr>
              <w:spacing w:after="0" w:line="360" w:lineRule="auto"/>
              <w:jc w:val="center"/>
              <w:rPr>
                <w:rFonts w:ascii="Times New Roman" w:eastAsia="Times New Roman" w:hAnsi="Times New Roman" w:cs="Times New Roman"/>
                <w:b/>
                <w:bCs/>
                <w:color w:val="000000"/>
                <w:kern w:val="0"/>
                <w:sz w:val="20"/>
                <w:szCs w:val="20"/>
                <w:lang w:eastAsia="en-IN"/>
              </w:rPr>
            </w:pPr>
            <w:r w:rsidRPr="00413E69">
              <w:rPr>
                <w:rFonts w:ascii="Times New Roman" w:eastAsia="Times New Roman" w:hAnsi="Times New Roman" w:cs="Times New Roman"/>
                <w:b/>
                <w:bCs/>
                <w:color w:val="000000"/>
                <w:kern w:val="0"/>
                <w:sz w:val="20"/>
                <w:szCs w:val="20"/>
                <w:lang w:eastAsia="en-IN"/>
              </w:rPr>
              <w:t>Group II (</w:t>
            </w:r>
            <w:proofErr w:type="spellStart"/>
            <w:r w:rsidRPr="00413E69">
              <w:rPr>
                <w:rFonts w:ascii="Times New Roman" w:eastAsia="Times New Roman" w:hAnsi="Times New Roman" w:cs="Times New Roman"/>
                <w:b/>
                <w:bCs/>
                <w:color w:val="000000"/>
                <w:kern w:val="0"/>
                <w:sz w:val="20"/>
                <w:szCs w:val="20"/>
                <w:lang w:eastAsia="en-IN"/>
              </w:rPr>
              <w:t>Microalbuminuric</w:t>
            </w:r>
            <w:proofErr w:type="spellEnd"/>
            <w:r w:rsidRPr="00413E69">
              <w:rPr>
                <w:rFonts w:ascii="Times New Roman" w:eastAsia="Times New Roman" w:hAnsi="Times New Roman" w:cs="Times New Roman"/>
                <w:b/>
                <w:bCs/>
                <w:color w:val="000000"/>
                <w:kern w:val="0"/>
                <w:sz w:val="20"/>
                <w:szCs w:val="20"/>
                <w:lang w:eastAsia="en-IN"/>
              </w:rPr>
              <w:t>, n = 75)</w:t>
            </w:r>
          </w:p>
        </w:tc>
        <w:tc>
          <w:tcPr>
            <w:tcW w:w="977" w:type="pct"/>
            <w:tcBorders>
              <w:top w:val="single" w:sz="4" w:space="0" w:color="auto"/>
              <w:left w:val="nil"/>
              <w:bottom w:val="single" w:sz="4" w:space="0" w:color="auto"/>
              <w:right w:val="single" w:sz="4" w:space="0" w:color="auto"/>
            </w:tcBorders>
            <w:vAlign w:val="center"/>
          </w:tcPr>
          <w:p w14:paraId="77D859B1" w14:textId="77777777" w:rsidR="0018141D" w:rsidRPr="00413E69" w:rsidRDefault="0076242C" w:rsidP="00413E69">
            <w:pPr>
              <w:spacing w:after="0" w:line="360" w:lineRule="auto"/>
              <w:jc w:val="center"/>
              <w:rPr>
                <w:rFonts w:ascii="Times New Roman" w:eastAsia="Times New Roman" w:hAnsi="Times New Roman" w:cs="Times New Roman"/>
                <w:b/>
                <w:bCs/>
                <w:color w:val="000000"/>
                <w:kern w:val="0"/>
                <w:sz w:val="20"/>
                <w:szCs w:val="20"/>
                <w:lang w:eastAsia="en-IN"/>
              </w:rPr>
            </w:pPr>
            <w:r w:rsidRPr="00413E69">
              <w:rPr>
                <w:rFonts w:ascii="Times New Roman" w:eastAsia="Times New Roman" w:hAnsi="Times New Roman" w:cs="Times New Roman"/>
                <w:b/>
                <w:bCs/>
                <w:color w:val="000000"/>
                <w:kern w:val="0"/>
                <w:sz w:val="20"/>
                <w:szCs w:val="20"/>
                <w:lang w:eastAsia="en-IN"/>
              </w:rPr>
              <w:t>p-value</w:t>
            </w:r>
          </w:p>
        </w:tc>
      </w:tr>
      <w:tr w:rsidR="0018141D" w:rsidRPr="00413E69" w14:paraId="0FA38278" w14:textId="77777777">
        <w:trPr>
          <w:trHeight w:val="624"/>
        </w:trPr>
        <w:tc>
          <w:tcPr>
            <w:tcW w:w="1041" w:type="pct"/>
            <w:tcBorders>
              <w:top w:val="nil"/>
              <w:left w:val="single" w:sz="4" w:space="0" w:color="auto"/>
              <w:bottom w:val="single" w:sz="4" w:space="0" w:color="auto"/>
              <w:right w:val="single" w:sz="4" w:space="0" w:color="auto"/>
            </w:tcBorders>
            <w:vAlign w:val="center"/>
          </w:tcPr>
          <w:p w14:paraId="0D26F5E4"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Age (years), mean ± SD</w:t>
            </w:r>
          </w:p>
        </w:tc>
        <w:tc>
          <w:tcPr>
            <w:tcW w:w="1548" w:type="pct"/>
            <w:tcBorders>
              <w:top w:val="nil"/>
              <w:left w:val="nil"/>
              <w:bottom w:val="single" w:sz="4" w:space="0" w:color="auto"/>
              <w:right w:val="single" w:sz="4" w:space="0" w:color="auto"/>
            </w:tcBorders>
            <w:vAlign w:val="center"/>
          </w:tcPr>
          <w:p w14:paraId="2AB3E320"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54.8 ± 8.2</w:t>
            </w:r>
          </w:p>
        </w:tc>
        <w:tc>
          <w:tcPr>
            <w:tcW w:w="1434" w:type="pct"/>
            <w:tcBorders>
              <w:top w:val="nil"/>
              <w:left w:val="nil"/>
              <w:bottom w:val="single" w:sz="4" w:space="0" w:color="auto"/>
              <w:right w:val="single" w:sz="4" w:space="0" w:color="auto"/>
            </w:tcBorders>
            <w:vAlign w:val="center"/>
          </w:tcPr>
          <w:p w14:paraId="521D1E69"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56.3 ± 8.6</w:t>
            </w:r>
          </w:p>
        </w:tc>
        <w:tc>
          <w:tcPr>
            <w:tcW w:w="977" w:type="pct"/>
            <w:tcBorders>
              <w:top w:val="nil"/>
              <w:left w:val="nil"/>
              <w:bottom w:val="single" w:sz="4" w:space="0" w:color="auto"/>
              <w:right w:val="single" w:sz="4" w:space="0" w:color="auto"/>
            </w:tcBorders>
            <w:vAlign w:val="center"/>
          </w:tcPr>
          <w:p w14:paraId="42248F8A"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0.31</w:t>
            </w:r>
          </w:p>
        </w:tc>
      </w:tr>
      <w:tr w:rsidR="0018141D" w:rsidRPr="00413E69" w14:paraId="7C33CC2A" w14:textId="77777777">
        <w:trPr>
          <w:trHeight w:val="312"/>
        </w:trPr>
        <w:tc>
          <w:tcPr>
            <w:tcW w:w="1041" w:type="pct"/>
            <w:tcBorders>
              <w:top w:val="nil"/>
              <w:left w:val="single" w:sz="4" w:space="0" w:color="auto"/>
              <w:bottom w:val="single" w:sz="4" w:space="0" w:color="auto"/>
              <w:right w:val="single" w:sz="4" w:space="0" w:color="auto"/>
            </w:tcBorders>
            <w:vAlign w:val="center"/>
          </w:tcPr>
          <w:p w14:paraId="0ED0E733"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Female, n (%)</w:t>
            </w:r>
          </w:p>
        </w:tc>
        <w:tc>
          <w:tcPr>
            <w:tcW w:w="1548" w:type="pct"/>
            <w:tcBorders>
              <w:top w:val="nil"/>
              <w:left w:val="nil"/>
              <w:bottom w:val="single" w:sz="4" w:space="0" w:color="auto"/>
              <w:right w:val="single" w:sz="4" w:space="0" w:color="auto"/>
            </w:tcBorders>
            <w:vAlign w:val="center"/>
          </w:tcPr>
          <w:p w14:paraId="7F424C71"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31 (41.3%)</w:t>
            </w:r>
          </w:p>
        </w:tc>
        <w:tc>
          <w:tcPr>
            <w:tcW w:w="1434" w:type="pct"/>
            <w:tcBorders>
              <w:top w:val="nil"/>
              <w:left w:val="nil"/>
              <w:bottom w:val="single" w:sz="4" w:space="0" w:color="auto"/>
              <w:right w:val="single" w:sz="4" w:space="0" w:color="auto"/>
            </w:tcBorders>
            <w:vAlign w:val="center"/>
          </w:tcPr>
          <w:p w14:paraId="2D7B7EBE"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35 (46.7%)</w:t>
            </w:r>
          </w:p>
        </w:tc>
        <w:tc>
          <w:tcPr>
            <w:tcW w:w="977" w:type="pct"/>
            <w:tcBorders>
              <w:top w:val="nil"/>
              <w:left w:val="nil"/>
              <w:bottom w:val="single" w:sz="4" w:space="0" w:color="auto"/>
              <w:right w:val="single" w:sz="4" w:space="0" w:color="auto"/>
            </w:tcBorders>
            <w:vAlign w:val="center"/>
          </w:tcPr>
          <w:p w14:paraId="75BA03E1"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0.52</w:t>
            </w:r>
          </w:p>
        </w:tc>
      </w:tr>
      <w:tr w:rsidR="0018141D" w:rsidRPr="00413E69" w14:paraId="57DFD998" w14:textId="77777777">
        <w:trPr>
          <w:trHeight w:val="1248"/>
        </w:trPr>
        <w:tc>
          <w:tcPr>
            <w:tcW w:w="1041" w:type="pct"/>
            <w:tcBorders>
              <w:top w:val="nil"/>
              <w:left w:val="single" w:sz="4" w:space="0" w:color="auto"/>
              <w:bottom w:val="single" w:sz="4" w:space="0" w:color="auto"/>
              <w:right w:val="single" w:sz="4" w:space="0" w:color="auto"/>
            </w:tcBorders>
            <w:vAlign w:val="center"/>
          </w:tcPr>
          <w:p w14:paraId="6A2C6A28"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Diabetes duration (years), mean ± SD</w:t>
            </w:r>
          </w:p>
        </w:tc>
        <w:tc>
          <w:tcPr>
            <w:tcW w:w="1548" w:type="pct"/>
            <w:tcBorders>
              <w:top w:val="nil"/>
              <w:left w:val="nil"/>
              <w:bottom w:val="single" w:sz="4" w:space="0" w:color="auto"/>
              <w:right w:val="single" w:sz="4" w:space="0" w:color="auto"/>
            </w:tcBorders>
            <w:vAlign w:val="center"/>
          </w:tcPr>
          <w:p w14:paraId="44F166F5"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6.8 ± 2.6</w:t>
            </w:r>
          </w:p>
        </w:tc>
        <w:tc>
          <w:tcPr>
            <w:tcW w:w="1434" w:type="pct"/>
            <w:tcBorders>
              <w:top w:val="nil"/>
              <w:left w:val="nil"/>
              <w:bottom w:val="single" w:sz="4" w:space="0" w:color="auto"/>
              <w:right w:val="single" w:sz="4" w:space="0" w:color="auto"/>
            </w:tcBorders>
            <w:vAlign w:val="center"/>
          </w:tcPr>
          <w:p w14:paraId="7C07AA74"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8.6 ± 3.2</w:t>
            </w:r>
          </w:p>
        </w:tc>
        <w:tc>
          <w:tcPr>
            <w:tcW w:w="977" w:type="pct"/>
            <w:tcBorders>
              <w:top w:val="nil"/>
              <w:left w:val="nil"/>
              <w:bottom w:val="single" w:sz="4" w:space="0" w:color="auto"/>
              <w:right w:val="single" w:sz="4" w:space="0" w:color="auto"/>
            </w:tcBorders>
            <w:vAlign w:val="center"/>
          </w:tcPr>
          <w:p w14:paraId="4D232218"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0.008*</w:t>
            </w:r>
          </w:p>
        </w:tc>
      </w:tr>
      <w:tr w:rsidR="0018141D" w:rsidRPr="00413E69" w14:paraId="1F7E92EE" w14:textId="77777777">
        <w:trPr>
          <w:trHeight w:val="936"/>
        </w:trPr>
        <w:tc>
          <w:tcPr>
            <w:tcW w:w="1041" w:type="pct"/>
            <w:tcBorders>
              <w:top w:val="nil"/>
              <w:left w:val="single" w:sz="4" w:space="0" w:color="auto"/>
              <w:bottom w:val="single" w:sz="4" w:space="0" w:color="auto"/>
              <w:right w:val="single" w:sz="4" w:space="0" w:color="auto"/>
            </w:tcBorders>
            <w:vAlign w:val="center"/>
          </w:tcPr>
          <w:p w14:paraId="41AB851E"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proofErr w:type="spellStart"/>
            <w:r w:rsidRPr="00413E69">
              <w:rPr>
                <w:rFonts w:ascii="Times New Roman" w:eastAsia="Times New Roman" w:hAnsi="Times New Roman" w:cs="Times New Roman"/>
                <w:color w:val="000000"/>
                <w:kern w:val="0"/>
                <w:sz w:val="20"/>
                <w:szCs w:val="20"/>
                <w:lang w:eastAsia="en-IN"/>
              </w:rPr>
              <w:t>HbA₁c</w:t>
            </w:r>
            <w:proofErr w:type="spellEnd"/>
            <w:r w:rsidRPr="00413E69">
              <w:rPr>
                <w:rFonts w:ascii="Times New Roman" w:eastAsia="Times New Roman" w:hAnsi="Times New Roman" w:cs="Times New Roman"/>
                <w:color w:val="000000"/>
                <w:kern w:val="0"/>
                <w:sz w:val="20"/>
                <w:szCs w:val="20"/>
                <w:lang w:eastAsia="en-IN"/>
              </w:rPr>
              <w:t xml:space="preserve"> (%), mean ± SD</w:t>
            </w:r>
          </w:p>
        </w:tc>
        <w:tc>
          <w:tcPr>
            <w:tcW w:w="1548" w:type="pct"/>
            <w:tcBorders>
              <w:top w:val="nil"/>
              <w:left w:val="nil"/>
              <w:bottom w:val="single" w:sz="4" w:space="0" w:color="auto"/>
              <w:right w:val="single" w:sz="4" w:space="0" w:color="auto"/>
            </w:tcBorders>
            <w:vAlign w:val="center"/>
          </w:tcPr>
          <w:p w14:paraId="6C1EB520"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7.4 ± 0.8</w:t>
            </w:r>
          </w:p>
        </w:tc>
        <w:tc>
          <w:tcPr>
            <w:tcW w:w="1434" w:type="pct"/>
            <w:tcBorders>
              <w:top w:val="nil"/>
              <w:left w:val="nil"/>
              <w:bottom w:val="single" w:sz="4" w:space="0" w:color="auto"/>
              <w:right w:val="single" w:sz="4" w:space="0" w:color="auto"/>
            </w:tcBorders>
            <w:vAlign w:val="center"/>
          </w:tcPr>
          <w:p w14:paraId="711775AC"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8.3 ± 1.0</w:t>
            </w:r>
          </w:p>
        </w:tc>
        <w:tc>
          <w:tcPr>
            <w:tcW w:w="977" w:type="pct"/>
            <w:tcBorders>
              <w:top w:val="nil"/>
              <w:left w:val="nil"/>
              <w:bottom w:val="single" w:sz="4" w:space="0" w:color="auto"/>
              <w:right w:val="single" w:sz="4" w:space="0" w:color="auto"/>
            </w:tcBorders>
            <w:vAlign w:val="center"/>
          </w:tcPr>
          <w:p w14:paraId="2C0A3ACD"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&lt;0.001*</w:t>
            </w:r>
          </w:p>
        </w:tc>
      </w:tr>
      <w:tr w:rsidR="0018141D" w:rsidRPr="00413E69" w14:paraId="67F830C5" w14:textId="77777777">
        <w:trPr>
          <w:trHeight w:val="1560"/>
        </w:trPr>
        <w:tc>
          <w:tcPr>
            <w:tcW w:w="1041" w:type="pct"/>
            <w:tcBorders>
              <w:top w:val="nil"/>
              <w:left w:val="single" w:sz="4" w:space="0" w:color="auto"/>
              <w:bottom w:val="single" w:sz="4" w:space="0" w:color="auto"/>
              <w:right w:val="single" w:sz="4" w:space="0" w:color="auto"/>
            </w:tcBorders>
            <w:vAlign w:val="center"/>
          </w:tcPr>
          <w:p w14:paraId="55D780BD"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BMI (kg/m²), mean ± SD</w:t>
            </w:r>
          </w:p>
        </w:tc>
        <w:tc>
          <w:tcPr>
            <w:tcW w:w="1548" w:type="pct"/>
            <w:tcBorders>
              <w:top w:val="nil"/>
              <w:left w:val="nil"/>
              <w:bottom w:val="single" w:sz="4" w:space="0" w:color="auto"/>
              <w:right w:val="single" w:sz="4" w:space="0" w:color="auto"/>
            </w:tcBorders>
            <w:vAlign w:val="center"/>
          </w:tcPr>
          <w:p w14:paraId="4772A90D"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25.9 ± 3.1</w:t>
            </w:r>
          </w:p>
        </w:tc>
        <w:tc>
          <w:tcPr>
            <w:tcW w:w="1434" w:type="pct"/>
            <w:tcBorders>
              <w:top w:val="nil"/>
              <w:left w:val="nil"/>
              <w:bottom w:val="single" w:sz="4" w:space="0" w:color="auto"/>
              <w:right w:val="single" w:sz="4" w:space="0" w:color="auto"/>
            </w:tcBorders>
            <w:vAlign w:val="center"/>
          </w:tcPr>
          <w:p w14:paraId="14CC4220"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26.7 ± 3.5</w:t>
            </w:r>
          </w:p>
        </w:tc>
        <w:tc>
          <w:tcPr>
            <w:tcW w:w="977" w:type="pct"/>
            <w:tcBorders>
              <w:top w:val="nil"/>
              <w:left w:val="nil"/>
              <w:bottom w:val="single" w:sz="4" w:space="0" w:color="auto"/>
              <w:right w:val="single" w:sz="4" w:space="0" w:color="auto"/>
            </w:tcBorders>
            <w:vAlign w:val="center"/>
          </w:tcPr>
          <w:p w14:paraId="7B117666"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0.18</w:t>
            </w:r>
          </w:p>
        </w:tc>
      </w:tr>
      <w:tr w:rsidR="0018141D" w:rsidRPr="00413E69" w14:paraId="43C884D5" w14:textId="77777777">
        <w:trPr>
          <w:trHeight w:val="1248"/>
        </w:trPr>
        <w:tc>
          <w:tcPr>
            <w:tcW w:w="1041" w:type="pct"/>
            <w:tcBorders>
              <w:top w:val="nil"/>
              <w:left w:val="single" w:sz="4" w:space="0" w:color="auto"/>
              <w:bottom w:val="single" w:sz="4" w:space="0" w:color="auto"/>
              <w:right w:val="single" w:sz="4" w:space="0" w:color="auto"/>
            </w:tcBorders>
            <w:vAlign w:val="center"/>
          </w:tcPr>
          <w:p w14:paraId="3773F060"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SBP (mm Hg), mean ± SD</w:t>
            </w:r>
          </w:p>
        </w:tc>
        <w:tc>
          <w:tcPr>
            <w:tcW w:w="1548" w:type="pct"/>
            <w:tcBorders>
              <w:top w:val="nil"/>
              <w:left w:val="nil"/>
              <w:bottom w:val="single" w:sz="4" w:space="0" w:color="auto"/>
              <w:right w:val="single" w:sz="4" w:space="0" w:color="auto"/>
            </w:tcBorders>
            <w:vAlign w:val="center"/>
          </w:tcPr>
          <w:p w14:paraId="75D9618C"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127 ± 10</w:t>
            </w:r>
          </w:p>
        </w:tc>
        <w:tc>
          <w:tcPr>
            <w:tcW w:w="1434" w:type="pct"/>
            <w:tcBorders>
              <w:top w:val="nil"/>
              <w:left w:val="nil"/>
              <w:bottom w:val="single" w:sz="4" w:space="0" w:color="auto"/>
              <w:right w:val="single" w:sz="4" w:space="0" w:color="auto"/>
            </w:tcBorders>
            <w:vAlign w:val="center"/>
          </w:tcPr>
          <w:p w14:paraId="2F802D6C"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133 ± 11</w:t>
            </w:r>
          </w:p>
        </w:tc>
        <w:tc>
          <w:tcPr>
            <w:tcW w:w="977" w:type="pct"/>
            <w:tcBorders>
              <w:top w:val="nil"/>
              <w:left w:val="nil"/>
              <w:bottom w:val="single" w:sz="4" w:space="0" w:color="auto"/>
              <w:right w:val="single" w:sz="4" w:space="0" w:color="auto"/>
            </w:tcBorders>
            <w:vAlign w:val="center"/>
          </w:tcPr>
          <w:p w14:paraId="635B61EC"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0.03*</w:t>
            </w:r>
          </w:p>
        </w:tc>
      </w:tr>
      <w:tr w:rsidR="0018141D" w:rsidRPr="00413E69" w14:paraId="1DB15F93" w14:textId="77777777">
        <w:trPr>
          <w:trHeight w:val="1560"/>
        </w:trPr>
        <w:tc>
          <w:tcPr>
            <w:tcW w:w="1041" w:type="pct"/>
            <w:tcBorders>
              <w:top w:val="nil"/>
              <w:left w:val="single" w:sz="4" w:space="0" w:color="auto"/>
              <w:bottom w:val="single" w:sz="4" w:space="0" w:color="auto"/>
              <w:right w:val="single" w:sz="4" w:space="0" w:color="auto"/>
            </w:tcBorders>
            <w:vAlign w:val="center"/>
          </w:tcPr>
          <w:p w14:paraId="7E9CC102"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eGFR (mL/min/1.73 m²), mean ± SD</w:t>
            </w:r>
          </w:p>
        </w:tc>
        <w:tc>
          <w:tcPr>
            <w:tcW w:w="1548" w:type="pct"/>
            <w:tcBorders>
              <w:top w:val="nil"/>
              <w:left w:val="nil"/>
              <w:bottom w:val="single" w:sz="4" w:space="0" w:color="auto"/>
              <w:right w:val="single" w:sz="4" w:space="0" w:color="auto"/>
            </w:tcBorders>
            <w:vAlign w:val="center"/>
          </w:tcPr>
          <w:p w14:paraId="5EA55D90"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87 ± 14</w:t>
            </w:r>
          </w:p>
        </w:tc>
        <w:tc>
          <w:tcPr>
            <w:tcW w:w="1434" w:type="pct"/>
            <w:tcBorders>
              <w:top w:val="nil"/>
              <w:left w:val="nil"/>
              <w:bottom w:val="single" w:sz="4" w:space="0" w:color="auto"/>
              <w:right w:val="single" w:sz="4" w:space="0" w:color="auto"/>
            </w:tcBorders>
            <w:vAlign w:val="center"/>
          </w:tcPr>
          <w:p w14:paraId="090356A0"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81 ± 17</w:t>
            </w:r>
          </w:p>
        </w:tc>
        <w:tc>
          <w:tcPr>
            <w:tcW w:w="977" w:type="pct"/>
            <w:tcBorders>
              <w:top w:val="nil"/>
              <w:left w:val="nil"/>
              <w:bottom w:val="single" w:sz="4" w:space="0" w:color="auto"/>
              <w:right w:val="single" w:sz="4" w:space="0" w:color="auto"/>
            </w:tcBorders>
            <w:vAlign w:val="center"/>
          </w:tcPr>
          <w:p w14:paraId="601EEE85"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0.07</w:t>
            </w:r>
          </w:p>
        </w:tc>
      </w:tr>
      <w:tr w:rsidR="0018141D" w:rsidRPr="00413E69" w14:paraId="0D707050" w14:textId="77777777">
        <w:trPr>
          <w:trHeight w:val="936"/>
        </w:trPr>
        <w:tc>
          <w:tcPr>
            <w:tcW w:w="1041" w:type="pct"/>
            <w:tcBorders>
              <w:top w:val="nil"/>
              <w:left w:val="single" w:sz="4" w:space="0" w:color="auto"/>
              <w:bottom w:val="single" w:sz="4" w:space="0" w:color="auto"/>
              <w:right w:val="single" w:sz="4" w:space="0" w:color="auto"/>
            </w:tcBorders>
            <w:vAlign w:val="center"/>
          </w:tcPr>
          <w:p w14:paraId="38AC5C86"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proofErr w:type="spellStart"/>
            <w:r w:rsidRPr="00413E69">
              <w:rPr>
                <w:rFonts w:ascii="Times New Roman" w:eastAsia="Times New Roman" w:hAnsi="Times New Roman" w:cs="Times New Roman"/>
                <w:color w:val="000000"/>
                <w:kern w:val="0"/>
                <w:sz w:val="20"/>
                <w:szCs w:val="20"/>
                <w:lang w:eastAsia="en-IN"/>
              </w:rPr>
              <w:t>ACEi</w:t>
            </w:r>
            <w:proofErr w:type="spellEnd"/>
            <w:r w:rsidRPr="00413E69">
              <w:rPr>
                <w:rFonts w:ascii="Times New Roman" w:eastAsia="Times New Roman" w:hAnsi="Times New Roman" w:cs="Times New Roman"/>
                <w:color w:val="000000"/>
                <w:kern w:val="0"/>
                <w:sz w:val="20"/>
                <w:szCs w:val="20"/>
                <w:lang w:eastAsia="en-IN"/>
              </w:rPr>
              <w:t>/ARB use, n (%)</w:t>
            </w:r>
          </w:p>
        </w:tc>
        <w:tc>
          <w:tcPr>
            <w:tcW w:w="1548" w:type="pct"/>
            <w:tcBorders>
              <w:top w:val="nil"/>
              <w:left w:val="nil"/>
              <w:bottom w:val="single" w:sz="4" w:space="0" w:color="auto"/>
              <w:right w:val="single" w:sz="4" w:space="0" w:color="auto"/>
            </w:tcBorders>
            <w:vAlign w:val="center"/>
          </w:tcPr>
          <w:p w14:paraId="47665D84"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33 (44.0%)</w:t>
            </w:r>
          </w:p>
        </w:tc>
        <w:tc>
          <w:tcPr>
            <w:tcW w:w="1434" w:type="pct"/>
            <w:tcBorders>
              <w:top w:val="nil"/>
              <w:left w:val="nil"/>
              <w:bottom w:val="single" w:sz="4" w:space="0" w:color="auto"/>
              <w:right w:val="single" w:sz="4" w:space="0" w:color="auto"/>
            </w:tcBorders>
            <w:vAlign w:val="center"/>
          </w:tcPr>
          <w:p w14:paraId="3D1E6CD1"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41 (54.7%)</w:t>
            </w:r>
          </w:p>
        </w:tc>
        <w:tc>
          <w:tcPr>
            <w:tcW w:w="977" w:type="pct"/>
            <w:tcBorders>
              <w:top w:val="nil"/>
              <w:left w:val="nil"/>
              <w:bottom w:val="single" w:sz="4" w:space="0" w:color="auto"/>
              <w:right w:val="single" w:sz="4" w:space="0" w:color="auto"/>
            </w:tcBorders>
            <w:vAlign w:val="center"/>
          </w:tcPr>
          <w:p w14:paraId="53415BED" w14:textId="77777777" w:rsidR="0018141D" w:rsidRPr="00413E69" w:rsidRDefault="0076242C" w:rsidP="00413E69">
            <w:pPr>
              <w:spacing w:after="0" w:line="360" w:lineRule="auto"/>
              <w:jc w:val="center"/>
              <w:rPr>
                <w:rFonts w:ascii="Times New Roman" w:eastAsia="Times New Roman" w:hAnsi="Times New Roman" w:cs="Times New Roman"/>
                <w:color w:val="000000"/>
                <w:kern w:val="0"/>
                <w:sz w:val="20"/>
                <w:szCs w:val="20"/>
                <w:lang w:eastAsia="en-IN"/>
              </w:rPr>
            </w:pPr>
            <w:r w:rsidRPr="00413E69">
              <w:rPr>
                <w:rFonts w:ascii="Times New Roman" w:eastAsia="Times New Roman" w:hAnsi="Times New Roman" w:cs="Times New Roman"/>
                <w:color w:val="000000"/>
                <w:kern w:val="0"/>
                <w:sz w:val="20"/>
                <w:szCs w:val="20"/>
                <w:lang w:eastAsia="en-IN"/>
              </w:rPr>
              <w:t>0.2</w:t>
            </w:r>
          </w:p>
        </w:tc>
      </w:tr>
    </w:tbl>
    <w:p w14:paraId="2D915F0B" w14:textId="77777777" w:rsidR="0018141D" w:rsidRPr="00413E69" w:rsidRDefault="0018141D" w:rsidP="00413E69">
      <w:pPr>
        <w:spacing w:after="0" w:line="360" w:lineRule="auto"/>
        <w:rPr>
          <w:rFonts w:ascii="Times New Roman" w:hAnsi="Times New Roman" w:cs="Times New Roman"/>
          <w:sz w:val="20"/>
          <w:szCs w:val="20"/>
        </w:rPr>
      </w:pPr>
    </w:p>
    <w:p w14:paraId="0CB4F56A" w14:textId="77777777" w:rsidR="0018141D" w:rsidRPr="00413E69" w:rsidRDefault="0076242C" w:rsidP="00413E69">
      <w:pPr>
        <w:spacing w:after="0" w:line="360" w:lineRule="auto"/>
        <w:jc w:val="both"/>
        <w:rPr>
          <w:rFonts w:ascii="Times New Roman" w:hAnsi="Times New Roman" w:cs="Times New Roman"/>
          <w:sz w:val="20"/>
          <w:szCs w:val="20"/>
        </w:rPr>
      </w:pPr>
      <w:r w:rsidRPr="00413E69">
        <w:rPr>
          <w:rFonts w:ascii="Times New Roman" w:hAnsi="Times New Roman" w:cs="Times New Roman"/>
          <w:sz w:val="20"/>
          <w:szCs w:val="20"/>
        </w:rPr>
        <w:t xml:space="preserve">Table 2 presents the comparison of conventional renal biomarkers between normoalbuminuric (Group I) and </w:t>
      </w:r>
      <w:proofErr w:type="spellStart"/>
      <w:r w:rsidRPr="00413E69">
        <w:rPr>
          <w:rFonts w:ascii="Times New Roman" w:hAnsi="Times New Roman" w:cs="Times New Roman"/>
          <w:sz w:val="20"/>
          <w:szCs w:val="20"/>
        </w:rPr>
        <w:t>microalbuminuric</w:t>
      </w:r>
      <w:proofErr w:type="spellEnd"/>
      <w:r w:rsidRPr="00413E69">
        <w:rPr>
          <w:rFonts w:ascii="Times New Roman" w:hAnsi="Times New Roman" w:cs="Times New Roman"/>
          <w:sz w:val="20"/>
          <w:szCs w:val="20"/>
        </w:rPr>
        <w:t xml:space="preserve"> (Group II) patients with type 2 diabetes mellitus. All evaluated biomarkers were significantly higher in the </w:t>
      </w:r>
      <w:proofErr w:type="spellStart"/>
      <w:r w:rsidRPr="00413E69">
        <w:rPr>
          <w:rFonts w:ascii="Times New Roman" w:hAnsi="Times New Roman" w:cs="Times New Roman"/>
          <w:sz w:val="20"/>
          <w:szCs w:val="20"/>
        </w:rPr>
        <w:t>microalbuminuric</w:t>
      </w:r>
      <w:proofErr w:type="spellEnd"/>
      <w:r w:rsidRPr="00413E69">
        <w:rPr>
          <w:rFonts w:ascii="Times New Roman" w:hAnsi="Times New Roman" w:cs="Times New Roman"/>
          <w:sz w:val="20"/>
          <w:szCs w:val="20"/>
        </w:rPr>
        <w:t xml:space="preserve"> group, indicating greater renal impairment. Serum creatinine increased from 0.89 ± 0.18 to 1.12 ± 0.26 mg/dL (p&lt;0.001), while serum cystatin C showed a corresponding increase from 0.88 ± 0.18 to 1.18 ± 0.27 mg/L (p&lt;0.001), suggesting reduced renal filtration. Blood urea and serum uric acid were also significantly elevated in Group II (36 ± 9 vs. 28 ± 7 mg/dL and 6.1 ± 1.3 vs. 5.2 ± 1.1 mg/dL, respectively). Furthermore, 24-hour urinary protein more than doubled in the </w:t>
      </w:r>
      <w:proofErr w:type="spellStart"/>
      <w:r w:rsidRPr="00413E69">
        <w:rPr>
          <w:rFonts w:ascii="Times New Roman" w:hAnsi="Times New Roman" w:cs="Times New Roman"/>
          <w:sz w:val="20"/>
          <w:szCs w:val="20"/>
        </w:rPr>
        <w:t>microalbuminuric</w:t>
      </w:r>
      <w:proofErr w:type="spellEnd"/>
      <w:r w:rsidRPr="00413E69">
        <w:rPr>
          <w:rFonts w:ascii="Times New Roman" w:hAnsi="Times New Roman" w:cs="Times New Roman"/>
          <w:sz w:val="20"/>
          <w:szCs w:val="20"/>
        </w:rPr>
        <w:t xml:space="preserve"> group (268 ± 86 vs. 118 ± 42 mg/day), while UACR increased markedly from 11 ± 4 to 47 ± 14 mg/g (both p&lt;0.001), confirming substantially greater urinary protein excretion and renal involvement in patients with microalbuminuria.</w:t>
      </w:r>
    </w:p>
    <w:p w14:paraId="1537AA3E" w14:textId="77777777" w:rsidR="0018141D" w:rsidRPr="00413E69" w:rsidRDefault="0018141D" w:rsidP="00413E69">
      <w:pPr>
        <w:spacing w:after="0" w:line="360" w:lineRule="auto"/>
        <w:jc w:val="both"/>
        <w:rPr>
          <w:rFonts w:ascii="Times New Roman" w:hAnsi="Times New Roman" w:cs="Times New Roman"/>
          <w:sz w:val="20"/>
          <w:szCs w:val="20"/>
        </w:rPr>
      </w:pPr>
    </w:p>
    <w:p w14:paraId="138AD1FC" w14:textId="77777777" w:rsidR="0018141D" w:rsidRPr="00413E69" w:rsidRDefault="0076242C" w:rsidP="00413E69">
      <w:pPr>
        <w:spacing w:after="0" w:line="360" w:lineRule="auto"/>
        <w:jc w:val="both"/>
        <w:rPr>
          <w:rFonts w:ascii="Times New Roman" w:hAnsi="Times New Roman" w:cs="Times New Roman"/>
          <w:b/>
          <w:sz w:val="20"/>
          <w:szCs w:val="20"/>
        </w:rPr>
      </w:pPr>
      <w:r w:rsidRPr="00413E69">
        <w:rPr>
          <w:rFonts w:ascii="Times New Roman" w:hAnsi="Times New Roman" w:cs="Times New Roman"/>
          <w:b/>
          <w:sz w:val="20"/>
          <w:szCs w:val="20"/>
        </w:rPr>
        <w:lastRenderedPageBreak/>
        <w:t>Table 2:</w:t>
      </w:r>
      <w:r w:rsidRPr="00413E69">
        <w:rPr>
          <w:rFonts w:ascii="Times New Roman" w:hAnsi="Times New Roman" w:cs="Times New Roman"/>
          <w:sz w:val="20"/>
          <w:szCs w:val="20"/>
        </w:rPr>
        <w:t xml:space="preserve"> The comparison between the renal biomarkers for among patients of both of the groups</w:t>
      </w:r>
      <w:r w:rsidRPr="00413E69">
        <w:rPr>
          <w:rFonts w:ascii="Times New Roman" w:hAnsi="Times New Roman" w:cs="Times New Roman"/>
          <w:b/>
          <w:sz w:val="20"/>
          <w:szCs w:val="20"/>
        </w:rPr>
        <w:t xml:space="preserve"> </w:t>
      </w:r>
    </w:p>
    <w:tbl>
      <w:tblPr>
        <w:tblW w:w="886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5"/>
        <w:gridCol w:w="2325"/>
        <w:gridCol w:w="1620"/>
        <w:gridCol w:w="1635"/>
      </w:tblGrid>
      <w:tr w:rsidR="0018141D" w:rsidRPr="00413E69" w14:paraId="39AE6EA0" w14:textId="77777777">
        <w:trPr>
          <w:trHeight w:val="600"/>
        </w:trPr>
        <w:tc>
          <w:tcPr>
            <w:tcW w:w="3285" w:type="dxa"/>
            <w:vAlign w:val="center"/>
          </w:tcPr>
          <w:p w14:paraId="4FA672A2" w14:textId="77777777" w:rsidR="0018141D" w:rsidRPr="00413E69" w:rsidRDefault="0076242C" w:rsidP="00413E69">
            <w:pPr>
              <w:spacing w:after="0" w:line="360" w:lineRule="auto"/>
              <w:jc w:val="center"/>
              <w:textAlignment w:val="center"/>
              <w:rPr>
                <w:rFonts w:ascii="Times New Roman" w:hAnsi="Times New Roman" w:cs="Times New Roman"/>
                <w:b/>
                <w:bCs/>
                <w:color w:val="000000"/>
                <w:sz w:val="20"/>
                <w:szCs w:val="20"/>
              </w:rPr>
            </w:pPr>
            <w:r w:rsidRPr="00413E69">
              <w:rPr>
                <w:rFonts w:ascii="Times New Roman" w:eastAsia="SimSun" w:hAnsi="Times New Roman" w:cs="Times New Roman"/>
                <w:b/>
                <w:bCs/>
                <w:color w:val="000000"/>
                <w:kern w:val="0"/>
                <w:sz w:val="20"/>
                <w:szCs w:val="20"/>
                <w:lang w:val="en-US" w:eastAsia="zh-CN"/>
              </w:rPr>
              <w:t>Biomarker</w:t>
            </w:r>
          </w:p>
        </w:tc>
        <w:tc>
          <w:tcPr>
            <w:tcW w:w="2325" w:type="dxa"/>
            <w:vAlign w:val="center"/>
          </w:tcPr>
          <w:p w14:paraId="3F8892A2" w14:textId="77777777" w:rsidR="0018141D" w:rsidRPr="00413E69" w:rsidRDefault="0076242C" w:rsidP="00413E69">
            <w:pPr>
              <w:spacing w:after="0" w:line="360" w:lineRule="auto"/>
              <w:jc w:val="center"/>
              <w:textAlignment w:val="center"/>
              <w:rPr>
                <w:rFonts w:ascii="Times New Roman" w:hAnsi="Times New Roman" w:cs="Times New Roman"/>
                <w:b/>
                <w:bCs/>
                <w:color w:val="000000"/>
                <w:sz w:val="20"/>
                <w:szCs w:val="20"/>
              </w:rPr>
            </w:pPr>
            <w:r w:rsidRPr="00413E69">
              <w:rPr>
                <w:rFonts w:ascii="Times New Roman" w:eastAsia="SimSun" w:hAnsi="Times New Roman" w:cs="Times New Roman"/>
                <w:b/>
                <w:bCs/>
                <w:color w:val="000000"/>
                <w:kern w:val="0"/>
                <w:sz w:val="20"/>
                <w:szCs w:val="20"/>
                <w:lang w:val="en-US" w:eastAsia="zh-CN"/>
              </w:rPr>
              <w:t>Group I Mean ± SD</w:t>
            </w:r>
          </w:p>
        </w:tc>
        <w:tc>
          <w:tcPr>
            <w:tcW w:w="1620" w:type="dxa"/>
            <w:vAlign w:val="center"/>
          </w:tcPr>
          <w:p w14:paraId="756E2C43" w14:textId="77777777" w:rsidR="0018141D" w:rsidRPr="00413E69" w:rsidRDefault="0076242C" w:rsidP="00413E69">
            <w:pPr>
              <w:spacing w:after="0" w:line="360" w:lineRule="auto"/>
              <w:jc w:val="center"/>
              <w:textAlignment w:val="center"/>
              <w:rPr>
                <w:rFonts w:ascii="Times New Roman" w:hAnsi="Times New Roman" w:cs="Times New Roman"/>
                <w:b/>
                <w:bCs/>
                <w:color w:val="000000"/>
                <w:sz w:val="20"/>
                <w:szCs w:val="20"/>
              </w:rPr>
            </w:pPr>
            <w:r w:rsidRPr="00413E69">
              <w:rPr>
                <w:rFonts w:ascii="Times New Roman" w:eastAsia="SimSun" w:hAnsi="Times New Roman" w:cs="Times New Roman"/>
                <w:b/>
                <w:bCs/>
                <w:color w:val="000000"/>
                <w:kern w:val="0"/>
                <w:sz w:val="20"/>
                <w:szCs w:val="20"/>
                <w:lang w:val="en-US" w:eastAsia="zh-CN"/>
              </w:rPr>
              <w:t>Group II Mean ± SD</w:t>
            </w:r>
          </w:p>
        </w:tc>
        <w:tc>
          <w:tcPr>
            <w:tcW w:w="1635" w:type="dxa"/>
            <w:vAlign w:val="center"/>
          </w:tcPr>
          <w:p w14:paraId="1EA4F742" w14:textId="77777777" w:rsidR="0018141D" w:rsidRPr="00413E69" w:rsidRDefault="0076242C" w:rsidP="00413E69">
            <w:pPr>
              <w:spacing w:after="0" w:line="360" w:lineRule="auto"/>
              <w:jc w:val="center"/>
              <w:textAlignment w:val="center"/>
              <w:rPr>
                <w:rFonts w:ascii="Times New Roman" w:hAnsi="Times New Roman" w:cs="Times New Roman"/>
                <w:b/>
                <w:bCs/>
                <w:color w:val="000000"/>
                <w:sz w:val="20"/>
                <w:szCs w:val="20"/>
              </w:rPr>
            </w:pPr>
            <w:r w:rsidRPr="00413E69">
              <w:rPr>
                <w:rFonts w:ascii="Times New Roman" w:eastAsia="SimSun" w:hAnsi="Times New Roman" w:cs="Times New Roman"/>
                <w:b/>
                <w:bCs/>
                <w:color w:val="000000"/>
                <w:kern w:val="0"/>
                <w:sz w:val="20"/>
                <w:szCs w:val="20"/>
                <w:lang w:val="en-US" w:eastAsia="zh-CN"/>
              </w:rPr>
              <w:t>p-value</w:t>
            </w:r>
          </w:p>
        </w:tc>
      </w:tr>
      <w:tr w:rsidR="0018141D" w:rsidRPr="00413E69" w14:paraId="0B9C291C" w14:textId="77777777">
        <w:trPr>
          <w:trHeight w:val="300"/>
        </w:trPr>
        <w:tc>
          <w:tcPr>
            <w:tcW w:w="3285" w:type="dxa"/>
            <w:vAlign w:val="center"/>
          </w:tcPr>
          <w:p w14:paraId="73D6CD2F" w14:textId="77777777" w:rsidR="0018141D" w:rsidRPr="00413E69" w:rsidRDefault="0076242C" w:rsidP="00413E69">
            <w:pPr>
              <w:spacing w:after="0" w:line="360" w:lineRule="auto"/>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Serum creatinine (mg/dL)</w:t>
            </w:r>
          </w:p>
        </w:tc>
        <w:tc>
          <w:tcPr>
            <w:tcW w:w="2325" w:type="dxa"/>
            <w:vAlign w:val="center"/>
          </w:tcPr>
          <w:p w14:paraId="128A74D8" w14:textId="77777777" w:rsidR="0018141D" w:rsidRPr="00413E69" w:rsidRDefault="0076242C" w:rsidP="00413E69">
            <w:pPr>
              <w:spacing w:after="0" w:line="360" w:lineRule="auto"/>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0.89 ± 0.18</w:t>
            </w:r>
          </w:p>
        </w:tc>
        <w:tc>
          <w:tcPr>
            <w:tcW w:w="1620" w:type="dxa"/>
            <w:vAlign w:val="center"/>
          </w:tcPr>
          <w:p w14:paraId="64B1442E" w14:textId="77777777" w:rsidR="0018141D" w:rsidRPr="00413E69" w:rsidRDefault="0076242C" w:rsidP="00413E69">
            <w:pPr>
              <w:spacing w:after="0" w:line="360" w:lineRule="auto"/>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1.12 ± 0.26</w:t>
            </w:r>
          </w:p>
        </w:tc>
        <w:tc>
          <w:tcPr>
            <w:tcW w:w="1635" w:type="dxa"/>
            <w:vAlign w:val="center"/>
          </w:tcPr>
          <w:p w14:paraId="7F917E03" w14:textId="77777777" w:rsidR="0018141D" w:rsidRPr="00413E69" w:rsidRDefault="0076242C" w:rsidP="00413E69">
            <w:pPr>
              <w:spacing w:after="0" w:line="360" w:lineRule="auto"/>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&lt;0.001</w:t>
            </w:r>
          </w:p>
        </w:tc>
      </w:tr>
      <w:tr w:rsidR="0018141D" w:rsidRPr="00413E69" w14:paraId="4520030C" w14:textId="77777777">
        <w:trPr>
          <w:trHeight w:val="300"/>
        </w:trPr>
        <w:tc>
          <w:tcPr>
            <w:tcW w:w="3285" w:type="dxa"/>
            <w:vAlign w:val="center"/>
          </w:tcPr>
          <w:p w14:paraId="00E1DFEE" w14:textId="77777777" w:rsidR="0018141D" w:rsidRPr="00413E69" w:rsidRDefault="0076242C" w:rsidP="00413E69">
            <w:pPr>
              <w:spacing w:after="0" w:line="360" w:lineRule="auto"/>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Serum cystatin C (mg/L)</w:t>
            </w:r>
          </w:p>
        </w:tc>
        <w:tc>
          <w:tcPr>
            <w:tcW w:w="2325" w:type="dxa"/>
            <w:vAlign w:val="center"/>
          </w:tcPr>
          <w:p w14:paraId="74586F3F" w14:textId="77777777" w:rsidR="0018141D" w:rsidRPr="00413E69" w:rsidRDefault="0076242C" w:rsidP="00413E69">
            <w:pPr>
              <w:spacing w:after="0" w:line="360" w:lineRule="auto"/>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0.88 ± 0.18</w:t>
            </w:r>
          </w:p>
        </w:tc>
        <w:tc>
          <w:tcPr>
            <w:tcW w:w="1620" w:type="dxa"/>
            <w:vAlign w:val="center"/>
          </w:tcPr>
          <w:p w14:paraId="7FB0B028" w14:textId="77777777" w:rsidR="0018141D" w:rsidRPr="00413E69" w:rsidRDefault="0076242C" w:rsidP="00413E69">
            <w:pPr>
              <w:spacing w:after="0" w:line="360" w:lineRule="auto"/>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1.18 ± 0.27</w:t>
            </w:r>
          </w:p>
        </w:tc>
        <w:tc>
          <w:tcPr>
            <w:tcW w:w="1635" w:type="dxa"/>
            <w:vAlign w:val="center"/>
          </w:tcPr>
          <w:p w14:paraId="3862E60B" w14:textId="77777777" w:rsidR="0018141D" w:rsidRPr="00413E69" w:rsidRDefault="0076242C" w:rsidP="00413E69">
            <w:pPr>
              <w:spacing w:after="0" w:line="360" w:lineRule="auto"/>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&lt;0.001</w:t>
            </w:r>
          </w:p>
        </w:tc>
      </w:tr>
      <w:tr w:rsidR="0018141D" w:rsidRPr="00413E69" w14:paraId="5866B37C" w14:textId="77777777">
        <w:trPr>
          <w:trHeight w:val="300"/>
        </w:trPr>
        <w:tc>
          <w:tcPr>
            <w:tcW w:w="3285" w:type="dxa"/>
            <w:vAlign w:val="center"/>
          </w:tcPr>
          <w:p w14:paraId="7821AF09" w14:textId="77777777" w:rsidR="0018141D" w:rsidRPr="00413E69" w:rsidRDefault="0076242C" w:rsidP="00413E69">
            <w:pPr>
              <w:spacing w:after="0" w:line="360" w:lineRule="auto"/>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Blood urea (mg/dL)</w:t>
            </w:r>
          </w:p>
        </w:tc>
        <w:tc>
          <w:tcPr>
            <w:tcW w:w="2325" w:type="dxa"/>
            <w:vAlign w:val="center"/>
          </w:tcPr>
          <w:p w14:paraId="3F44D7A4" w14:textId="77777777" w:rsidR="0018141D" w:rsidRPr="00413E69" w:rsidRDefault="0076242C" w:rsidP="00413E69">
            <w:pPr>
              <w:spacing w:after="0" w:line="360" w:lineRule="auto"/>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28 ± 7</w:t>
            </w:r>
          </w:p>
        </w:tc>
        <w:tc>
          <w:tcPr>
            <w:tcW w:w="1620" w:type="dxa"/>
            <w:vAlign w:val="center"/>
          </w:tcPr>
          <w:p w14:paraId="4F1193A8" w14:textId="77777777" w:rsidR="0018141D" w:rsidRPr="00413E69" w:rsidRDefault="0076242C" w:rsidP="00413E69">
            <w:pPr>
              <w:spacing w:after="0" w:line="360" w:lineRule="auto"/>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36 ± 9</w:t>
            </w:r>
          </w:p>
        </w:tc>
        <w:tc>
          <w:tcPr>
            <w:tcW w:w="1635" w:type="dxa"/>
            <w:vAlign w:val="center"/>
          </w:tcPr>
          <w:p w14:paraId="705A6F24" w14:textId="77777777" w:rsidR="0018141D" w:rsidRPr="00413E69" w:rsidRDefault="0076242C" w:rsidP="00413E69">
            <w:pPr>
              <w:spacing w:after="0" w:line="360" w:lineRule="auto"/>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&lt;0.001</w:t>
            </w:r>
          </w:p>
        </w:tc>
      </w:tr>
      <w:tr w:rsidR="0018141D" w:rsidRPr="00413E69" w14:paraId="765660CC" w14:textId="77777777">
        <w:trPr>
          <w:trHeight w:val="300"/>
        </w:trPr>
        <w:tc>
          <w:tcPr>
            <w:tcW w:w="3285" w:type="dxa"/>
            <w:vAlign w:val="center"/>
          </w:tcPr>
          <w:p w14:paraId="77007C2D" w14:textId="77777777" w:rsidR="0018141D" w:rsidRPr="00413E69" w:rsidRDefault="0076242C" w:rsidP="00413E69">
            <w:pPr>
              <w:spacing w:after="0" w:line="360" w:lineRule="auto"/>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Serum uric acid (mg/dL)</w:t>
            </w:r>
          </w:p>
        </w:tc>
        <w:tc>
          <w:tcPr>
            <w:tcW w:w="2325" w:type="dxa"/>
            <w:vAlign w:val="center"/>
          </w:tcPr>
          <w:p w14:paraId="68A8CC45" w14:textId="77777777" w:rsidR="0018141D" w:rsidRPr="00413E69" w:rsidRDefault="0076242C" w:rsidP="00413E69">
            <w:pPr>
              <w:spacing w:after="0" w:line="360" w:lineRule="auto"/>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5.2 ± 1.1</w:t>
            </w:r>
          </w:p>
        </w:tc>
        <w:tc>
          <w:tcPr>
            <w:tcW w:w="1620" w:type="dxa"/>
            <w:vAlign w:val="center"/>
          </w:tcPr>
          <w:p w14:paraId="2EB17212" w14:textId="77777777" w:rsidR="0018141D" w:rsidRPr="00413E69" w:rsidRDefault="0076242C" w:rsidP="00413E69">
            <w:pPr>
              <w:spacing w:after="0" w:line="360" w:lineRule="auto"/>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6.1 ± 1.3</w:t>
            </w:r>
          </w:p>
        </w:tc>
        <w:tc>
          <w:tcPr>
            <w:tcW w:w="1635" w:type="dxa"/>
            <w:vAlign w:val="center"/>
          </w:tcPr>
          <w:p w14:paraId="6871F1CE" w14:textId="77777777" w:rsidR="0018141D" w:rsidRPr="00413E69" w:rsidRDefault="0076242C" w:rsidP="00413E69">
            <w:pPr>
              <w:spacing w:after="0" w:line="360" w:lineRule="auto"/>
              <w:jc w:val="right"/>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0.001</w:t>
            </w:r>
          </w:p>
        </w:tc>
      </w:tr>
      <w:tr w:rsidR="0018141D" w:rsidRPr="00413E69" w14:paraId="5DDC882F" w14:textId="77777777">
        <w:trPr>
          <w:trHeight w:val="300"/>
        </w:trPr>
        <w:tc>
          <w:tcPr>
            <w:tcW w:w="3285" w:type="dxa"/>
            <w:vAlign w:val="center"/>
          </w:tcPr>
          <w:p w14:paraId="6ACC60B4" w14:textId="77777777" w:rsidR="0018141D" w:rsidRPr="00413E69" w:rsidRDefault="0076242C" w:rsidP="00413E69">
            <w:pPr>
              <w:spacing w:after="0" w:line="360" w:lineRule="auto"/>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24-hour urinary protein (mg/day)</w:t>
            </w:r>
          </w:p>
        </w:tc>
        <w:tc>
          <w:tcPr>
            <w:tcW w:w="2325" w:type="dxa"/>
            <w:vAlign w:val="center"/>
          </w:tcPr>
          <w:p w14:paraId="3DA6B720" w14:textId="77777777" w:rsidR="0018141D" w:rsidRPr="00413E69" w:rsidRDefault="0076242C" w:rsidP="00413E69">
            <w:pPr>
              <w:spacing w:after="0" w:line="360" w:lineRule="auto"/>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118 ± 42</w:t>
            </w:r>
          </w:p>
        </w:tc>
        <w:tc>
          <w:tcPr>
            <w:tcW w:w="1620" w:type="dxa"/>
            <w:vAlign w:val="center"/>
          </w:tcPr>
          <w:p w14:paraId="3FCC2975" w14:textId="77777777" w:rsidR="0018141D" w:rsidRPr="00413E69" w:rsidRDefault="0076242C" w:rsidP="00413E69">
            <w:pPr>
              <w:spacing w:after="0" w:line="360" w:lineRule="auto"/>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268 ± 86</w:t>
            </w:r>
          </w:p>
        </w:tc>
        <w:tc>
          <w:tcPr>
            <w:tcW w:w="1635" w:type="dxa"/>
            <w:vAlign w:val="center"/>
          </w:tcPr>
          <w:p w14:paraId="165F3763" w14:textId="77777777" w:rsidR="0018141D" w:rsidRPr="00413E69" w:rsidRDefault="0076242C" w:rsidP="00413E69">
            <w:pPr>
              <w:spacing w:after="0" w:line="360" w:lineRule="auto"/>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&lt;0.001</w:t>
            </w:r>
          </w:p>
        </w:tc>
      </w:tr>
      <w:tr w:rsidR="0018141D" w:rsidRPr="00413E69" w14:paraId="7BD308D4" w14:textId="77777777">
        <w:trPr>
          <w:trHeight w:val="300"/>
        </w:trPr>
        <w:tc>
          <w:tcPr>
            <w:tcW w:w="3285" w:type="dxa"/>
            <w:vAlign w:val="center"/>
          </w:tcPr>
          <w:p w14:paraId="70616E41" w14:textId="77777777" w:rsidR="0018141D" w:rsidRPr="00413E69" w:rsidRDefault="0076242C" w:rsidP="00413E69">
            <w:pPr>
              <w:spacing w:after="0" w:line="360" w:lineRule="auto"/>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UACR (mg/g)</w:t>
            </w:r>
          </w:p>
        </w:tc>
        <w:tc>
          <w:tcPr>
            <w:tcW w:w="2325" w:type="dxa"/>
            <w:vAlign w:val="center"/>
          </w:tcPr>
          <w:p w14:paraId="64CFA521" w14:textId="77777777" w:rsidR="0018141D" w:rsidRPr="00413E69" w:rsidRDefault="0076242C" w:rsidP="00413E69">
            <w:pPr>
              <w:spacing w:after="0" w:line="360" w:lineRule="auto"/>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11 ± 4</w:t>
            </w:r>
          </w:p>
        </w:tc>
        <w:tc>
          <w:tcPr>
            <w:tcW w:w="1620" w:type="dxa"/>
            <w:vAlign w:val="center"/>
          </w:tcPr>
          <w:p w14:paraId="0CFEC406" w14:textId="77777777" w:rsidR="0018141D" w:rsidRPr="00413E69" w:rsidRDefault="0076242C" w:rsidP="00413E69">
            <w:pPr>
              <w:spacing w:after="0" w:line="360" w:lineRule="auto"/>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47 ± 14</w:t>
            </w:r>
          </w:p>
        </w:tc>
        <w:tc>
          <w:tcPr>
            <w:tcW w:w="1635" w:type="dxa"/>
            <w:vAlign w:val="center"/>
          </w:tcPr>
          <w:p w14:paraId="24B2D646" w14:textId="77777777" w:rsidR="0018141D" w:rsidRPr="00413E69" w:rsidRDefault="0076242C" w:rsidP="00413E69">
            <w:pPr>
              <w:spacing w:after="0" w:line="360" w:lineRule="auto"/>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&lt;0.001</w:t>
            </w:r>
          </w:p>
        </w:tc>
      </w:tr>
    </w:tbl>
    <w:p w14:paraId="6A069F34" w14:textId="77777777" w:rsidR="0018141D" w:rsidRPr="00413E69" w:rsidRDefault="0018141D" w:rsidP="00413E69">
      <w:pPr>
        <w:spacing w:after="0" w:line="360" w:lineRule="auto"/>
        <w:jc w:val="both"/>
        <w:rPr>
          <w:rFonts w:ascii="Times New Roman" w:hAnsi="Times New Roman" w:cs="Times New Roman"/>
          <w:b/>
          <w:bCs/>
          <w:sz w:val="20"/>
          <w:szCs w:val="20"/>
        </w:rPr>
      </w:pPr>
    </w:p>
    <w:p w14:paraId="1B168734" w14:textId="77777777" w:rsidR="0018141D" w:rsidRPr="00413E69" w:rsidRDefault="0076242C" w:rsidP="00413E69">
      <w:pPr>
        <w:spacing w:after="0" w:line="360" w:lineRule="auto"/>
        <w:jc w:val="both"/>
        <w:rPr>
          <w:rFonts w:ascii="Times New Roman" w:hAnsi="Times New Roman" w:cs="Times New Roman"/>
          <w:sz w:val="20"/>
          <w:szCs w:val="20"/>
        </w:rPr>
      </w:pPr>
      <w:r w:rsidRPr="00413E69">
        <w:rPr>
          <w:rFonts w:ascii="Times New Roman" w:hAnsi="Times New Roman" w:cs="Times New Roman"/>
          <w:sz w:val="20"/>
          <w:szCs w:val="20"/>
        </w:rPr>
        <w:t>Table 3 compares the diagnostic performance of conventional renal biomarkers for identifying microalbuminuria in patients with type 2 diabetes mellitus. UACR demonstrated the highest individual diagnostic accuracy with an AUC of 0.83 (95% CI: 0.75–0.91), achieving 79% sensitivity and 81% specificity at an optimal cut-off of 22 mg/g. Twenty-four-hour urinary protein showed comparable performance (AUC: 0.82), with 78% sensitivity and 80% specificity. Serum cystatin C also exhibited good discriminatory ability (AUC: 0.80), outperforming serum creatinine (AUC: 0.74), blood urea (AUC: 0.73), and serum uric acid (AUC: 0.71). The combined model incorporating UACR and serum creatinine produced the highest diagnostic accuracy, with an AUC of 0.86, sensitivity of 84%, and specificity of 83%, indicating improved identification of microalbuminuria compared with the use of individual biomarkers alone.</w:t>
      </w:r>
    </w:p>
    <w:p w14:paraId="4A4D8C4A" w14:textId="77777777" w:rsidR="0018141D" w:rsidRPr="00413E69" w:rsidRDefault="0018141D" w:rsidP="00413E69">
      <w:pPr>
        <w:spacing w:after="0" w:line="360" w:lineRule="auto"/>
        <w:jc w:val="both"/>
        <w:rPr>
          <w:rFonts w:ascii="Times New Roman" w:hAnsi="Times New Roman" w:cs="Times New Roman"/>
          <w:sz w:val="20"/>
          <w:szCs w:val="20"/>
        </w:rPr>
      </w:pPr>
    </w:p>
    <w:p w14:paraId="1C0BC7C7" w14:textId="77777777" w:rsidR="0018141D" w:rsidRPr="00413E69" w:rsidRDefault="0076242C" w:rsidP="00413E69">
      <w:pPr>
        <w:spacing w:after="0" w:line="360" w:lineRule="auto"/>
        <w:jc w:val="center"/>
        <w:rPr>
          <w:rFonts w:ascii="Times New Roman" w:hAnsi="Times New Roman" w:cs="Times New Roman"/>
          <w:b/>
          <w:sz w:val="20"/>
          <w:szCs w:val="20"/>
          <w:lang w:val="en-US"/>
        </w:rPr>
      </w:pPr>
      <w:r w:rsidRPr="00413E69">
        <w:rPr>
          <w:rFonts w:ascii="Times New Roman" w:hAnsi="Times New Roman" w:cs="Times New Roman"/>
          <w:b/>
          <w:sz w:val="20"/>
          <w:szCs w:val="20"/>
        </w:rPr>
        <w:t>Table 3</w:t>
      </w:r>
      <w:r w:rsidRPr="00413E69">
        <w:rPr>
          <w:rFonts w:ascii="Times New Roman" w:hAnsi="Times New Roman" w:cs="Times New Roman"/>
          <w:b/>
          <w:sz w:val="20"/>
          <w:szCs w:val="20"/>
          <w:lang w:val="en-US"/>
        </w:rPr>
        <w:t>: Diagnostic Performance of Conventional Renal Biomarkers for Identifying Microalbuminuria in Patients with Type 2 Diabetes Mellitus</w:t>
      </w:r>
    </w:p>
    <w:tbl>
      <w:tblPr>
        <w:tblW w:w="10395" w:type="dxa"/>
        <w:jc w:val="center"/>
        <w:tblLook w:val="04A0" w:firstRow="1" w:lastRow="0" w:firstColumn="1" w:lastColumn="0" w:noHBand="0" w:noVBand="1"/>
      </w:tblPr>
      <w:tblGrid>
        <w:gridCol w:w="3285"/>
        <w:gridCol w:w="2325"/>
        <w:gridCol w:w="1620"/>
        <w:gridCol w:w="1635"/>
        <w:gridCol w:w="1530"/>
      </w:tblGrid>
      <w:tr w:rsidR="0018141D" w:rsidRPr="00413E69" w14:paraId="68A09FE6" w14:textId="77777777">
        <w:trPr>
          <w:trHeight w:val="300"/>
          <w:jc w:val="center"/>
        </w:trPr>
        <w:tc>
          <w:tcPr>
            <w:tcW w:w="3285" w:type="dxa"/>
            <w:tcBorders>
              <w:top w:val="single" w:sz="4" w:space="0" w:color="000000"/>
              <w:left w:val="single" w:sz="4" w:space="0" w:color="000000"/>
              <w:bottom w:val="single" w:sz="4" w:space="0" w:color="000000"/>
              <w:right w:val="single" w:sz="4" w:space="0" w:color="000000"/>
            </w:tcBorders>
            <w:vAlign w:val="center"/>
          </w:tcPr>
          <w:p w14:paraId="0AFBEF6B" w14:textId="77777777" w:rsidR="0018141D" w:rsidRPr="00413E69" w:rsidRDefault="0076242C" w:rsidP="00413E69">
            <w:pPr>
              <w:spacing w:after="0" w:line="360" w:lineRule="auto"/>
              <w:jc w:val="center"/>
              <w:textAlignment w:val="center"/>
              <w:rPr>
                <w:rFonts w:ascii="Times New Roman" w:hAnsi="Times New Roman" w:cs="Times New Roman"/>
                <w:b/>
                <w:bCs/>
                <w:color w:val="000000"/>
                <w:sz w:val="20"/>
                <w:szCs w:val="20"/>
              </w:rPr>
            </w:pPr>
            <w:r w:rsidRPr="00413E69">
              <w:rPr>
                <w:rFonts w:ascii="Times New Roman" w:eastAsia="SimSun" w:hAnsi="Times New Roman" w:cs="Times New Roman"/>
                <w:b/>
                <w:bCs/>
                <w:color w:val="000000"/>
                <w:kern w:val="0"/>
                <w:sz w:val="20"/>
                <w:szCs w:val="20"/>
                <w:lang w:val="en-US" w:eastAsia="zh-CN"/>
              </w:rPr>
              <w:t>Biomarker</w:t>
            </w:r>
          </w:p>
        </w:tc>
        <w:tc>
          <w:tcPr>
            <w:tcW w:w="2325" w:type="dxa"/>
            <w:tcBorders>
              <w:top w:val="single" w:sz="4" w:space="0" w:color="000000"/>
              <w:left w:val="single" w:sz="4" w:space="0" w:color="000000"/>
              <w:bottom w:val="single" w:sz="4" w:space="0" w:color="000000"/>
              <w:right w:val="single" w:sz="4" w:space="0" w:color="000000"/>
            </w:tcBorders>
            <w:vAlign w:val="center"/>
          </w:tcPr>
          <w:p w14:paraId="7E1C9257" w14:textId="77777777" w:rsidR="0018141D" w:rsidRPr="00413E69" w:rsidRDefault="0076242C" w:rsidP="00413E69">
            <w:pPr>
              <w:spacing w:after="0" w:line="360" w:lineRule="auto"/>
              <w:jc w:val="center"/>
              <w:textAlignment w:val="center"/>
              <w:rPr>
                <w:rFonts w:ascii="Times New Roman" w:hAnsi="Times New Roman" w:cs="Times New Roman"/>
                <w:b/>
                <w:bCs/>
                <w:color w:val="000000"/>
                <w:sz w:val="20"/>
                <w:szCs w:val="20"/>
              </w:rPr>
            </w:pPr>
            <w:r w:rsidRPr="00413E69">
              <w:rPr>
                <w:rFonts w:ascii="Times New Roman" w:eastAsia="SimSun" w:hAnsi="Times New Roman" w:cs="Times New Roman"/>
                <w:b/>
                <w:bCs/>
                <w:color w:val="000000"/>
                <w:kern w:val="0"/>
                <w:sz w:val="20"/>
                <w:szCs w:val="20"/>
                <w:lang w:val="en-US" w:eastAsia="zh-CN"/>
              </w:rPr>
              <w:t>AUC (95% CI)</w:t>
            </w:r>
          </w:p>
        </w:tc>
        <w:tc>
          <w:tcPr>
            <w:tcW w:w="1620" w:type="dxa"/>
            <w:tcBorders>
              <w:top w:val="single" w:sz="4" w:space="0" w:color="000000"/>
              <w:left w:val="single" w:sz="4" w:space="0" w:color="000000"/>
              <w:bottom w:val="single" w:sz="4" w:space="0" w:color="000000"/>
              <w:right w:val="single" w:sz="4" w:space="0" w:color="000000"/>
            </w:tcBorders>
            <w:vAlign w:val="center"/>
          </w:tcPr>
          <w:p w14:paraId="292715D5" w14:textId="77777777" w:rsidR="0018141D" w:rsidRPr="00413E69" w:rsidRDefault="0076242C" w:rsidP="00413E69">
            <w:pPr>
              <w:spacing w:after="0" w:line="360" w:lineRule="auto"/>
              <w:jc w:val="center"/>
              <w:textAlignment w:val="center"/>
              <w:rPr>
                <w:rFonts w:ascii="Times New Roman" w:hAnsi="Times New Roman" w:cs="Times New Roman"/>
                <w:b/>
                <w:bCs/>
                <w:color w:val="000000"/>
                <w:sz w:val="20"/>
                <w:szCs w:val="20"/>
              </w:rPr>
            </w:pPr>
            <w:r w:rsidRPr="00413E69">
              <w:rPr>
                <w:rFonts w:ascii="Times New Roman" w:eastAsia="SimSun" w:hAnsi="Times New Roman" w:cs="Times New Roman"/>
                <w:b/>
                <w:bCs/>
                <w:color w:val="000000"/>
                <w:kern w:val="0"/>
                <w:sz w:val="20"/>
                <w:szCs w:val="20"/>
                <w:lang w:val="en-US" w:eastAsia="zh-CN"/>
              </w:rPr>
              <w:t>Optimal Cut-off</w:t>
            </w:r>
          </w:p>
        </w:tc>
        <w:tc>
          <w:tcPr>
            <w:tcW w:w="1635" w:type="dxa"/>
            <w:tcBorders>
              <w:top w:val="single" w:sz="4" w:space="0" w:color="000000"/>
              <w:left w:val="single" w:sz="4" w:space="0" w:color="000000"/>
              <w:bottom w:val="single" w:sz="4" w:space="0" w:color="000000"/>
              <w:right w:val="single" w:sz="4" w:space="0" w:color="000000"/>
            </w:tcBorders>
            <w:vAlign w:val="center"/>
          </w:tcPr>
          <w:p w14:paraId="5B7D5A87" w14:textId="77777777" w:rsidR="0018141D" w:rsidRPr="00413E69" w:rsidRDefault="0076242C" w:rsidP="00413E69">
            <w:pPr>
              <w:spacing w:after="0" w:line="360" w:lineRule="auto"/>
              <w:jc w:val="center"/>
              <w:textAlignment w:val="center"/>
              <w:rPr>
                <w:rFonts w:ascii="Times New Roman" w:hAnsi="Times New Roman" w:cs="Times New Roman"/>
                <w:b/>
                <w:bCs/>
                <w:color w:val="000000"/>
                <w:sz w:val="20"/>
                <w:szCs w:val="20"/>
              </w:rPr>
            </w:pPr>
            <w:r w:rsidRPr="00413E69">
              <w:rPr>
                <w:rFonts w:ascii="Times New Roman" w:eastAsia="SimSun" w:hAnsi="Times New Roman" w:cs="Times New Roman"/>
                <w:b/>
                <w:bCs/>
                <w:color w:val="000000"/>
                <w:kern w:val="0"/>
                <w:sz w:val="20"/>
                <w:szCs w:val="20"/>
                <w:lang w:val="en-US" w:eastAsia="zh-CN"/>
              </w:rPr>
              <w:t>Sensitivity (%)</w:t>
            </w:r>
          </w:p>
        </w:tc>
        <w:tc>
          <w:tcPr>
            <w:tcW w:w="1530" w:type="dxa"/>
            <w:tcBorders>
              <w:top w:val="single" w:sz="4" w:space="0" w:color="000000"/>
              <w:left w:val="single" w:sz="4" w:space="0" w:color="000000"/>
              <w:bottom w:val="single" w:sz="4" w:space="0" w:color="000000"/>
              <w:right w:val="single" w:sz="4" w:space="0" w:color="000000"/>
            </w:tcBorders>
            <w:vAlign w:val="center"/>
          </w:tcPr>
          <w:p w14:paraId="7306D830" w14:textId="77777777" w:rsidR="0018141D" w:rsidRPr="00413E69" w:rsidRDefault="0076242C" w:rsidP="00413E69">
            <w:pPr>
              <w:spacing w:after="0" w:line="360" w:lineRule="auto"/>
              <w:jc w:val="center"/>
              <w:textAlignment w:val="center"/>
              <w:rPr>
                <w:rFonts w:ascii="Times New Roman" w:hAnsi="Times New Roman" w:cs="Times New Roman"/>
                <w:b/>
                <w:bCs/>
                <w:color w:val="000000"/>
                <w:sz w:val="20"/>
                <w:szCs w:val="20"/>
              </w:rPr>
            </w:pPr>
            <w:r w:rsidRPr="00413E69">
              <w:rPr>
                <w:rFonts w:ascii="Times New Roman" w:eastAsia="SimSun" w:hAnsi="Times New Roman" w:cs="Times New Roman"/>
                <w:b/>
                <w:bCs/>
                <w:color w:val="000000"/>
                <w:kern w:val="0"/>
                <w:sz w:val="20"/>
                <w:szCs w:val="20"/>
                <w:lang w:val="en-US" w:eastAsia="zh-CN"/>
              </w:rPr>
              <w:t>Specificity (%)</w:t>
            </w:r>
          </w:p>
        </w:tc>
      </w:tr>
      <w:tr w:rsidR="0018141D" w:rsidRPr="00413E69" w14:paraId="07698818" w14:textId="77777777">
        <w:trPr>
          <w:trHeight w:val="300"/>
          <w:jc w:val="center"/>
        </w:trPr>
        <w:tc>
          <w:tcPr>
            <w:tcW w:w="3285" w:type="dxa"/>
            <w:tcBorders>
              <w:top w:val="single" w:sz="4" w:space="0" w:color="000000"/>
              <w:left w:val="single" w:sz="4" w:space="0" w:color="000000"/>
              <w:bottom w:val="single" w:sz="4" w:space="0" w:color="000000"/>
              <w:right w:val="single" w:sz="4" w:space="0" w:color="000000"/>
            </w:tcBorders>
            <w:vAlign w:val="center"/>
          </w:tcPr>
          <w:p w14:paraId="75231B22"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UACR</w:t>
            </w:r>
          </w:p>
        </w:tc>
        <w:tc>
          <w:tcPr>
            <w:tcW w:w="2325" w:type="dxa"/>
            <w:tcBorders>
              <w:top w:val="single" w:sz="4" w:space="0" w:color="000000"/>
              <w:left w:val="single" w:sz="4" w:space="0" w:color="000000"/>
              <w:bottom w:val="single" w:sz="4" w:space="0" w:color="000000"/>
              <w:right w:val="single" w:sz="4" w:space="0" w:color="000000"/>
            </w:tcBorders>
            <w:vAlign w:val="center"/>
          </w:tcPr>
          <w:p w14:paraId="5ED4ECB9"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0.83 (0.75–0.91)</w:t>
            </w:r>
          </w:p>
        </w:tc>
        <w:tc>
          <w:tcPr>
            <w:tcW w:w="1620" w:type="dxa"/>
            <w:tcBorders>
              <w:top w:val="single" w:sz="4" w:space="0" w:color="000000"/>
              <w:left w:val="single" w:sz="4" w:space="0" w:color="000000"/>
              <w:bottom w:val="single" w:sz="4" w:space="0" w:color="000000"/>
              <w:right w:val="single" w:sz="4" w:space="0" w:color="000000"/>
            </w:tcBorders>
            <w:vAlign w:val="center"/>
          </w:tcPr>
          <w:p w14:paraId="298A5B56"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22 mg/g</w:t>
            </w:r>
          </w:p>
        </w:tc>
        <w:tc>
          <w:tcPr>
            <w:tcW w:w="1635" w:type="dxa"/>
            <w:tcBorders>
              <w:top w:val="single" w:sz="4" w:space="0" w:color="000000"/>
              <w:left w:val="single" w:sz="4" w:space="0" w:color="000000"/>
              <w:bottom w:val="single" w:sz="4" w:space="0" w:color="000000"/>
              <w:right w:val="single" w:sz="4" w:space="0" w:color="000000"/>
            </w:tcBorders>
            <w:vAlign w:val="center"/>
          </w:tcPr>
          <w:p w14:paraId="3BDEBBD3"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79</w:t>
            </w:r>
          </w:p>
        </w:tc>
        <w:tc>
          <w:tcPr>
            <w:tcW w:w="1530" w:type="dxa"/>
            <w:tcBorders>
              <w:top w:val="single" w:sz="4" w:space="0" w:color="000000"/>
              <w:left w:val="single" w:sz="4" w:space="0" w:color="000000"/>
              <w:bottom w:val="single" w:sz="4" w:space="0" w:color="000000"/>
              <w:right w:val="single" w:sz="4" w:space="0" w:color="000000"/>
            </w:tcBorders>
            <w:vAlign w:val="center"/>
          </w:tcPr>
          <w:p w14:paraId="6AD84F5D"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81</w:t>
            </w:r>
          </w:p>
        </w:tc>
      </w:tr>
      <w:tr w:rsidR="0018141D" w:rsidRPr="00413E69" w14:paraId="6F81ABFB" w14:textId="77777777">
        <w:trPr>
          <w:trHeight w:val="300"/>
          <w:jc w:val="center"/>
        </w:trPr>
        <w:tc>
          <w:tcPr>
            <w:tcW w:w="3285" w:type="dxa"/>
            <w:tcBorders>
              <w:top w:val="single" w:sz="4" w:space="0" w:color="000000"/>
              <w:left w:val="single" w:sz="4" w:space="0" w:color="000000"/>
              <w:bottom w:val="single" w:sz="4" w:space="0" w:color="000000"/>
              <w:right w:val="single" w:sz="4" w:space="0" w:color="000000"/>
            </w:tcBorders>
            <w:vAlign w:val="center"/>
          </w:tcPr>
          <w:p w14:paraId="7696A402"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Serum creatinine</w:t>
            </w:r>
          </w:p>
        </w:tc>
        <w:tc>
          <w:tcPr>
            <w:tcW w:w="2325" w:type="dxa"/>
            <w:tcBorders>
              <w:top w:val="single" w:sz="4" w:space="0" w:color="000000"/>
              <w:left w:val="single" w:sz="4" w:space="0" w:color="000000"/>
              <w:bottom w:val="single" w:sz="4" w:space="0" w:color="000000"/>
              <w:right w:val="single" w:sz="4" w:space="0" w:color="000000"/>
            </w:tcBorders>
            <w:vAlign w:val="center"/>
          </w:tcPr>
          <w:p w14:paraId="0C1ECFC6"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0.74 (0.66–0.83)</w:t>
            </w:r>
          </w:p>
        </w:tc>
        <w:tc>
          <w:tcPr>
            <w:tcW w:w="1620" w:type="dxa"/>
            <w:tcBorders>
              <w:top w:val="single" w:sz="4" w:space="0" w:color="000000"/>
              <w:left w:val="single" w:sz="4" w:space="0" w:color="000000"/>
              <w:bottom w:val="single" w:sz="4" w:space="0" w:color="000000"/>
              <w:right w:val="single" w:sz="4" w:space="0" w:color="000000"/>
            </w:tcBorders>
            <w:vAlign w:val="center"/>
          </w:tcPr>
          <w:p w14:paraId="151599E7"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1.0 mg/dL</w:t>
            </w:r>
          </w:p>
        </w:tc>
        <w:tc>
          <w:tcPr>
            <w:tcW w:w="1635" w:type="dxa"/>
            <w:tcBorders>
              <w:top w:val="single" w:sz="4" w:space="0" w:color="000000"/>
              <w:left w:val="single" w:sz="4" w:space="0" w:color="000000"/>
              <w:bottom w:val="single" w:sz="4" w:space="0" w:color="000000"/>
              <w:right w:val="single" w:sz="4" w:space="0" w:color="000000"/>
            </w:tcBorders>
            <w:vAlign w:val="center"/>
          </w:tcPr>
          <w:p w14:paraId="78BDE484"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70</w:t>
            </w:r>
          </w:p>
        </w:tc>
        <w:tc>
          <w:tcPr>
            <w:tcW w:w="1530" w:type="dxa"/>
            <w:tcBorders>
              <w:top w:val="single" w:sz="4" w:space="0" w:color="000000"/>
              <w:left w:val="single" w:sz="4" w:space="0" w:color="000000"/>
              <w:bottom w:val="single" w:sz="4" w:space="0" w:color="000000"/>
              <w:right w:val="single" w:sz="4" w:space="0" w:color="000000"/>
            </w:tcBorders>
            <w:vAlign w:val="center"/>
          </w:tcPr>
          <w:p w14:paraId="27F4A599"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72</w:t>
            </w:r>
          </w:p>
        </w:tc>
      </w:tr>
      <w:tr w:rsidR="0018141D" w:rsidRPr="00413E69" w14:paraId="05FD3128" w14:textId="77777777">
        <w:trPr>
          <w:trHeight w:val="300"/>
          <w:jc w:val="center"/>
        </w:trPr>
        <w:tc>
          <w:tcPr>
            <w:tcW w:w="3285" w:type="dxa"/>
            <w:tcBorders>
              <w:top w:val="single" w:sz="4" w:space="0" w:color="000000"/>
              <w:left w:val="single" w:sz="4" w:space="0" w:color="000000"/>
              <w:bottom w:val="single" w:sz="4" w:space="0" w:color="000000"/>
              <w:right w:val="single" w:sz="4" w:space="0" w:color="000000"/>
            </w:tcBorders>
            <w:vAlign w:val="center"/>
          </w:tcPr>
          <w:p w14:paraId="5CAFAE5F"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Serum cystatin C</w:t>
            </w:r>
          </w:p>
        </w:tc>
        <w:tc>
          <w:tcPr>
            <w:tcW w:w="2325" w:type="dxa"/>
            <w:tcBorders>
              <w:top w:val="single" w:sz="4" w:space="0" w:color="000000"/>
              <w:left w:val="single" w:sz="4" w:space="0" w:color="000000"/>
              <w:bottom w:val="single" w:sz="4" w:space="0" w:color="000000"/>
              <w:right w:val="single" w:sz="4" w:space="0" w:color="000000"/>
            </w:tcBorders>
            <w:vAlign w:val="center"/>
          </w:tcPr>
          <w:p w14:paraId="5AC16BD2"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0.80 (0.72–0.88)</w:t>
            </w:r>
          </w:p>
        </w:tc>
        <w:tc>
          <w:tcPr>
            <w:tcW w:w="1620" w:type="dxa"/>
            <w:tcBorders>
              <w:top w:val="single" w:sz="4" w:space="0" w:color="000000"/>
              <w:left w:val="single" w:sz="4" w:space="0" w:color="000000"/>
              <w:bottom w:val="single" w:sz="4" w:space="0" w:color="000000"/>
              <w:right w:val="single" w:sz="4" w:space="0" w:color="000000"/>
            </w:tcBorders>
            <w:vAlign w:val="center"/>
          </w:tcPr>
          <w:p w14:paraId="4952340D"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0.98 mg/L</w:t>
            </w:r>
          </w:p>
        </w:tc>
        <w:tc>
          <w:tcPr>
            <w:tcW w:w="1635" w:type="dxa"/>
            <w:tcBorders>
              <w:top w:val="single" w:sz="4" w:space="0" w:color="000000"/>
              <w:left w:val="single" w:sz="4" w:space="0" w:color="000000"/>
              <w:bottom w:val="single" w:sz="4" w:space="0" w:color="000000"/>
              <w:right w:val="single" w:sz="4" w:space="0" w:color="000000"/>
            </w:tcBorders>
            <w:vAlign w:val="center"/>
          </w:tcPr>
          <w:p w14:paraId="71A3AB9D"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76</w:t>
            </w:r>
          </w:p>
        </w:tc>
        <w:tc>
          <w:tcPr>
            <w:tcW w:w="1530" w:type="dxa"/>
            <w:tcBorders>
              <w:top w:val="single" w:sz="4" w:space="0" w:color="000000"/>
              <w:left w:val="single" w:sz="4" w:space="0" w:color="000000"/>
              <w:bottom w:val="single" w:sz="4" w:space="0" w:color="000000"/>
              <w:right w:val="single" w:sz="4" w:space="0" w:color="000000"/>
            </w:tcBorders>
            <w:vAlign w:val="center"/>
          </w:tcPr>
          <w:p w14:paraId="2EFB9E85"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79</w:t>
            </w:r>
          </w:p>
        </w:tc>
      </w:tr>
      <w:tr w:rsidR="0018141D" w:rsidRPr="00413E69" w14:paraId="0D131055" w14:textId="77777777">
        <w:trPr>
          <w:trHeight w:val="300"/>
          <w:jc w:val="center"/>
        </w:trPr>
        <w:tc>
          <w:tcPr>
            <w:tcW w:w="3285" w:type="dxa"/>
            <w:tcBorders>
              <w:top w:val="single" w:sz="4" w:space="0" w:color="000000"/>
              <w:left w:val="single" w:sz="4" w:space="0" w:color="000000"/>
              <w:bottom w:val="single" w:sz="4" w:space="0" w:color="000000"/>
              <w:right w:val="single" w:sz="4" w:space="0" w:color="000000"/>
            </w:tcBorders>
            <w:vAlign w:val="center"/>
          </w:tcPr>
          <w:p w14:paraId="5D538107"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Blood urea</w:t>
            </w:r>
          </w:p>
        </w:tc>
        <w:tc>
          <w:tcPr>
            <w:tcW w:w="2325" w:type="dxa"/>
            <w:tcBorders>
              <w:top w:val="single" w:sz="4" w:space="0" w:color="000000"/>
              <w:left w:val="single" w:sz="4" w:space="0" w:color="000000"/>
              <w:bottom w:val="single" w:sz="4" w:space="0" w:color="000000"/>
              <w:right w:val="single" w:sz="4" w:space="0" w:color="000000"/>
            </w:tcBorders>
            <w:vAlign w:val="center"/>
          </w:tcPr>
          <w:p w14:paraId="6789DDE8"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0.73 (0.64–0.82)</w:t>
            </w:r>
          </w:p>
        </w:tc>
        <w:tc>
          <w:tcPr>
            <w:tcW w:w="1620" w:type="dxa"/>
            <w:tcBorders>
              <w:top w:val="single" w:sz="4" w:space="0" w:color="000000"/>
              <w:left w:val="single" w:sz="4" w:space="0" w:color="000000"/>
              <w:bottom w:val="single" w:sz="4" w:space="0" w:color="000000"/>
              <w:right w:val="single" w:sz="4" w:space="0" w:color="000000"/>
            </w:tcBorders>
            <w:vAlign w:val="center"/>
          </w:tcPr>
          <w:p w14:paraId="2F12EA7E"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32 mg/dL</w:t>
            </w:r>
          </w:p>
        </w:tc>
        <w:tc>
          <w:tcPr>
            <w:tcW w:w="1635" w:type="dxa"/>
            <w:tcBorders>
              <w:top w:val="single" w:sz="4" w:space="0" w:color="000000"/>
              <w:left w:val="single" w:sz="4" w:space="0" w:color="000000"/>
              <w:bottom w:val="single" w:sz="4" w:space="0" w:color="000000"/>
              <w:right w:val="single" w:sz="4" w:space="0" w:color="000000"/>
            </w:tcBorders>
            <w:vAlign w:val="center"/>
          </w:tcPr>
          <w:p w14:paraId="03BABC1E"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69</w:t>
            </w:r>
          </w:p>
        </w:tc>
        <w:tc>
          <w:tcPr>
            <w:tcW w:w="1530" w:type="dxa"/>
            <w:tcBorders>
              <w:top w:val="single" w:sz="4" w:space="0" w:color="000000"/>
              <w:left w:val="single" w:sz="4" w:space="0" w:color="000000"/>
              <w:bottom w:val="single" w:sz="4" w:space="0" w:color="000000"/>
              <w:right w:val="single" w:sz="4" w:space="0" w:color="000000"/>
            </w:tcBorders>
            <w:vAlign w:val="center"/>
          </w:tcPr>
          <w:p w14:paraId="2DCF844C"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71</w:t>
            </w:r>
          </w:p>
        </w:tc>
      </w:tr>
      <w:tr w:rsidR="0018141D" w:rsidRPr="00413E69" w14:paraId="5DCB8834" w14:textId="77777777">
        <w:trPr>
          <w:trHeight w:val="300"/>
          <w:jc w:val="center"/>
        </w:trPr>
        <w:tc>
          <w:tcPr>
            <w:tcW w:w="3285" w:type="dxa"/>
            <w:tcBorders>
              <w:top w:val="single" w:sz="4" w:space="0" w:color="000000"/>
              <w:left w:val="single" w:sz="4" w:space="0" w:color="000000"/>
              <w:bottom w:val="single" w:sz="4" w:space="0" w:color="000000"/>
              <w:right w:val="single" w:sz="4" w:space="0" w:color="000000"/>
            </w:tcBorders>
            <w:vAlign w:val="center"/>
          </w:tcPr>
          <w:p w14:paraId="2F66539D"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Serum uric acid</w:t>
            </w:r>
          </w:p>
        </w:tc>
        <w:tc>
          <w:tcPr>
            <w:tcW w:w="2325" w:type="dxa"/>
            <w:tcBorders>
              <w:top w:val="single" w:sz="4" w:space="0" w:color="000000"/>
              <w:left w:val="single" w:sz="4" w:space="0" w:color="000000"/>
              <w:bottom w:val="single" w:sz="4" w:space="0" w:color="000000"/>
              <w:right w:val="single" w:sz="4" w:space="0" w:color="000000"/>
            </w:tcBorders>
            <w:vAlign w:val="center"/>
          </w:tcPr>
          <w:p w14:paraId="03A2737F"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0.71 (0.62–0.80)</w:t>
            </w:r>
          </w:p>
        </w:tc>
        <w:tc>
          <w:tcPr>
            <w:tcW w:w="1620" w:type="dxa"/>
            <w:tcBorders>
              <w:top w:val="single" w:sz="4" w:space="0" w:color="000000"/>
              <w:left w:val="single" w:sz="4" w:space="0" w:color="000000"/>
              <w:bottom w:val="single" w:sz="4" w:space="0" w:color="000000"/>
              <w:right w:val="single" w:sz="4" w:space="0" w:color="000000"/>
            </w:tcBorders>
            <w:vAlign w:val="center"/>
          </w:tcPr>
          <w:p w14:paraId="0A35913A"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5.8 mg/dL</w:t>
            </w:r>
          </w:p>
        </w:tc>
        <w:tc>
          <w:tcPr>
            <w:tcW w:w="1635" w:type="dxa"/>
            <w:tcBorders>
              <w:top w:val="single" w:sz="4" w:space="0" w:color="000000"/>
              <w:left w:val="single" w:sz="4" w:space="0" w:color="000000"/>
              <w:bottom w:val="single" w:sz="4" w:space="0" w:color="000000"/>
              <w:right w:val="single" w:sz="4" w:space="0" w:color="000000"/>
            </w:tcBorders>
            <w:vAlign w:val="center"/>
          </w:tcPr>
          <w:p w14:paraId="4411197D"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68</w:t>
            </w:r>
          </w:p>
        </w:tc>
        <w:tc>
          <w:tcPr>
            <w:tcW w:w="1530" w:type="dxa"/>
            <w:tcBorders>
              <w:top w:val="single" w:sz="4" w:space="0" w:color="000000"/>
              <w:left w:val="single" w:sz="4" w:space="0" w:color="000000"/>
              <w:bottom w:val="single" w:sz="4" w:space="0" w:color="000000"/>
              <w:right w:val="single" w:sz="4" w:space="0" w:color="000000"/>
            </w:tcBorders>
            <w:vAlign w:val="center"/>
          </w:tcPr>
          <w:p w14:paraId="5F0BABD2"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70</w:t>
            </w:r>
          </w:p>
        </w:tc>
      </w:tr>
      <w:tr w:rsidR="0018141D" w:rsidRPr="00413E69" w14:paraId="47B8140A" w14:textId="77777777">
        <w:trPr>
          <w:trHeight w:val="300"/>
          <w:jc w:val="center"/>
        </w:trPr>
        <w:tc>
          <w:tcPr>
            <w:tcW w:w="3285" w:type="dxa"/>
            <w:tcBorders>
              <w:top w:val="single" w:sz="4" w:space="0" w:color="000000"/>
              <w:left w:val="single" w:sz="4" w:space="0" w:color="000000"/>
              <w:bottom w:val="single" w:sz="4" w:space="0" w:color="000000"/>
              <w:right w:val="single" w:sz="4" w:space="0" w:color="000000"/>
            </w:tcBorders>
            <w:vAlign w:val="center"/>
          </w:tcPr>
          <w:p w14:paraId="643528D3"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24-hour urinary protein</w:t>
            </w:r>
          </w:p>
        </w:tc>
        <w:tc>
          <w:tcPr>
            <w:tcW w:w="2325" w:type="dxa"/>
            <w:tcBorders>
              <w:top w:val="single" w:sz="4" w:space="0" w:color="000000"/>
              <w:left w:val="single" w:sz="4" w:space="0" w:color="000000"/>
              <w:bottom w:val="single" w:sz="4" w:space="0" w:color="000000"/>
              <w:right w:val="single" w:sz="4" w:space="0" w:color="000000"/>
            </w:tcBorders>
            <w:vAlign w:val="center"/>
          </w:tcPr>
          <w:p w14:paraId="666C231B"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0.82 (0.74–0.90)</w:t>
            </w:r>
          </w:p>
        </w:tc>
        <w:tc>
          <w:tcPr>
            <w:tcW w:w="1620" w:type="dxa"/>
            <w:tcBorders>
              <w:top w:val="single" w:sz="4" w:space="0" w:color="000000"/>
              <w:left w:val="single" w:sz="4" w:space="0" w:color="000000"/>
              <w:bottom w:val="single" w:sz="4" w:space="0" w:color="000000"/>
              <w:right w:val="single" w:sz="4" w:space="0" w:color="000000"/>
            </w:tcBorders>
            <w:vAlign w:val="center"/>
          </w:tcPr>
          <w:p w14:paraId="5D8BB7B2"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180 mg/day</w:t>
            </w:r>
          </w:p>
        </w:tc>
        <w:tc>
          <w:tcPr>
            <w:tcW w:w="1635" w:type="dxa"/>
            <w:tcBorders>
              <w:top w:val="single" w:sz="4" w:space="0" w:color="000000"/>
              <w:left w:val="single" w:sz="4" w:space="0" w:color="000000"/>
              <w:bottom w:val="single" w:sz="4" w:space="0" w:color="000000"/>
              <w:right w:val="single" w:sz="4" w:space="0" w:color="000000"/>
            </w:tcBorders>
            <w:vAlign w:val="center"/>
          </w:tcPr>
          <w:p w14:paraId="54130F4A"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78</w:t>
            </w:r>
          </w:p>
        </w:tc>
        <w:tc>
          <w:tcPr>
            <w:tcW w:w="1530" w:type="dxa"/>
            <w:tcBorders>
              <w:top w:val="single" w:sz="4" w:space="0" w:color="000000"/>
              <w:left w:val="single" w:sz="4" w:space="0" w:color="000000"/>
              <w:bottom w:val="single" w:sz="4" w:space="0" w:color="000000"/>
              <w:right w:val="single" w:sz="4" w:space="0" w:color="000000"/>
            </w:tcBorders>
            <w:vAlign w:val="center"/>
          </w:tcPr>
          <w:p w14:paraId="7A3E6BBC"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80</w:t>
            </w:r>
          </w:p>
        </w:tc>
      </w:tr>
      <w:tr w:rsidR="0018141D" w:rsidRPr="00413E69" w14:paraId="4747FC43" w14:textId="77777777">
        <w:trPr>
          <w:trHeight w:val="300"/>
          <w:jc w:val="center"/>
        </w:trPr>
        <w:tc>
          <w:tcPr>
            <w:tcW w:w="3285" w:type="dxa"/>
            <w:tcBorders>
              <w:top w:val="single" w:sz="4" w:space="0" w:color="000000"/>
              <w:left w:val="single" w:sz="4" w:space="0" w:color="000000"/>
              <w:bottom w:val="single" w:sz="4" w:space="0" w:color="000000"/>
              <w:right w:val="single" w:sz="4" w:space="0" w:color="000000"/>
            </w:tcBorders>
            <w:vAlign w:val="center"/>
          </w:tcPr>
          <w:p w14:paraId="7BE5B080"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UACR + Serum creatinine</w:t>
            </w:r>
          </w:p>
        </w:tc>
        <w:tc>
          <w:tcPr>
            <w:tcW w:w="2325" w:type="dxa"/>
            <w:tcBorders>
              <w:top w:val="single" w:sz="4" w:space="0" w:color="000000"/>
              <w:left w:val="single" w:sz="4" w:space="0" w:color="000000"/>
              <w:bottom w:val="single" w:sz="4" w:space="0" w:color="000000"/>
              <w:right w:val="single" w:sz="4" w:space="0" w:color="000000"/>
            </w:tcBorders>
            <w:vAlign w:val="center"/>
          </w:tcPr>
          <w:p w14:paraId="35B11BC8"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0.86 (0.79–0.93)</w:t>
            </w:r>
          </w:p>
        </w:tc>
        <w:tc>
          <w:tcPr>
            <w:tcW w:w="1620" w:type="dxa"/>
            <w:tcBorders>
              <w:top w:val="single" w:sz="4" w:space="0" w:color="000000"/>
              <w:left w:val="single" w:sz="4" w:space="0" w:color="000000"/>
              <w:bottom w:val="single" w:sz="4" w:space="0" w:color="000000"/>
              <w:right w:val="single" w:sz="4" w:space="0" w:color="000000"/>
            </w:tcBorders>
            <w:vAlign w:val="center"/>
          </w:tcPr>
          <w:p w14:paraId="6683961B"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w:t>
            </w:r>
          </w:p>
        </w:tc>
        <w:tc>
          <w:tcPr>
            <w:tcW w:w="1635" w:type="dxa"/>
            <w:tcBorders>
              <w:top w:val="single" w:sz="4" w:space="0" w:color="000000"/>
              <w:left w:val="single" w:sz="4" w:space="0" w:color="000000"/>
              <w:bottom w:val="single" w:sz="4" w:space="0" w:color="000000"/>
              <w:right w:val="single" w:sz="4" w:space="0" w:color="000000"/>
            </w:tcBorders>
            <w:vAlign w:val="center"/>
          </w:tcPr>
          <w:p w14:paraId="61226A77"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84</w:t>
            </w:r>
          </w:p>
        </w:tc>
        <w:tc>
          <w:tcPr>
            <w:tcW w:w="1530" w:type="dxa"/>
            <w:tcBorders>
              <w:top w:val="single" w:sz="4" w:space="0" w:color="000000"/>
              <w:left w:val="single" w:sz="4" w:space="0" w:color="000000"/>
              <w:bottom w:val="single" w:sz="4" w:space="0" w:color="000000"/>
              <w:right w:val="single" w:sz="4" w:space="0" w:color="000000"/>
            </w:tcBorders>
            <w:vAlign w:val="center"/>
          </w:tcPr>
          <w:p w14:paraId="005B3D36"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83</w:t>
            </w:r>
          </w:p>
        </w:tc>
      </w:tr>
    </w:tbl>
    <w:p w14:paraId="2FA5604C" w14:textId="77777777" w:rsidR="0018141D" w:rsidRPr="00413E69" w:rsidRDefault="0018141D" w:rsidP="00413E69">
      <w:pPr>
        <w:spacing w:after="0" w:line="360" w:lineRule="auto"/>
        <w:jc w:val="both"/>
        <w:rPr>
          <w:rFonts w:ascii="Times New Roman" w:hAnsi="Times New Roman" w:cs="Times New Roman"/>
          <w:b/>
          <w:sz w:val="20"/>
          <w:szCs w:val="20"/>
        </w:rPr>
      </w:pPr>
    </w:p>
    <w:p w14:paraId="766C102F" w14:textId="77777777" w:rsidR="0018141D" w:rsidRPr="00413E69" w:rsidRDefault="0076242C" w:rsidP="00413E69">
      <w:pPr>
        <w:spacing w:after="0" w:line="360" w:lineRule="auto"/>
        <w:jc w:val="both"/>
        <w:rPr>
          <w:rFonts w:ascii="Times New Roman" w:hAnsi="Times New Roman" w:cs="Times New Roman"/>
          <w:bCs/>
          <w:sz w:val="20"/>
          <w:szCs w:val="20"/>
        </w:rPr>
      </w:pPr>
      <w:r w:rsidRPr="00413E69">
        <w:rPr>
          <w:rFonts w:ascii="Times New Roman" w:hAnsi="Times New Roman" w:cs="Times New Roman"/>
          <w:bCs/>
          <w:sz w:val="20"/>
          <w:szCs w:val="20"/>
        </w:rPr>
        <w:t xml:space="preserve">Table 4 presents the multivariable logistic regression analysis evaluating independent clinical and biochemical predictors of microalbuminuria in patients with type 2 diabetes mellitus. UACR emerged as the strongest independent predictor, with each 10 mg/g increase associated with a 2.9-fold higher likelihood of microalbuminuria (95% CI: 1.8–4.6, p&lt;0.001). Serum creatinine also demonstrated a significant association, with an adjusted odds ratio of 2.0 per 0.2 mg/dL increase (p=0.002). Serum cystatin C remained an independent predictor, increasing the odds by 60% for every 0.1 mg/L increment (p=0.015). Duration of diabetes was significantly associated with microalbuminuria, with a 12% increase in odds for each additional year (p=0.028). In contrast, </w:t>
      </w:r>
      <w:proofErr w:type="spellStart"/>
      <w:r w:rsidRPr="00413E69">
        <w:rPr>
          <w:rFonts w:ascii="Times New Roman" w:hAnsi="Times New Roman" w:cs="Times New Roman"/>
          <w:bCs/>
          <w:sz w:val="20"/>
          <w:szCs w:val="20"/>
        </w:rPr>
        <w:t>HbA₁c</w:t>
      </w:r>
      <w:proofErr w:type="spellEnd"/>
      <w:r w:rsidRPr="00413E69">
        <w:rPr>
          <w:rFonts w:ascii="Times New Roman" w:hAnsi="Times New Roman" w:cs="Times New Roman"/>
          <w:bCs/>
          <w:sz w:val="20"/>
          <w:szCs w:val="20"/>
        </w:rPr>
        <w:t xml:space="preserve"> showed a positive but statistically non-significant association (p=0.087), while ACE inhibitor/ARB use was not significantly associated with the presence of microalbuminuria (p=0.43).</w:t>
      </w:r>
    </w:p>
    <w:p w14:paraId="7F5412D3" w14:textId="77777777" w:rsidR="0018141D" w:rsidRPr="00413E69" w:rsidRDefault="0076242C" w:rsidP="00413E69">
      <w:pPr>
        <w:spacing w:after="0" w:line="360" w:lineRule="auto"/>
        <w:jc w:val="center"/>
        <w:rPr>
          <w:rFonts w:ascii="Times New Roman" w:hAnsi="Times New Roman" w:cs="Times New Roman"/>
          <w:b/>
          <w:sz w:val="20"/>
          <w:szCs w:val="20"/>
        </w:rPr>
      </w:pPr>
      <w:r w:rsidRPr="00413E69">
        <w:rPr>
          <w:rFonts w:ascii="Times New Roman" w:hAnsi="Times New Roman" w:cs="Times New Roman"/>
          <w:b/>
          <w:sz w:val="20"/>
          <w:szCs w:val="20"/>
        </w:rPr>
        <w:lastRenderedPageBreak/>
        <w:t>Table 4:</w:t>
      </w:r>
      <w:r w:rsidRPr="00413E69">
        <w:rPr>
          <w:rFonts w:ascii="Times New Roman" w:hAnsi="Times New Roman" w:cs="Times New Roman"/>
          <w:b/>
          <w:sz w:val="20"/>
          <w:szCs w:val="20"/>
          <w:lang w:val="en-US"/>
        </w:rPr>
        <w:t xml:space="preserve"> </w:t>
      </w:r>
      <w:r w:rsidRPr="00413E69">
        <w:rPr>
          <w:rFonts w:ascii="Times New Roman" w:hAnsi="Times New Roman" w:cs="Times New Roman"/>
          <w:b/>
          <w:sz w:val="20"/>
          <w:szCs w:val="20"/>
        </w:rPr>
        <w:t>Multivariable Logistic Regression Analysis of Conventional Clinical and Biochemical Predictors of Microalbuminuria in Patients with Type 2 Diabetes Mellitus</w:t>
      </w:r>
    </w:p>
    <w:tbl>
      <w:tblPr>
        <w:tblW w:w="7230" w:type="dxa"/>
        <w:jc w:val="center"/>
        <w:tblLook w:val="04A0" w:firstRow="1" w:lastRow="0" w:firstColumn="1" w:lastColumn="0" w:noHBand="0" w:noVBand="1"/>
      </w:tblPr>
      <w:tblGrid>
        <w:gridCol w:w="3285"/>
        <w:gridCol w:w="2325"/>
        <w:gridCol w:w="1620"/>
      </w:tblGrid>
      <w:tr w:rsidR="0018141D" w:rsidRPr="00413E69" w14:paraId="633B323F" w14:textId="77777777">
        <w:trPr>
          <w:trHeight w:val="300"/>
          <w:jc w:val="center"/>
        </w:trPr>
        <w:tc>
          <w:tcPr>
            <w:tcW w:w="3285" w:type="dxa"/>
            <w:tcBorders>
              <w:top w:val="single" w:sz="4" w:space="0" w:color="000000"/>
              <w:left w:val="single" w:sz="4" w:space="0" w:color="000000"/>
              <w:bottom w:val="single" w:sz="4" w:space="0" w:color="000000"/>
              <w:right w:val="single" w:sz="4" w:space="0" w:color="000000"/>
            </w:tcBorders>
            <w:vAlign w:val="center"/>
          </w:tcPr>
          <w:p w14:paraId="57632029" w14:textId="77777777" w:rsidR="0018141D" w:rsidRPr="00413E69" w:rsidRDefault="0076242C" w:rsidP="00413E69">
            <w:pPr>
              <w:spacing w:after="0" w:line="360" w:lineRule="auto"/>
              <w:jc w:val="center"/>
              <w:textAlignment w:val="center"/>
              <w:rPr>
                <w:rFonts w:ascii="Times New Roman" w:hAnsi="Times New Roman" w:cs="Times New Roman"/>
                <w:b/>
                <w:bCs/>
                <w:color w:val="000000"/>
                <w:sz w:val="20"/>
                <w:szCs w:val="20"/>
              </w:rPr>
            </w:pPr>
            <w:r w:rsidRPr="00413E69">
              <w:rPr>
                <w:rFonts w:ascii="Times New Roman" w:eastAsia="SimSun" w:hAnsi="Times New Roman" w:cs="Times New Roman"/>
                <w:b/>
                <w:bCs/>
                <w:color w:val="000000"/>
                <w:kern w:val="0"/>
                <w:sz w:val="20"/>
                <w:szCs w:val="20"/>
                <w:lang w:val="en-US" w:eastAsia="zh-CN"/>
              </w:rPr>
              <w:t>Predictor</w:t>
            </w:r>
          </w:p>
        </w:tc>
        <w:tc>
          <w:tcPr>
            <w:tcW w:w="2325" w:type="dxa"/>
            <w:tcBorders>
              <w:top w:val="single" w:sz="4" w:space="0" w:color="000000"/>
              <w:left w:val="single" w:sz="4" w:space="0" w:color="000000"/>
              <w:bottom w:val="single" w:sz="4" w:space="0" w:color="000000"/>
              <w:right w:val="single" w:sz="4" w:space="0" w:color="000000"/>
            </w:tcBorders>
            <w:vAlign w:val="center"/>
          </w:tcPr>
          <w:p w14:paraId="10D5BA4F" w14:textId="77777777" w:rsidR="0018141D" w:rsidRPr="00413E69" w:rsidRDefault="0076242C" w:rsidP="00413E69">
            <w:pPr>
              <w:spacing w:after="0" w:line="360" w:lineRule="auto"/>
              <w:jc w:val="center"/>
              <w:textAlignment w:val="center"/>
              <w:rPr>
                <w:rFonts w:ascii="Times New Roman" w:hAnsi="Times New Roman" w:cs="Times New Roman"/>
                <w:b/>
                <w:bCs/>
                <w:color w:val="000000"/>
                <w:sz w:val="20"/>
                <w:szCs w:val="20"/>
              </w:rPr>
            </w:pPr>
            <w:r w:rsidRPr="00413E69">
              <w:rPr>
                <w:rFonts w:ascii="Times New Roman" w:eastAsia="SimSun" w:hAnsi="Times New Roman" w:cs="Times New Roman"/>
                <w:b/>
                <w:bCs/>
                <w:color w:val="000000"/>
                <w:kern w:val="0"/>
                <w:sz w:val="20"/>
                <w:szCs w:val="20"/>
                <w:lang w:val="en-US" w:eastAsia="zh-CN"/>
              </w:rPr>
              <w:t>Adjusted OR (95% CI)</w:t>
            </w:r>
          </w:p>
        </w:tc>
        <w:tc>
          <w:tcPr>
            <w:tcW w:w="1620" w:type="dxa"/>
            <w:tcBorders>
              <w:top w:val="single" w:sz="4" w:space="0" w:color="000000"/>
              <w:left w:val="single" w:sz="4" w:space="0" w:color="000000"/>
              <w:bottom w:val="single" w:sz="4" w:space="0" w:color="000000"/>
              <w:right w:val="single" w:sz="4" w:space="0" w:color="000000"/>
            </w:tcBorders>
            <w:vAlign w:val="center"/>
          </w:tcPr>
          <w:p w14:paraId="72593460" w14:textId="77777777" w:rsidR="0018141D" w:rsidRPr="00413E69" w:rsidRDefault="0076242C" w:rsidP="00413E69">
            <w:pPr>
              <w:spacing w:after="0" w:line="360" w:lineRule="auto"/>
              <w:jc w:val="center"/>
              <w:textAlignment w:val="center"/>
              <w:rPr>
                <w:rFonts w:ascii="Times New Roman" w:hAnsi="Times New Roman" w:cs="Times New Roman"/>
                <w:b/>
                <w:bCs/>
                <w:color w:val="000000"/>
                <w:sz w:val="20"/>
                <w:szCs w:val="20"/>
              </w:rPr>
            </w:pPr>
            <w:r w:rsidRPr="00413E69">
              <w:rPr>
                <w:rFonts w:ascii="Times New Roman" w:eastAsia="SimSun" w:hAnsi="Times New Roman" w:cs="Times New Roman"/>
                <w:b/>
                <w:bCs/>
                <w:color w:val="000000"/>
                <w:kern w:val="0"/>
                <w:sz w:val="20"/>
                <w:szCs w:val="20"/>
                <w:lang w:val="en-US" w:eastAsia="zh-CN"/>
              </w:rPr>
              <w:t>p-value</w:t>
            </w:r>
          </w:p>
        </w:tc>
      </w:tr>
      <w:tr w:rsidR="0018141D" w:rsidRPr="00413E69" w14:paraId="1A74D1A7" w14:textId="77777777">
        <w:trPr>
          <w:trHeight w:val="300"/>
          <w:jc w:val="center"/>
        </w:trPr>
        <w:tc>
          <w:tcPr>
            <w:tcW w:w="3285" w:type="dxa"/>
            <w:tcBorders>
              <w:top w:val="single" w:sz="4" w:space="0" w:color="000000"/>
              <w:left w:val="single" w:sz="4" w:space="0" w:color="000000"/>
              <w:bottom w:val="single" w:sz="4" w:space="0" w:color="000000"/>
              <w:right w:val="single" w:sz="4" w:space="0" w:color="000000"/>
            </w:tcBorders>
            <w:vAlign w:val="center"/>
          </w:tcPr>
          <w:p w14:paraId="71037FF6"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UACR (per 10 mg/g increase)</w:t>
            </w:r>
          </w:p>
        </w:tc>
        <w:tc>
          <w:tcPr>
            <w:tcW w:w="2325" w:type="dxa"/>
            <w:tcBorders>
              <w:top w:val="single" w:sz="4" w:space="0" w:color="000000"/>
              <w:left w:val="single" w:sz="4" w:space="0" w:color="000000"/>
              <w:bottom w:val="single" w:sz="4" w:space="0" w:color="000000"/>
              <w:right w:val="single" w:sz="4" w:space="0" w:color="000000"/>
            </w:tcBorders>
            <w:vAlign w:val="center"/>
          </w:tcPr>
          <w:p w14:paraId="2E5101D8"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2.9 (1.8–4.6)</w:t>
            </w:r>
          </w:p>
        </w:tc>
        <w:tc>
          <w:tcPr>
            <w:tcW w:w="1620" w:type="dxa"/>
            <w:tcBorders>
              <w:top w:val="single" w:sz="4" w:space="0" w:color="000000"/>
              <w:left w:val="single" w:sz="4" w:space="0" w:color="000000"/>
              <w:bottom w:val="single" w:sz="4" w:space="0" w:color="000000"/>
              <w:right w:val="single" w:sz="4" w:space="0" w:color="000000"/>
            </w:tcBorders>
            <w:vAlign w:val="center"/>
          </w:tcPr>
          <w:p w14:paraId="74C09082"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&lt;0.001</w:t>
            </w:r>
          </w:p>
        </w:tc>
      </w:tr>
      <w:tr w:rsidR="0018141D" w:rsidRPr="00413E69" w14:paraId="59061989" w14:textId="77777777">
        <w:trPr>
          <w:trHeight w:val="600"/>
          <w:jc w:val="center"/>
        </w:trPr>
        <w:tc>
          <w:tcPr>
            <w:tcW w:w="3285" w:type="dxa"/>
            <w:tcBorders>
              <w:top w:val="single" w:sz="4" w:space="0" w:color="000000"/>
              <w:left w:val="single" w:sz="4" w:space="0" w:color="000000"/>
              <w:bottom w:val="single" w:sz="4" w:space="0" w:color="000000"/>
              <w:right w:val="single" w:sz="4" w:space="0" w:color="000000"/>
            </w:tcBorders>
            <w:vAlign w:val="center"/>
          </w:tcPr>
          <w:p w14:paraId="0E9BA20D"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Serum creatinine (per 0.2 mg/dL increase)</w:t>
            </w:r>
          </w:p>
        </w:tc>
        <w:tc>
          <w:tcPr>
            <w:tcW w:w="2325" w:type="dxa"/>
            <w:tcBorders>
              <w:top w:val="single" w:sz="4" w:space="0" w:color="000000"/>
              <w:left w:val="single" w:sz="4" w:space="0" w:color="000000"/>
              <w:bottom w:val="single" w:sz="4" w:space="0" w:color="000000"/>
              <w:right w:val="single" w:sz="4" w:space="0" w:color="000000"/>
            </w:tcBorders>
            <w:vAlign w:val="center"/>
          </w:tcPr>
          <w:p w14:paraId="03A490E9"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2.0 (1.3–3.2)</w:t>
            </w:r>
          </w:p>
        </w:tc>
        <w:tc>
          <w:tcPr>
            <w:tcW w:w="1620" w:type="dxa"/>
            <w:tcBorders>
              <w:top w:val="single" w:sz="4" w:space="0" w:color="000000"/>
              <w:left w:val="single" w:sz="4" w:space="0" w:color="000000"/>
              <w:bottom w:val="single" w:sz="4" w:space="0" w:color="000000"/>
              <w:right w:val="single" w:sz="4" w:space="0" w:color="000000"/>
            </w:tcBorders>
            <w:vAlign w:val="center"/>
          </w:tcPr>
          <w:p w14:paraId="5B57F95C"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0.002</w:t>
            </w:r>
          </w:p>
        </w:tc>
      </w:tr>
      <w:tr w:rsidR="0018141D" w:rsidRPr="00413E69" w14:paraId="249F5FBF" w14:textId="77777777">
        <w:trPr>
          <w:trHeight w:val="600"/>
          <w:jc w:val="center"/>
        </w:trPr>
        <w:tc>
          <w:tcPr>
            <w:tcW w:w="3285" w:type="dxa"/>
            <w:tcBorders>
              <w:top w:val="single" w:sz="4" w:space="0" w:color="000000"/>
              <w:left w:val="single" w:sz="4" w:space="0" w:color="000000"/>
              <w:bottom w:val="single" w:sz="4" w:space="0" w:color="000000"/>
              <w:right w:val="single" w:sz="4" w:space="0" w:color="000000"/>
            </w:tcBorders>
            <w:vAlign w:val="center"/>
          </w:tcPr>
          <w:p w14:paraId="5A0E71D0"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Serum cystatin C (per 0.1 mg/L increase)</w:t>
            </w:r>
          </w:p>
        </w:tc>
        <w:tc>
          <w:tcPr>
            <w:tcW w:w="2325" w:type="dxa"/>
            <w:tcBorders>
              <w:top w:val="single" w:sz="4" w:space="0" w:color="000000"/>
              <w:left w:val="single" w:sz="4" w:space="0" w:color="000000"/>
              <w:bottom w:val="single" w:sz="4" w:space="0" w:color="000000"/>
              <w:right w:val="single" w:sz="4" w:space="0" w:color="000000"/>
            </w:tcBorders>
            <w:vAlign w:val="center"/>
          </w:tcPr>
          <w:p w14:paraId="7731189E"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1.6 (1.2–2.2)</w:t>
            </w:r>
          </w:p>
        </w:tc>
        <w:tc>
          <w:tcPr>
            <w:tcW w:w="1620" w:type="dxa"/>
            <w:tcBorders>
              <w:top w:val="single" w:sz="4" w:space="0" w:color="000000"/>
              <w:left w:val="single" w:sz="4" w:space="0" w:color="000000"/>
              <w:bottom w:val="single" w:sz="4" w:space="0" w:color="000000"/>
              <w:right w:val="single" w:sz="4" w:space="0" w:color="000000"/>
            </w:tcBorders>
            <w:vAlign w:val="center"/>
          </w:tcPr>
          <w:p w14:paraId="318A605B"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0.015</w:t>
            </w:r>
          </w:p>
        </w:tc>
      </w:tr>
      <w:tr w:rsidR="0018141D" w:rsidRPr="00413E69" w14:paraId="406FA87E" w14:textId="77777777">
        <w:trPr>
          <w:trHeight w:val="300"/>
          <w:jc w:val="center"/>
        </w:trPr>
        <w:tc>
          <w:tcPr>
            <w:tcW w:w="3285" w:type="dxa"/>
            <w:tcBorders>
              <w:top w:val="single" w:sz="4" w:space="0" w:color="000000"/>
              <w:left w:val="single" w:sz="4" w:space="0" w:color="000000"/>
              <w:bottom w:val="single" w:sz="4" w:space="0" w:color="000000"/>
              <w:right w:val="single" w:sz="4" w:space="0" w:color="000000"/>
            </w:tcBorders>
            <w:vAlign w:val="center"/>
          </w:tcPr>
          <w:p w14:paraId="1128F051"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Duration of diabetes (per year)</w:t>
            </w:r>
          </w:p>
        </w:tc>
        <w:tc>
          <w:tcPr>
            <w:tcW w:w="2325" w:type="dxa"/>
            <w:tcBorders>
              <w:top w:val="single" w:sz="4" w:space="0" w:color="000000"/>
              <w:left w:val="single" w:sz="4" w:space="0" w:color="000000"/>
              <w:bottom w:val="single" w:sz="4" w:space="0" w:color="000000"/>
              <w:right w:val="single" w:sz="4" w:space="0" w:color="000000"/>
            </w:tcBorders>
            <w:vAlign w:val="center"/>
          </w:tcPr>
          <w:p w14:paraId="6A98034D"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1.12 (1.02–1.23)</w:t>
            </w:r>
          </w:p>
        </w:tc>
        <w:tc>
          <w:tcPr>
            <w:tcW w:w="1620" w:type="dxa"/>
            <w:tcBorders>
              <w:top w:val="single" w:sz="4" w:space="0" w:color="000000"/>
              <w:left w:val="single" w:sz="4" w:space="0" w:color="000000"/>
              <w:bottom w:val="single" w:sz="4" w:space="0" w:color="000000"/>
              <w:right w:val="single" w:sz="4" w:space="0" w:color="000000"/>
            </w:tcBorders>
            <w:vAlign w:val="center"/>
          </w:tcPr>
          <w:p w14:paraId="64C3A3CC"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0.028</w:t>
            </w:r>
          </w:p>
        </w:tc>
      </w:tr>
      <w:tr w:rsidR="0018141D" w:rsidRPr="00413E69" w14:paraId="30665D64" w14:textId="77777777">
        <w:trPr>
          <w:trHeight w:val="300"/>
          <w:jc w:val="center"/>
        </w:trPr>
        <w:tc>
          <w:tcPr>
            <w:tcW w:w="3285" w:type="dxa"/>
            <w:tcBorders>
              <w:top w:val="single" w:sz="4" w:space="0" w:color="000000"/>
              <w:left w:val="single" w:sz="4" w:space="0" w:color="000000"/>
              <w:bottom w:val="single" w:sz="4" w:space="0" w:color="000000"/>
              <w:right w:val="single" w:sz="4" w:space="0" w:color="000000"/>
            </w:tcBorders>
            <w:vAlign w:val="center"/>
          </w:tcPr>
          <w:p w14:paraId="169FCC62"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proofErr w:type="spellStart"/>
            <w:r w:rsidRPr="00413E69">
              <w:rPr>
                <w:rFonts w:ascii="Times New Roman" w:eastAsia="SimSun" w:hAnsi="Times New Roman" w:cs="Times New Roman"/>
                <w:color w:val="000000"/>
                <w:kern w:val="0"/>
                <w:sz w:val="20"/>
                <w:szCs w:val="20"/>
                <w:lang w:val="en-US" w:eastAsia="zh-CN"/>
              </w:rPr>
              <w:t>HbA₁c</w:t>
            </w:r>
            <w:proofErr w:type="spellEnd"/>
            <w:r w:rsidRPr="00413E69">
              <w:rPr>
                <w:rFonts w:ascii="Times New Roman" w:eastAsia="SimSun" w:hAnsi="Times New Roman" w:cs="Times New Roman"/>
                <w:color w:val="000000"/>
                <w:kern w:val="0"/>
                <w:sz w:val="20"/>
                <w:szCs w:val="20"/>
                <w:lang w:val="en-US" w:eastAsia="zh-CN"/>
              </w:rPr>
              <w:t xml:space="preserve"> (per 1% increase)</w:t>
            </w:r>
          </w:p>
        </w:tc>
        <w:tc>
          <w:tcPr>
            <w:tcW w:w="2325" w:type="dxa"/>
            <w:tcBorders>
              <w:top w:val="single" w:sz="4" w:space="0" w:color="000000"/>
              <w:left w:val="single" w:sz="4" w:space="0" w:color="000000"/>
              <w:bottom w:val="single" w:sz="4" w:space="0" w:color="000000"/>
              <w:right w:val="single" w:sz="4" w:space="0" w:color="000000"/>
            </w:tcBorders>
            <w:vAlign w:val="center"/>
          </w:tcPr>
          <w:p w14:paraId="0B708094"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1.30 (0.95–1.70)</w:t>
            </w:r>
          </w:p>
        </w:tc>
        <w:tc>
          <w:tcPr>
            <w:tcW w:w="1620" w:type="dxa"/>
            <w:tcBorders>
              <w:top w:val="single" w:sz="4" w:space="0" w:color="000000"/>
              <w:left w:val="single" w:sz="4" w:space="0" w:color="000000"/>
              <w:bottom w:val="single" w:sz="4" w:space="0" w:color="000000"/>
              <w:right w:val="single" w:sz="4" w:space="0" w:color="000000"/>
            </w:tcBorders>
            <w:vAlign w:val="center"/>
          </w:tcPr>
          <w:p w14:paraId="76017159"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0.087</w:t>
            </w:r>
          </w:p>
        </w:tc>
      </w:tr>
      <w:tr w:rsidR="0018141D" w:rsidRPr="00413E69" w14:paraId="475F047E" w14:textId="77777777">
        <w:trPr>
          <w:trHeight w:val="300"/>
          <w:jc w:val="center"/>
        </w:trPr>
        <w:tc>
          <w:tcPr>
            <w:tcW w:w="3285" w:type="dxa"/>
            <w:tcBorders>
              <w:top w:val="single" w:sz="4" w:space="0" w:color="000000"/>
              <w:left w:val="single" w:sz="4" w:space="0" w:color="000000"/>
              <w:bottom w:val="single" w:sz="4" w:space="0" w:color="000000"/>
              <w:right w:val="single" w:sz="4" w:space="0" w:color="000000"/>
            </w:tcBorders>
            <w:vAlign w:val="center"/>
          </w:tcPr>
          <w:p w14:paraId="62199B1F"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proofErr w:type="spellStart"/>
            <w:r w:rsidRPr="00413E69">
              <w:rPr>
                <w:rFonts w:ascii="Times New Roman" w:eastAsia="SimSun" w:hAnsi="Times New Roman" w:cs="Times New Roman"/>
                <w:color w:val="000000"/>
                <w:kern w:val="0"/>
                <w:sz w:val="20"/>
                <w:szCs w:val="20"/>
                <w:lang w:val="en-US" w:eastAsia="zh-CN"/>
              </w:rPr>
              <w:t>ACEi</w:t>
            </w:r>
            <w:proofErr w:type="spellEnd"/>
            <w:r w:rsidRPr="00413E69">
              <w:rPr>
                <w:rFonts w:ascii="Times New Roman" w:eastAsia="SimSun" w:hAnsi="Times New Roman" w:cs="Times New Roman"/>
                <w:color w:val="000000"/>
                <w:kern w:val="0"/>
                <w:sz w:val="20"/>
                <w:szCs w:val="20"/>
                <w:lang w:val="en-US" w:eastAsia="zh-CN"/>
              </w:rPr>
              <w:t>/ARB use</w:t>
            </w:r>
          </w:p>
        </w:tc>
        <w:tc>
          <w:tcPr>
            <w:tcW w:w="2325" w:type="dxa"/>
            <w:tcBorders>
              <w:top w:val="single" w:sz="4" w:space="0" w:color="000000"/>
              <w:left w:val="single" w:sz="4" w:space="0" w:color="000000"/>
              <w:bottom w:val="single" w:sz="4" w:space="0" w:color="000000"/>
              <w:right w:val="single" w:sz="4" w:space="0" w:color="000000"/>
            </w:tcBorders>
            <w:vAlign w:val="center"/>
          </w:tcPr>
          <w:p w14:paraId="0B60CD48"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0.79 (0.42–1.47)</w:t>
            </w:r>
          </w:p>
        </w:tc>
        <w:tc>
          <w:tcPr>
            <w:tcW w:w="1620" w:type="dxa"/>
            <w:tcBorders>
              <w:top w:val="single" w:sz="4" w:space="0" w:color="000000"/>
              <w:left w:val="single" w:sz="4" w:space="0" w:color="000000"/>
              <w:bottom w:val="single" w:sz="4" w:space="0" w:color="000000"/>
              <w:right w:val="single" w:sz="4" w:space="0" w:color="000000"/>
            </w:tcBorders>
            <w:vAlign w:val="center"/>
          </w:tcPr>
          <w:p w14:paraId="1BAFEE8B" w14:textId="77777777" w:rsidR="0018141D" w:rsidRPr="00413E69" w:rsidRDefault="0076242C" w:rsidP="00413E69">
            <w:pPr>
              <w:spacing w:after="0" w:line="360" w:lineRule="auto"/>
              <w:jc w:val="center"/>
              <w:textAlignment w:val="center"/>
              <w:rPr>
                <w:rFonts w:ascii="Times New Roman" w:hAnsi="Times New Roman" w:cs="Times New Roman"/>
                <w:color w:val="000000"/>
                <w:sz w:val="20"/>
                <w:szCs w:val="20"/>
              </w:rPr>
            </w:pPr>
            <w:r w:rsidRPr="00413E69">
              <w:rPr>
                <w:rFonts w:ascii="Times New Roman" w:eastAsia="SimSun" w:hAnsi="Times New Roman" w:cs="Times New Roman"/>
                <w:color w:val="000000"/>
                <w:kern w:val="0"/>
                <w:sz w:val="20"/>
                <w:szCs w:val="20"/>
                <w:lang w:val="en-US" w:eastAsia="zh-CN"/>
              </w:rPr>
              <w:t>0.43</w:t>
            </w:r>
          </w:p>
        </w:tc>
      </w:tr>
    </w:tbl>
    <w:p w14:paraId="233C1FE1" w14:textId="77777777" w:rsidR="0018141D" w:rsidRPr="00413E69" w:rsidRDefault="0018141D" w:rsidP="00413E69">
      <w:pPr>
        <w:spacing w:after="0" w:line="360" w:lineRule="auto"/>
        <w:jc w:val="both"/>
        <w:rPr>
          <w:rFonts w:ascii="Times New Roman" w:hAnsi="Times New Roman" w:cs="Times New Roman"/>
          <w:b/>
          <w:sz w:val="20"/>
          <w:szCs w:val="20"/>
        </w:rPr>
      </w:pPr>
    </w:p>
    <w:p w14:paraId="1F7C1853" w14:textId="77777777" w:rsidR="0018141D" w:rsidRPr="00413E69" w:rsidRDefault="0076242C" w:rsidP="00413E69">
      <w:pPr>
        <w:spacing w:after="0" w:line="360" w:lineRule="auto"/>
        <w:rPr>
          <w:rFonts w:ascii="Times New Roman" w:hAnsi="Times New Roman" w:cs="Times New Roman"/>
          <w:b/>
          <w:bCs/>
          <w:sz w:val="20"/>
          <w:szCs w:val="20"/>
        </w:rPr>
      </w:pPr>
      <w:r w:rsidRPr="00413E69">
        <w:rPr>
          <w:rFonts w:ascii="Times New Roman" w:hAnsi="Times New Roman" w:cs="Times New Roman"/>
          <w:b/>
          <w:bCs/>
          <w:sz w:val="20"/>
          <w:szCs w:val="20"/>
        </w:rPr>
        <w:t>DISCUSSION</w:t>
      </w:r>
    </w:p>
    <w:p w14:paraId="76BDFCD1" w14:textId="77777777" w:rsidR="0018141D" w:rsidRPr="00413E69" w:rsidRDefault="0076242C" w:rsidP="00413E69">
      <w:pPr>
        <w:spacing w:after="0" w:line="360" w:lineRule="auto"/>
        <w:ind w:right="-472"/>
        <w:jc w:val="both"/>
        <w:rPr>
          <w:rFonts w:ascii="Times New Roman" w:hAnsi="Times New Roman" w:cs="Times New Roman"/>
          <w:sz w:val="20"/>
          <w:szCs w:val="20"/>
        </w:rPr>
      </w:pPr>
      <w:r w:rsidRPr="00413E69">
        <w:rPr>
          <w:rFonts w:ascii="Times New Roman" w:hAnsi="Times New Roman" w:cs="Times New Roman"/>
          <w:sz w:val="20"/>
          <w:szCs w:val="20"/>
        </w:rPr>
        <w:t xml:space="preserve">We aimed to assess the usefulness of routine biochemical parameters as early markers of diabetic kidney disease (DKD) in an Indian population with T2DM in this prospective cohort study. </w:t>
      </w:r>
    </w:p>
    <w:p w14:paraId="7198E7DE" w14:textId="77777777" w:rsidR="0018141D" w:rsidRPr="00413E69" w:rsidRDefault="0076242C" w:rsidP="00413E69">
      <w:pPr>
        <w:spacing w:after="0" w:line="360" w:lineRule="auto"/>
        <w:ind w:right="-472"/>
        <w:jc w:val="both"/>
        <w:rPr>
          <w:rFonts w:ascii="Times New Roman" w:hAnsi="Times New Roman" w:cs="Times New Roman"/>
          <w:sz w:val="20"/>
          <w:szCs w:val="20"/>
        </w:rPr>
      </w:pPr>
      <w:r w:rsidRPr="00413E69">
        <w:rPr>
          <w:rFonts w:ascii="Times New Roman" w:hAnsi="Times New Roman" w:cs="Times New Roman"/>
          <w:sz w:val="20"/>
          <w:szCs w:val="20"/>
          <w:lang w:val="en-US"/>
        </w:rPr>
        <w:t xml:space="preserve">Past studies done </w:t>
      </w:r>
      <w:r w:rsidRPr="00413E69">
        <w:rPr>
          <w:rFonts w:ascii="Times New Roman" w:hAnsi="Times New Roman" w:cs="Times New Roman"/>
          <w:sz w:val="20"/>
          <w:szCs w:val="20"/>
        </w:rPr>
        <w:t xml:space="preserve">using routine blood and biochemical indicators for the prediction and risk stratification of early diabetic kidney disease. HbA1c, </w:t>
      </w:r>
      <w:r w:rsidRPr="00413E69">
        <w:rPr>
          <w:rFonts w:ascii="Times New Roman" w:hAnsi="Times New Roman" w:cs="Times New Roman"/>
          <w:sz w:val="20"/>
          <w:szCs w:val="20"/>
          <w:lang w:val="en-US"/>
        </w:rPr>
        <w:t xml:space="preserve">and </w:t>
      </w:r>
      <w:proofErr w:type="gramStart"/>
      <w:r w:rsidRPr="00413E69">
        <w:rPr>
          <w:rFonts w:ascii="Times New Roman" w:hAnsi="Times New Roman" w:cs="Times New Roman"/>
          <w:sz w:val="20"/>
          <w:szCs w:val="20"/>
        </w:rPr>
        <w:t>GLO  were</w:t>
      </w:r>
      <w:proofErr w:type="gramEnd"/>
      <w:r w:rsidRPr="00413E69">
        <w:rPr>
          <w:rFonts w:ascii="Times New Roman" w:hAnsi="Times New Roman" w:cs="Times New Roman"/>
          <w:sz w:val="20"/>
          <w:szCs w:val="20"/>
        </w:rPr>
        <w:t xml:space="preserve"> found to be key predictors that could contribute at low costs and provide valuable methodological inputs for screening the early stage of DKD in non-invasive ways</w:t>
      </w:r>
      <w:r w:rsidRPr="00413E69">
        <w:rPr>
          <w:rFonts w:ascii="Times New Roman" w:hAnsi="Times New Roman" w:cs="Times New Roman"/>
          <w:sz w:val="20"/>
          <w:szCs w:val="20"/>
          <w:lang w:val="en-US"/>
        </w:rPr>
        <w:t xml:space="preserve"> </w:t>
      </w:r>
      <w:r w:rsidRPr="00413E69">
        <w:rPr>
          <w:rFonts w:ascii="Times New Roman" w:hAnsi="Times New Roman" w:cs="Times New Roman"/>
          <w:sz w:val="20"/>
          <w:szCs w:val="20"/>
        </w:rPr>
        <w:t>[9]</w:t>
      </w:r>
      <w:r w:rsidRPr="00413E69">
        <w:rPr>
          <w:rFonts w:ascii="Times New Roman" w:hAnsi="Times New Roman" w:cs="Times New Roman"/>
          <w:sz w:val="20"/>
          <w:szCs w:val="20"/>
          <w:lang w:val="en-US"/>
        </w:rPr>
        <w:t xml:space="preserve">. </w:t>
      </w:r>
      <w:r w:rsidRPr="00413E69">
        <w:rPr>
          <w:rFonts w:ascii="Times New Roman" w:hAnsi="Times New Roman" w:cs="Times New Roman"/>
          <w:sz w:val="20"/>
          <w:szCs w:val="20"/>
        </w:rPr>
        <w:t>Hyperglycaemia continues to be the main mechanism of DKD pathogenesis, leading to oxidative stress and endothelial dysfunction, and ultimately hyperfiltration. The Triglyceride- glucose (</w:t>
      </w:r>
      <w:proofErr w:type="spellStart"/>
      <w:r w:rsidRPr="00413E69">
        <w:rPr>
          <w:rFonts w:ascii="Times New Roman" w:hAnsi="Times New Roman" w:cs="Times New Roman"/>
          <w:sz w:val="20"/>
          <w:szCs w:val="20"/>
        </w:rPr>
        <w:t>TyG</w:t>
      </w:r>
      <w:proofErr w:type="spellEnd"/>
      <w:r w:rsidRPr="00413E69">
        <w:rPr>
          <w:rFonts w:ascii="Times New Roman" w:hAnsi="Times New Roman" w:cs="Times New Roman"/>
          <w:sz w:val="20"/>
          <w:szCs w:val="20"/>
        </w:rPr>
        <w:t>) index is a powerful predictor of early renal impairment, insulin resistance and elevated HbA1c, which are intricately connected to microvascular complications of DM</w:t>
      </w:r>
      <w:r w:rsidRPr="00413E69">
        <w:rPr>
          <w:rFonts w:ascii="Times New Roman" w:hAnsi="Times New Roman" w:cs="Times New Roman"/>
          <w:sz w:val="20"/>
          <w:szCs w:val="20"/>
          <w:lang w:val="en-US"/>
        </w:rPr>
        <w:t xml:space="preserve"> [10,11]. Studies on </w:t>
      </w:r>
      <w:proofErr w:type="spellStart"/>
      <w:r w:rsidRPr="00413E69">
        <w:rPr>
          <w:rFonts w:ascii="Times New Roman" w:hAnsi="Times New Roman" w:cs="Times New Roman"/>
          <w:sz w:val="20"/>
          <w:szCs w:val="20"/>
          <w:lang w:val="en-US"/>
        </w:rPr>
        <w:t>TyG</w:t>
      </w:r>
      <w:proofErr w:type="spellEnd"/>
      <w:r w:rsidRPr="00413E69">
        <w:rPr>
          <w:rFonts w:ascii="Times New Roman" w:hAnsi="Times New Roman" w:cs="Times New Roman"/>
          <w:sz w:val="20"/>
          <w:szCs w:val="20"/>
          <w:lang w:val="en-US"/>
        </w:rPr>
        <w:t xml:space="preserve"> are being conducted and need to conduct more studies in the coming years to establish this as a biomarker. </w:t>
      </w:r>
      <w:r w:rsidRPr="00413E69">
        <w:rPr>
          <w:rFonts w:ascii="Times New Roman" w:hAnsi="Times New Roman" w:cs="Times New Roman"/>
          <w:sz w:val="20"/>
          <w:szCs w:val="20"/>
        </w:rPr>
        <w:t xml:space="preserve">Our prospective data also emphasised the role of </w:t>
      </w:r>
      <w:proofErr w:type="spellStart"/>
      <w:r w:rsidRPr="00413E69">
        <w:rPr>
          <w:rFonts w:ascii="Times New Roman" w:hAnsi="Times New Roman" w:cs="Times New Roman"/>
          <w:sz w:val="20"/>
          <w:szCs w:val="20"/>
        </w:rPr>
        <w:t>dyslipidemia</w:t>
      </w:r>
      <w:proofErr w:type="spellEnd"/>
      <w:r w:rsidRPr="00413E69">
        <w:rPr>
          <w:rFonts w:ascii="Times New Roman" w:hAnsi="Times New Roman" w:cs="Times New Roman"/>
          <w:sz w:val="20"/>
          <w:szCs w:val="20"/>
        </w:rPr>
        <w:t xml:space="preserve"> in accelerating renal decline in addition to metabolic and </w:t>
      </w:r>
      <w:proofErr w:type="spellStart"/>
      <w:r w:rsidRPr="00413E69">
        <w:rPr>
          <w:rFonts w:ascii="Times New Roman" w:hAnsi="Times New Roman" w:cs="Times New Roman"/>
          <w:sz w:val="20"/>
          <w:szCs w:val="20"/>
        </w:rPr>
        <w:t>glycemic</w:t>
      </w:r>
      <w:proofErr w:type="spellEnd"/>
      <w:r w:rsidRPr="00413E69">
        <w:rPr>
          <w:rFonts w:ascii="Times New Roman" w:hAnsi="Times New Roman" w:cs="Times New Roman"/>
          <w:sz w:val="20"/>
          <w:szCs w:val="20"/>
        </w:rPr>
        <w:t xml:space="preserve"> indicators. Triglycerides and atherogenic lipid profiles were common in our population and were associated with an increase in renal dysfunction. This paper indicates that, apart from </w:t>
      </w:r>
      <w:proofErr w:type="spellStart"/>
      <w:r w:rsidRPr="00413E69">
        <w:rPr>
          <w:rFonts w:ascii="Times New Roman" w:hAnsi="Times New Roman" w:cs="Times New Roman"/>
          <w:sz w:val="20"/>
          <w:szCs w:val="20"/>
        </w:rPr>
        <w:t>hyperglycemia</w:t>
      </w:r>
      <w:proofErr w:type="spellEnd"/>
      <w:r w:rsidRPr="00413E69">
        <w:rPr>
          <w:rFonts w:ascii="Times New Roman" w:hAnsi="Times New Roman" w:cs="Times New Roman"/>
          <w:sz w:val="20"/>
          <w:szCs w:val="20"/>
        </w:rPr>
        <w:t>, lipid abnormalities contribute synergistically to the microvascular damage of the kidney. Hence, aggressive management of lipids should continue to be an important component of the overall management of T2DM patients for maintaining renal health. [12] Importantly, our study identifies that renal decline can occur in normoalbuminuric or nonproteinuric patients, which highlights the need for a greater appreciation of renal injury to tubulointerstitial damage. These at-risk patients who would otherwise go untreated could be found by the inclusion of routine biochemical measurements, such as serum uric acid and eGFR. These results are very important from the public health point of view. In the increasing trend of DKD in India, particularly in the south, models for cost-effective screening are essential; [</w:t>
      </w:r>
      <w:proofErr w:type="gramStart"/>
      <w:r w:rsidRPr="00413E69">
        <w:rPr>
          <w:rFonts w:ascii="Times New Roman" w:hAnsi="Times New Roman" w:cs="Times New Roman"/>
          <w:sz w:val="20"/>
          <w:szCs w:val="20"/>
        </w:rPr>
        <w:t>13]novel</w:t>
      </w:r>
      <w:proofErr w:type="gramEnd"/>
      <w:r w:rsidRPr="00413E69">
        <w:rPr>
          <w:rFonts w:ascii="Times New Roman" w:hAnsi="Times New Roman" w:cs="Times New Roman"/>
          <w:sz w:val="20"/>
          <w:szCs w:val="20"/>
        </w:rPr>
        <w:t xml:space="preserve"> markers like Cystatin C and KIM-1 are highly sensitive but not yet feasible in practice. This study can help fill the gap and prove the feasibility of using already available and routine biochemical data. These accessible parameters, especially in combination, are useful to identify the high-risk individuals early and to enable the timely introduction of renin-angiotensin-aldosterone system (RAAS) blockade to slow the onset of end-stage renal disease (ESRD)</w:t>
      </w:r>
      <w:r w:rsidRPr="00413E69">
        <w:rPr>
          <w:rFonts w:ascii="Times New Roman" w:hAnsi="Times New Roman" w:cs="Times New Roman"/>
          <w:sz w:val="20"/>
          <w:szCs w:val="20"/>
          <w:lang w:val="en-US"/>
        </w:rPr>
        <w:t xml:space="preserve"> </w:t>
      </w:r>
      <w:r w:rsidRPr="00413E69">
        <w:rPr>
          <w:rFonts w:ascii="Times New Roman" w:hAnsi="Times New Roman" w:cs="Times New Roman"/>
          <w:sz w:val="20"/>
          <w:szCs w:val="20"/>
        </w:rPr>
        <w:t>[14]</w:t>
      </w:r>
      <w:r w:rsidRPr="00413E69">
        <w:rPr>
          <w:rFonts w:ascii="Times New Roman" w:hAnsi="Times New Roman" w:cs="Times New Roman"/>
          <w:sz w:val="20"/>
          <w:szCs w:val="20"/>
          <w:lang w:val="en-US"/>
        </w:rPr>
        <w:t>.</w:t>
      </w:r>
      <w:r w:rsidRPr="00413E69">
        <w:rPr>
          <w:rFonts w:ascii="Times New Roman" w:hAnsi="Times New Roman" w:cs="Times New Roman"/>
          <w:sz w:val="20"/>
          <w:szCs w:val="20"/>
        </w:rPr>
        <w:t xml:space="preserve"> The longitudinal information from the evaluation offers an independent association between the highest quartiles of </w:t>
      </w:r>
      <w:proofErr w:type="spellStart"/>
      <w:r w:rsidRPr="00413E69">
        <w:rPr>
          <w:rFonts w:ascii="Times New Roman" w:hAnsi="Times New Roman" w:cs="Times New Roman"/>
          <w:sz w:val="20"/>
          <w:szCs w:val="20"/>
        </w:rPr>
        <w:t>TyG</w:t>
      </w:r>
      <w:proofErr w:type="spellEnd"/>
      <w:r w:rsidRPr="00413E69">
        <w:rPr>
          <w:rFonts w:ascii="Times New Roman" w:hAnsi="Times New Roman" w:cs="Times New Roman"/>
          <w:sz w:val="20"/>
          <w:szCs w:val="20"/>
        </w:rPr>
        <w:t xml:space="preserve"> and long-term renal decline. This marks insulin resistance as a contributor to the stress of the glomeruli</w:t>
      </w:r>
      <w:r w:rsidRPr="00413E69">
        <w:rPr>
          <w:rFonts w:ascii="Times New Roman" w:hAnsi="Times New Roman" w:cs="Times New Roman"/>
          <w:sz w:val="20"/>
          <w:szCs w:val="20"/>
          <w:lang w:val="en-US"/>
        </w:rPr>
        <w:t xml:space="preserve"> </w:t>
      </w:r>
      <w:r w:rsidRPr="00413E69">
        <w:rPr>
          <w:rFonts w:ascii="Times New Roman" w:hAnsi="Times New Roman" w:cs="Times New Roman"/>
          <w:sz w:val="20"/>
          <w:szCs w:val="20"/>
        </w:rPr>
        <w:t>[15]</w:t>
      </w:r>
      <w:r w:rsidRPr="00413E69">
        <w:rPr>
          <w:rFonts w:ascii="Times New Roman" w:hAnsi="Times New Roman" w:cs="Times New Roman"/>
          <w:sz w:val="20"/>
          <w:szCs w:val="20"/>
          <w:lang w:val="en-US"/>
        </w:rPr>
        <w:t xml:space="preserve">. </w:t>
      </w:r>
      <w:r w:rsidRPr="00413E69">
        <w:rPr>
          <w:rFonts w:ascii="Times New Roman" w:hAnsi="Times New Roman" w:cs="Times New Roman"/>
          <w:sz w:val="20"/>
          <w:szCs w:val="20"/>
        </w:rPr>
        <w:t xml:space="preserve">The present study is an all-embracing prospective study with a practical and cost-effective approach for early detection of DKD in the Indian population of T2DM patients. </w:t>
      </w:r>
      <w:r w:rsidRPr="00413E69">
        <w:rPr>
          <w:rFonts w:ascii="Times New Roman" w:hAnsi="Times New Roman" w:cs="Times New Roman"/>
          <w:sz w:val="20"/>
          <w:szCs w:val="20"/>
        </w:rPr>
        <w:lastRenderedPageBreak/>
        <w:t>Clinicians can perform an early, individualised risk stratification, using the HbA1c and lipid markers. In addition, it is necessary to carry out multicentric trials to confirm these cut-off values and combine them into a national screening protocol that will enhance renal health outcomes in the longer term.</w:t>
      </w:r>
    </w:p>
    <w:p w14:paraId="423CF784" w14:textId="77777777" w:rsidR="0018141D" w:rsidRPr="00413E69" w:rsidRDefault="0076242C" w:rsidP="00413E69">
      <w:pPr>
        <w:spacing w:after="0" w:line="360" w:lineRule="auto"/>
        <w:ind w:right="-472"/>
        <w:jc w:val="both"/>
        <w:rPr>
          <w:rFonts w:ascii="Times New Roman" w:hAnsi="Times New Roman" w:cs="Times New Roman"/>
          <w:b/>
          <w:sz w:val="20"/>
          <w:szCs w:val="20"/>
        </w:rPr>
      </w:pPr>
      <w:r w:rsidRPr="00413E69">
        <w:rPr>
          <w:rFonts w:ascii="Times New Roman" w:hAnsi="Times New Roman" w:cs="Times New Roman"/>
          <w:b/>
          <w:sz w:val="20"/>
          <w:szCs w:val="20"/>
        </w:rPr>
        <w:t xml:space="preserve">CONCLUSION </w:t>
      </w:r>
    </w:p>
    <w:p w14:paraId="37F05E5E" w14:textId="77777777" w:rsidR="0018141D" w:rsidRPr="00413E69" w:rsidRDefault="0076242C" w:rsidP="00413E69">
      <w:pPr>
        <w:pStyle w:val="NormalWeb"/>
        <w:spacing w:before="0" w:beforeAutospacing="0" w:after="0" w:afterAutospacing="0" w:line="360" w:lineRule="auto"/>
        <w:jc w:val="both"/>
        <w:rPr>
          <w:sz w:val="20"/>
          <w:szCs w:val="20"/>
        </w:rPr>
      </w:pPr>
      <w:r w:rsidRPr="00413E69">
        <w:rPr>
          <w:sz w:val="20"/>
          <w:szCs w:val="20"/>
        </w:rPr>
        <w:t xml:space="preserve">The study concluded that patients with type 2 diabetes mellitus and microalbuminuria exhibited significantly higher levels of conventional renal biomarkers, including serum creatinine, serum cystatin C, blood urea, serum uric acid, 24-hour urinary protein, and UACR, indicating greater renal impairment than normoalbuminuric patients. Among the evaluated biomarkers, UACR demonstrated the highest individual diagnostic performance, whereas the combination of UACR and serum creatinine provided the greatest diagnostic accuracy for identifying microalbuminuria. Multivariable analysis further established UACR as the strongest independent predictor of microalbuminuria, followed by serum creatinine, serum cystatin C, and duration of diabetes. Conversely, </w:t>
      </w:r>
      <w:proofErr w:type="spellStart"/>
      <w:r w:rsidRPr="00413E69">
        <w:rPr>
          <w:sz w:val="20"/>
          <w:szCs w:val="20"/>
        </w:rPr>
        <w:t>HbA₁c</w:t>
      </w:r>
      <w:proofErr w:type="spellEnd"/>
      <w:r w:rsidRPr="00413E69">
        <w:rPr>
          <w:sz w:val="20"/>
          <w:szCs w:val="20"/>
        </w:rPr>
        <w:t xml:space="preserve"> and ACE inhibitor/ARB use were not independently associated with microalbuminuria after adjustment. These findings support the combined use of UACR, serum creatinine, and serum cystatin C as effective conventional biomarkers for the early detection and risk stratification of diabetic kidney disease in patients with type 2 diabetes mellitus.</w:t>
      </w:r>
    </w:p>
    <w:p w14:paraId="1B6106B4" w14:textId="77777777" w:rsidR="0018141D" w:rsidRPr="00413E69" w:rsidRDefault="0018141D" w:rsidP="00413E69">
      <w:pPr>
        <w:spacing w:after="0" w:line="360" w:lineRule="auto"/>
        <w:ind w:right="-472"/>
        <w:jc w:val="both"/>
        <w:rPr>
          <w:rFonts w:ascii="Times New Roman" w:hAnsi="Times New Roman" w:cs="Times New Roman"/>
          <w:sz w:val="20"/>
          <w:szCs w:val="20"/>
        </w:rPr>
      </w:pPr>
    </w:p>
    <w:p w14:paraId="744AF6F6" w14:textId="77777777" w:rsidR="0018141D" w:rsidRPr="00413E69" w:rsidRDefault="0018141D" w:rsidP="00413E69">
      <w:pPr>
        <w:spacing w:after="0" w:line="360" w:lineRule="auto"/>
        <w:ind w:right="-472"/>
        <w:jc w:val="both"/>
        <w:rPr>
          <w:rFonts w:ascii="Times New Roman" w:hAnsi="Times New Roman" w:cs="Times New Roman"/>
          <w:sz w:val="20"/>
          <w:szCs w:val="20"/>
        </w:rPr>
      </w:pPr>
    </w:p>
    <w:p w14:paraId="7AF137D2" w14:textId="77777777" w:rsidR="0018141D" w:rsidRPr="00413E69" w:rsidRDefault="0076242C" w:rsidP="00413E69">
      <w:pPr>
        <w:spacing w:after="0" w:line="360" w:lineRule="auto"/>
        <w:jc w:val="both"/>
        <w:rPr>
          <w:rFonts w:ascii="Times New Roman" w:hAnsi="Times New Roman" w:cs="Times New Roman"/>
          <w:b/>
          <w:bCs/>
          <w:sz w:val="20"/>
          <w:szCs w:val="20"/>
          <w:lang w:val="en-US"/>
        </w:rPr>
      </w:pPr>
      <w:r w:rsidRPr="00413E69">
        <w:rPr>
          <w:rFonts w:ascii="Times New Roman" w:hAnsi="Times New Roman" w:cs="Times New Roman"/>
          <w:b/>
          <w:bCs/>
          <w:sz w:val="20"/>
          <w:szCs w:val="20"/>
        </w:rPr>
        <w:t>REFERENCE</w:t>
      </w:r>
      <w:r w:rsidRPr="00413E69">
        <w:rPr>
          <w:rFonts w:ascii="Times New Roman" w:hAnsi="Times New Roman" w:cs="Times New Roman"/>
          <w:b/>
          <w:bCs/>
          <w:sz w:val="20"/>
          <w:szCs w:val="20"/>
          <w:lang w:val="en-US"/>
        </w:rPr>
        <w:t>S</w:t>
      </w:r>
    </w:p>
    <w:p w14:paraId="12F76841" w14:textId="0B5971B0" w:rsidR="0018141D" w:rsidRPr="00413E69" w:rsidRDefault="0076242C" w:rsidP="00413E69">
      <w:pPr>
        <w:numPr>
          <w:ilvl w:val="0"/>
          <w:numId w:val="3"/>
        </w:numPr>
        <w:spacing w:after="0" w:line="360" w:lineRule="auto"/>
        <w:jc w:val="both"/>
        <w:rPr>
          <w:rFonts w:ascii="Times New Roman" w:hAnsi="Times New Roman" w:cs="Times New Roman"/>
          <w:sz w:val="20"/>
          <w:szCs w:val="20"/>
        </w:rPr>
      </w:pPr>
      <w:r w:rsidRPr="00413E69">
        <w:rPr>
          <w:rFonts w:ascii="Times New Roman" w:hAnsi="Times New Roman" w:cs="Times New Roman"/>
          <w:sz w:val="20"/>
          <w:szCs w:val="20"/>
        </w:rPr>
        <w:t xml:space="preserve">Hooper LV, </w:t>
      </w:r>
      <w:proofErr w:type="spellStart"/>
      <w:r w:rsidRPr="00413E69">
        <w:rPr>
          <w:rFonts w:ascii="Times New Roman" w:hAnsi="Times New Roman" w:cs="Times New Roman"/>
          <w:sz w:val="20"/>
          <w:szCs w:val="20"/>
        </w:rPr>
        <w:t>Midtvedt</w:t>
      </w:r>
      <w:proofErr w:type="spellEnd"/>
      <w:r w:rsidRPr="00413E69">
        <w:rPr>
          <w:rFonts w:ascii="Times New Roman" w:hAnsi="Times New Roman" w:cs="Times New Roman"/>
          <w:sz w:val="20"/>
          <w:szCs w:val="20"/>
        </w:rPr>
        <w:t xml:space="preserve"> T, Gordon JI. How host-microbial interactions shape the nutrient environment of the mammalian intestine. Annual Review of Nutrition. </w:t>
      </w:r>
      <w:proofErr w:type="gramStart"/>
      <w:r w:rsidRPr="00413E69">
        <w:rPr>
          <w:rFonts w:ascii="Times New Roman" w:hAnsi="Times New Roman" w:cs="Times New Roman"/>
          <w:sz w:val="20"/>
          <w:szCs w:val="20"/>
        </w:rPr>
        <w:t>2002;22:283</w:t>
      </w:r>
      <w:proofErr w:type="gramEnd"/>
      <w:r w:rsidRPr="00413E69">
        <w:rPr>
          <w:rFonts w:ascii="Times New Roman" w:hAnsi="Times New Roman" w:cs="Times New Roman"/>
          <w:sz w:val="20"/>
          <w:szCs w:val="20"/>
        </w:rPr>
        <w:t xml:space="preserve">–307. </w:t>
      </w:r>
    </w:p>
    <w:p w14:paraId="38674DEB" w14:textId="04C77FB2" w:rsidR="0018141D" w:rsidRPr="00413E69" w:rsidRDefault="0076242C" w:rsidP="00413E69">
      <w:pPr>
        <w:numPr>
          <w:ilvl w:val="0"/>
          <w:numId w:val="3"/>
        </w:numPr>
        <w:spacing w:after="0" w:line="360" w:lineRule="auto"/>
        <w:jc w:val="both"/>
        <w:rPr>
          <w:rFonts w:ascii="Times New Roman" w:hAnsi="Times New Roman" w:cs="Times New Roman"/>
          <w:sz w:val="20"/>
          <w:szCs w:val="20"/>
        </w:rPr>
      </w:pPr>
      <w:r w:rsidRPr="00413E69">
        <w:rPr>
          <w:rFonts w:ascii="Times New Roman" w:hAnsi="Times New Roman" w:cs="Times New Roman"/>
          <w:sz w:val="20"/>
          <w:szCs w:val="20"/>
        </w:rPr>
        <w:t>Hooper LV, Gordon JI. Commensal host-bacterial relationships in the gut. Science. 2001;292(5519):1115–1118.</w:t>
      </w:r>
    </w:p>
    <w:p w14:paraId="6E251512" w14:textId="747A71D4" w:rsidR="0018141D" w:rsidRPr="00413E69" w:rsidRDefault="0076242C" w:rsidP="00413E69">
      <w:pPr>
        <w:numPr>
          <w:ilvl w:val="0"/>
          <w:numId w:val="3"/>
        </w:numPr>
        <w:spacing w:after="0" w:line="360" w:lineRule="auto"/>
        <w:jc w:val="both"/>
        <w:rPr>
          <w:rFonts w:ascii="Times New Roman" w:hAnsi="Times New Roman" w:cs="Times New Roman"/>
          <w:sz w:val="20"/>
          <w:szCs w:val="20"/>
        </w:rPr>
      </w:pPr>
      <w:proofErr w:type="spellStart"/>
      <w:r w:rsidRPr="00413E69">
        <w:rPr>
          <w:rFonts w:ascii="Times New Roman" w:hAnsi="Times New Roman" w:cs="Times New Roman"/>
          <w:sz w:val="20"/>
          <w:szCs w:val="20"/>
        </w:rPr>
        <w:t>Bäckhed</w:t>
      </w:r>
      <w:proofErr w:type="spellEnd"/>
      <w:r w:rsidRPr="00413E69">
        <w:rPr>
          <w:rFonts w:ascii="Times New Roman" w:hAnsi="Times New Roman" w:cs="Times New Roman"/>
          <w:sz w:val="20"/>
          <w:szCs w:val="20"/>
        </w:rPr>
        <w:t xml:space="preserve"> F, Ley RE, Sonnenburg JL, Peterson DA, Gordon JI. Host-bacterial mutualism in the human intestine. Science. 2005;307(5717):1915–1920. </w:t>
      </w:r>
    </w:p>
    <w:p w14:paraId="1FA6588A" w14:textId="77777777" w:rsidR="0018141D" w:rsidRPr="00413E69" w:rsidRDefault="0076242C" w:rsidP="00413E69">
      <w:pPr>
        <w:numPr>
          <w:ilvl w:val="0"/>
          <w:numId w:val="3"/>
        </w:numPr>
        <w:spacing w:after="0" w:line="360" w:lineRule="auto"/>
        <w:jc w:val="both"/>
        <w:rPr>
          <w:rFonts w:ascii="Times New Roman" w:hAnsi="Times New Roman" w:cs="Times New Roman"/>
          <w:sz w:val="20"/>
          <w:szCs w:val="20"/>
        </w:rPr>
      </w:pPr>
      <w:r w:rsidRPr="00413E69">
        <w:rPr>
          <w:rFonts w:ascii="Times New Roman" w:hAnsi="Times New Roman" w:cs="Times New Roman"/>
          <w:sz w:val="20"/>
          <w:szCs w:val="20"/>
        </w:rPr>
        <w:t xml:space="preserve">Ley RE, Peterson DA, Gordon JI. Ecological and evolutionary forces shaping microbial diversity in the human intestine. Cell. 2006;124(4):837–848. </w:t>
      </w:r>
      <w:proofErr w:type="gramStart"/>
      <w:r w:rsidRPr="00413E69">
        <w:rPr>
          <w:rFonts w:ascii="Times New Roman" w:hAnsi="Times New Roman" w:cs="Times New Roman"/>
          <w:sz w:val="20"/>
          <w:szCs w:val="20"/>
        </w:rPr>
        <w:t>doi:10.1016/j.cell</w:t>
      </w:r>
      <w:proofErr w:type="gramEnd"/>
      <w:r w:rsidRPr="00413E69">
        <w:rPr>
          <w:rFonts w:ascii="Times New Roman" w:hAnsi="Times New Roman" w:cs="Times New Roman"/>
          <w:sz w:val="20"/>
          <w:szCs w:val="20"/>
        </w:rPr>
        <w:t>.2006.02.017.</w:t>
      </w:r>
    </w:p>
    <w:p w14:paraId="4B9F697E" w14:textId="77777777" w:rsidR="0018141D" w:rsidRPr="00413E69" w:rsidRDefault="0076242C" w:rsidP="00413E69">
      <w:pPr>
        <w:numPr>
          <w:ilvl w:val="0"/>
          <w:numId w:val="3"/>
        </w:numPr>
        <w:spacing w:after="0" w:line="360" w:lineRule="auto"/>
        <w:jc w:val="both"/>
        <w:rPr>
          <w:rFonts w:ascii="Times New Roman" w:hAnsi="Times New Roman" w:cs="Times New Roman"/>
          <w:sz w:val="20"/>
          <w:szCs w:val="20"/>
        </w:rPr>
      </w:pPr>
      <w:r w:rsidRPr="00413E69">
        <w:rPr>
          <w:rFonts w:ascii="Times New Roman" w:hAnsi="Times New Roman" w:cs="Times New Roman"/>
          <w:sz w:val="20"/>
          <w:szCs w:val="20"/>
        </w:rPr>
        <w:t>Turnbaugh PJ, Ley RE, Hamady M, Fraser-Liggett CM, Knight R, Gordon JI. The human microbiome project. Nature. 2007;449(7164):804–810. doi:10.1038/nature06244.</w:t>
      </w:r>
    </w:p>
    <w:p w14:paraId="3D9EEBED" w14:textId="77777777" w:rsidR="0018141D" w:rsidRPr="00413E69" w:rsidRDefault="0076242C" w:rsidP="00413E69">
      <w:pPr>
        <w:numPr>
          <w:ilvl w:val="0"/>
          <w:numId w:val="3"/>
        </w:numPr>
        <w:spacing w:after="0" w:line="360" w:lineRule="auto"/>
        <w:jc w:val="both"/>
        <w:rPr>
          <w:rFonts w:ascii="Times New Roman" w:hAnsi="Times New Roman" w:cs="Times New Roman"/>
          <w:sz w:val="20"/>
          <w:szCs w:val="20"/>
        </w:rPr>
      </w:pPr>
      <w:r w:rsidRPr="00413E69">
        <w:rPr>
          <w:rFonts w:ascii="Times New Roman" w:hAnsi="Times New Roman" w:cs="Times New Roman"/>
          <w:sz w:val="20"/>
          <w:szCs w:val="20"/>
        </w:rPr>
        <w:t>Frank DN, Pace NR. Gastrointestinal microbiology enters the metagenomics era. Current Opinion in Gastroenterology. 2008;24(1):4–10. doi:10.1097/MOG.0b013e3282f2b0e8.</w:t>
      </w:r>
    </w:p>
    <w:p w14:paraId="14CDC52F" w14:textId="77777777" w:rsidR="0018141D" w:rsidRPr="00413E69" w:rsidRDefault="0076242C" w:rsidP="00413E69">
      <w:pPr>
        <w:numPr>
          <w:ilvl w:val="0"/>
          <w:numId w:val="3"/>
        </w:numPr>
        <w:spacing w:after="0" w:line="360" w:lineRule="auto"/>
        <w:jc w:val="both"/>
        <w:rPr>
          <w:rFonts w:ascii="Times New Roman" w:hAnsi="Times New Roman" w:cs="Times New Roman"/>
          <w:sz w:val="20"/>
          <w:szCs w:val="20"/>
        </w:rPr>
      </w:pPr>
      <w:r w:rsidRPr="00413E69">
        <w:rPr>
          <w:rFonts w:ascii="Times New Roman" w:hAnsi="Times New Roman" w:cs="Times New Roman"/>
          <w:sz w:val="20"/>
          <w:szCs w:val="20"/>
        </w:rPr>
        <w:t xml:space="preserve">Kinross JM, von </w:t>
      </w:r>
      <w:proofErr w:type="spellStart"/>
      <w:r w:rsidRPr="00413E69">
        <w:rPr>
          <w:rFonts w:ascii="Times New Roman" w:hAnsi="Times New Roman" w:cs="Times New Roman"/>
          <w:sz w:val="20"/>
          <w:szCs w:val="20"/>
        </w:rPr>
        <w:t>Roon</w:t>
      </w:r>
      <w:proofErr w:type="spellEnd"/>
      <w:r w:rsidRPr="00413E69">
        <w:rPr>
          <w:rFonts w:ascii="Times New Roman" w:hAnsi="Times New Roman" w:cs="Times New Roman"/>
          <w:sz w:val="20"/>
          <w:szCs w:val="20"/>
        </w:rPr>
        <w:t xml:space="preserve"> AC, Holmes E, Darzi A, Nicholson JK. The human gut microbiome: implications for future health care. Current Gastroenterology Reports. 2008;10(4):396–403. doi:10.1007/s11894-008-0075-y.</w:t>
      </w:r>
    </w:p>
    <w:p w14:paraId="351246A2" w14:textId="77777777" w:rsidR="0018141D" w:rsidRPr="00413E69" w:rsidRDefault="0076242C" w:rsidP="00413E69">
      <w:pPr>
        <w:numPr>
          <w:ilvl w:val="0"/>
          <w:numId w:val="3"/>
        </w:numPr>
        <w:spacing w:after="0" w:line="360" w:lineRule="auto"/>
        <w:jc w:val="both"/>
        <w:rPr>
          <w:rFonts w:ascii="Times New Roman" w:hAnsi="Times New Roman" w:cs="Times New Roman"/>
          <w:sz w:val="20"/>
          <w:szCs w:val="20"/>
        </w:rPr>
      </w:pPr>
      <w:r w:rsidRPr="00413E69">
        <w:rPr>
          <w:rFonts w:ascii="Times New Roman" w:hAnsi="Times New Roman" w:cs="Times New Roman"/>
          <w:sz w:val="20"/>
          <w:szCs w:val="20"/>
        </w:rPr>
        <w:t xml:space="preserve">Turnbaugh PJ, Hamady M, </w:t>
      </w:r>
      <w:proofErr w:type="spellStart"/>
      <w:r w:rsidRPr="00413E69">
        <w:rPr>
          <w:rFonts w:ascii="Times New Roman" w:hAnsi="Times New Roman" w:cs="Times New Roman"/>
          <w:sz w:val="20"/>
          <w:szCs w:val="20"/>
        </w:rPr>
        <w:t>Yatsunenko</w:t>
      </w:r>
      <w:proofErr w:type="spellEnd"/>
      <w:r w:rsidRPr="00413E69">
        <w:rPr>
          <w:rFonts w:ascii="Times New Roman" w:hAnsi="Times New Roman" w:cs="Times New Roman"/>
          <w:sz w:val="20"/>
          <w:szCs w:val="20"/>
        </w:rPr>
        <w:t xml:space="preserve"> T, et al. A core gut microbiome in obese and lean twins. Nature. 2009;457(7228):480–484. doi:10.1038/nature07540.</w:t>
      </w:r>
    </w:p>
    <w:p w14:paraId="192C9549" w14:textId="77777777" w:rsidR="0018141D" w:rsidRPr="00413E69" w:rsidRDefault="0076242C" w:rsidP="00413E69">
      <w:pPr>
        <w:numPr>
          <w:ilvl w:val="0"/>
          <w:numId w:val="3"/>
        </w:numPr>
        <w:spacing w:after="0" w:line="360" w:lineRule="auto"/>
        <w:jc w:val="both"/>
        <w:rPr>
          <w:rFonts w:ascii="Times New Roman" w:hAnsi="Times New Roman" w:cs="Times New Roman"/>
          <w:sz w:val="20"/>
          <w:szCs w:val="20"/>
        </w:rPr>
      </w:pPr>
      <w:r w:rsidRPr="00413E69">
        <w:rPr>
          <w:rFonts w:ascii="Times New Roman" w:hAnsi="Times New Roman" w:cs="Times New Roman"/>
          <w:sz w:val="20"/>
          <w:szCs w:val="20"/>
        </w:rPr>
        <w:t xml:space="preserve">Rhee SH, </w:t>
      </w:r>
      <w:proofErr w:type="spellStart"/>
      <w:r w:rsidRPr="00413E69">
        <w:rPr>
          <w:rFonts w:ascii="Times New Roman" w:hAnsi="Times New Roman" w:cs="Times New Roman"/>
          <w:sz w:val="20"/>
          <w:szCs w:val="20"/>
        </w:rPr>
        <w:t>Pothoulakis</w:t>
      </w:r>
      <w:proofErr w:type="spellEnd"/>
      <w:r w:rsidRPr="00413E69">
        <w:rPr>
          <w:rFonts w:ascii="Times New Roman" w:hAnsi="Times New Roman" w:cs="Times New Roman"/>
          <w:sz w:val="20"/>
          <w:szCs w:val="20"/>
        </w:rPr>
        <w:t xml:space="preserve"> C, Mayer EA. Principles and clinical implications of the brain–gut–enteric microbiota axis. Nature Reviews Gastroenterology &amp; Hepatology. 2009;6(5):306–314. doi:10.1038/nrgastro.2009.35.</w:t>
      </w:r>
    </w:p>
    <w:p w14:paraId="5E67E297" w14:textId="77777777" w:rsidR="0018141D" w:rsidRPr="00413E69" w:rsidRDefault="0076242C" w:rsidP="00413E69">
      <w:pPr>
        <w:numPr>
          <w:ilvl w:val="0"/>
          <w:numId w:val="3"/>
        </w:numPr>
        <w:spacing w:after="0" w:line="360" w:lineRule="auto"/>
        <w:jc w:val="both"/>
        <w:rPr>
          <w:rFonts w:ascii="Times New Roman" w:hAnsi="Times New Roman" w:cs="Times New Roman"/>
          <w:sz w:val="20"/>
          <w:szCs w:val="20"/>
        </w:rPr>
      </w:pPr>
      <w:r w:rsidRPr="00413E69">
        <w:rPr>
          <w:rFonts w:ascii="Times New Roman" w:hAnsi="Times New Roman" w:cs="Times New Roman"/>
          <w:sz w:val="20"/>
          <w:szCs w:val="20"/>
        </w:rPr>
        <w:t>Cummings JH, Macfarlane GT. The control and consequences of bacterial fermentation in the human colon. Journal of Applied Bacteriology. 1991;70(6):443–459. doi:10.1111/j.1365-</w:t>
      </w:r>
      <w:proofErr w:type="gramStart"/>
      <w:r w:rsidRPr="00413E69">
        <w:rPr>
          <w:rFonts w:ascii="Times New Roman" w:hAnsi="Times New Roman" w:cs="Times New Roman"/>
          <w:sz w:val="20"/>
          <w:szCs w:val="20"/>
        </w:rPr>
        <w:t>2672.1991.tb02739.x.</w:t>
      </w:r>
      <w:proofErr w:type="gramEnd"/>
    </w:p>
    <w:p w14:paraId="526CA939" w14:textId="77777777" w:rsidR="0018141D" w:rsidRPr="00413E69" w:rsidRDefault="0076242C" w:rsidP="00413E69">
      <w:pPr>
        <w:numPr>
          <w:ilvl w:val="0"/>
          <w:numId w:val="3"/>
        </w:numPr>
        <w:spacing w:after="0" w:line="360" w:lineRule="auto"/>
        <w:jc w:val="both"/>
        <w:rPr>
          <w:rFonts w:ascii="Times New Roman" w:hAnsi="Times New Roman" w:cs="Times New Roman"/>
          <w:sz w:val="20"/>
          <w:szCs w:val="20"/>
        </w:rPr>
      </w:pPr>
      <w:r w:rsidRPr="00413E69">
        <w:rPr>
          <w:rFonts w:ascii="Times New Roman" w:hAnsi="Times New Roman" w:cs="Times New Roman"/>
          <w:sz w:val="20"/>
          <w:szCs w:val="20"/>
        </w:rPr>
        <w:lastRenderedPageBreak/>
        <w:t xml:space="preserve">Sartor RB. Microbial influences in inflammatory bowel diseases. Gastroenterology. 2008;134(2):577–594. </w:t>
      </w:r>
      <w:proofErr w:type="gramStart"/>
      <w:r w:rsidRPr="00413E69">
        <w:rPr>
          <w:rFonts w:ascii="Times New Roman" w:hAnsi="Times New Roman" w:cs="Times New Roman"/>
          <w:sz w:val="20"/>
          <w:szCs w:val="20"/>
        </w:rPr>
        <w:t>doi:10.1053/j.gastro</w:t>
      </w:r>
      <w:proofErr w:type="gramEnd"/>
      <w:r w:rsidRPr="00413E69">
        <w:rPr>
          <w:rFonts w:ascii="Times New Roman" w:hAnsi="Times New Roman" w:cs="Times New Roman"/>
          <w:sz w:val="20"/>
          <w:szCs w:val="20"/>
        </w:rPr>
        <w:t>.2007.11.059.</w:t>
      </w:r>
    </w:p>
    <w:p w14:paraId="2DA4DEE7" w14:textId="77777777" w:rsidR="0018141D" w:rsidRPr="00413E69" w:rsidRDefault="0076242C" w:rsidP="00413E69">
      <w:pPr>
        <w:numPr>
          <w:ilvl w:val="0"/>
          <w:numId w:val="3"/>
        </w:numPr>
        <w:spacing w:after="0" w:line="360" w:lineRule="auto"/>
        <w:jc w:val="both"/>
        <w:rPr>
          <w:rFonts w:ascii="Times New Roman" w:hAnsi="Times New Roman" w:cs="Times New Roman"/>
          <w:sz w:val="20"/>
          <w:szCs w:val="20"/>
        </w:rPr>
      </w:pPr>
      <w:r w:rsidRPr="00413E69">
        <w:rPr>
          <w:rFonts w:ascii="Times New Roman" w:eastAsia="SimSun" w:hAnsi="Times New Roman" w:cs="Times New Roman"/>
          <w:color w:val="222222"/>
          <w:sz w:val="20"/>
          <w:szCs w:val="20"/>
          <w:shd w:val="clear" w:color="auto" w:fill="FFFFFF"/>
        </w:rPr>
        <w:t xml:space="preserve">Snow V, Aronson MD, </w:t>
      </w:r>
      <w:proofErr w:type="spellStart"/>
      <w:r w:rsidRPr="00413E69">
        <w:rPr>
          <w:rFonts w:ascii="Times New Roman" w:eastAsia="SimSun" w:hAnsi="Times New Roman" w:cs="Times New Roman"/>
          <w:color w:val="222222"/>
          <w:sz w:val="20"/>
          <w:szCs w:val="20"/>
          <w:shd w:val="clear" w:color="auto" w:fill="FFFFFF"/>
        </w:rPr>
        <w:t>Hornbake</w:t>
      </w:r>
      <w:proofErr w:type="spellEnd"/>
      <w:r w:rsidRPr="00413E69">
        <w:rPr>
          <w:rFonts w:ascii="Times New Roman" w:eastAsia="SimSun" w:hAnsi="Times New Roman" w:cs="Times New Roman"/>
          <w:color w:val="222222"/>
          <w:sz w:val="20"/>
          <w:szCs w:val="20"/>
          <w:shd w:val="clear" w:color="auto" w:fill="FFFFFF"/>
        </w:rPr>
        <w:t xml:space="preserve"> ER, </w:t>
      </w:r>
      <w:proofErr w:type="spellStart"/>
      <w:r w:rsidRPr="00413E69">
        <w:rPr>
          <w:rFonts w:ascii="Times New Roman" w:eastAsia="SimSun" w:hAnsi="Times New Roman" w:cs="Times New Roman"/>
          <w:color w:val="222222"/>
          <w:sz w:val="20"/>
          <w:szCs w:val="20"/>
          <w:shd w:val="clear" w:color="auto" w:fill="FFFFFF"/>
        </w:rPr>
        <w:t>Mottur</w:t>
      </w:r>
      <w:proofErr w:type="spellEnd"/>
      <w:r w:rsidRPr="00413E69">
        <w:rPr>
          <w:rFonts w:ascii="Times New Roman" w:eastAsia="SimSun" w:hAnsi="Times New Roman" w:cs="Times New Roman"/>
          <w:color w:val="222222"/>
          <w:sz w:val="20"/>
          <w:szCs w:val="20"/>
          <w:shd w:val="clear" w:color="auto" w:fill="FFFFFF"/>
        </w:rPr>
        <w:t>-Pilson C, Weiss KB, Clinical Efficacy Assessment Subcommittee of the American College of Physicians*. Lipid control in the management of type 2 diabetes mellitus: a clinical practice guideline from the American College of Physicians. Annals of internal medicine. 2004 Apr 20;140(8):644-</w:t>
      </w:r>
      <w:proofErr w:type="gramStart"/>
      <w:r w:rsidRPr="00413E69">
        <w:rPr>
          <w:rFonts w:ascii="Times New Roman" w:eastAsia="SimSun" w:hAnsi="Times New Roman" w:cs="Times New Roman"/>
          <w:color w:val="222222"/>
          <w:sz w:val="20"/>
          <w:szCs w:val="20"/>
          <w:shd w:val="clear" w:color="auto" w:fill="FFFFFF"/>
        </w:rPr>
        <w:t>9.</w:t>
      </w:r>
      <w:r w:rsidRPr="00413E69">
        <w:rPr>
          <w:rFonts w:ascii="Times New Roman" w:hAnsi="Times New Roman" w:cs="Times New Roman"/>
          <w:sz w:val="20"/>
          <w:szCs w:val="20"/>
        </w:rPr>
        <w:t>.</w:t>
      </w:r>
      <w:proofErr w:type="gramEnd"/>
    </w:p>
    <w:p w14:paraId="29080CAD" w14:textId="77777777" w:rsidR="0018141D" w:rsidRPr="00413E69" w:rsidRDefault="0076242C" w:rsidP="00413E69">
      <w:pPr>
        <w:numPr>
          <w:ilvl w:val="0"/>
          <w:numId w:val="3"/>
        </w:numPr>
        <w:spacing w:after="0" w:line="360" w:lineRule="auto"/>
        <w:jc w:val="both"/>
        <w:rPr>
          <w:rFonts w:ascii="Times New Roman" w:hAnsi="Times New Roman" w:cs="Times New Roman"/>
          <w:sz w:val="20"/>
          <w:szCs w:val="20"/>
        </w:rPr>
      </w:pPr>
      <w:proofErr w:type="spellStart"/>
      <w:r w:rsidRPr="00413E69">
        <w:rPr>
          <w:rFonts w:ascii="Times New Roman" w:eastAsia="SimSun" w:hAnsi="Times New Roman" w:cs="Times New Roman"/>
          <w:color w:val="222222"/>
          <w:sz w:val="20"/>
          <w:szCs w:val="20"/>
          <w:shd w:val="clear" w:color="auto" w:fill="FFFFFF"/>
        </w:rPr>
        <w:t>Nistala</w:t>
      </w:r>
      <w:proofErr w:type="spellEnd"/>
      <w:r w:rsidRPr="00413E69">
        <w:rPr>
          <w:rFonts w:ascii="Times New Roman" w:eastAsia="SimSun" w:hAnsi="Times New Roman" w:cs="Times New Roman"/>
          <w:color w:val="222222"/>
          <w:sz w:val="20"/>
          <w:szCs w:val="20"/>
          <w:shd w:val="clear" w:color="auto" w:fill="FFFFFF"/>
        </w:rPr>
        <w:t xml:space="preserve"> R, Wei Y, Sowers JR, Whaley-Connell A. Renin-angiotensin-aldosterone system-mediated redox effects in chronic kidney disease. Translational research. 2009 Mar 1;153(3):102-13.</w:t>
      </w:r>
    </w:p>
    <w:p w14:paraId="34DB0AA3" w14:textId="77777777" w:rsidR="0018141D" w:rsidRPr="00413E69" w:rsidRDefault="0076242C" w:rsidP="00413E69">
      <w:pPr>
        <w:numPr>
          <w:ilvl w:val="0"/>
          <w:numId w:val="3"/>
        </w:numPr>
        <w:spacing w:after="0" w:line="360" w:lineRule="auto"/>
        <w:jc w:val="both"/>
        <w:rPr>
          <w:rFonts w:ascii="Times New Roman" w:hAnsi="Times New Roman" w:cs="Times New Roman"/>
          <w:sz w:val="20"/>
          <w:szCs w:val="20"/>
        </w:rPr>
      </w:pPr>
      <w:r w:rsidRPr="00413E69">
        <w:rPr>
          <w:rFonts w:ascii="Times New Roman" w:eastAsia="SimSun" w:hAnsi="Times New Roman" w:cs="Times New Roman"/>
          <w:color w:val="222222"/>
          <w:sz w:val="20"/>
          <w:szCs w:val="20"/>
          <w:shd w:val="clear" w:color="auto" w:fill="FFFFFF"/>
        </w:rPr>
        <w:t>Chapman AB, Gabow PA, Schrier RW. Reversible renal failure associated with angiotensin-converting enzyme inhibitors in polycystic kidney disease. Annals of internal medicine. 1991 Nov 15;115(10):769-</w:t>
      </w:r>
      <w:proofErr w:type="gramStart"/>
      <w:r w:rsidRPr="00413E69">
        <w:rPr>
          <w:rFonts w:ascii="Times New Roman" w:eastAsia="SimSun" w:hAnsi="Times New Roman" w:cs="Times New Roman"/>
          <w:color w:val="222222"/>
          <w:sz w:val="20"/>
          <w:szCs w:val="20"/>
          <w:shd w:val="clear" w:color="auto" w:fill="FFFFFF"/>
        </w:rPr>
        <w:t>73.</w:t>
      </w:r>
      <w:r w:rsidRPr="00413E69">
        <w:rPr>
          <w:rFonts w:ascii="Times New Roman" w:hAnsi="Times New Roman" w:cs="Times New Roman"/>
          <w:sz w:val="20"/>
          <w:szCs w:val="20"/>
        </w:rPr>
        <w:t>.</w:t>
      </w:r>
      <w:proofErr w:type="gramEnd"/>
    </w:p>
    <w:p w14:paraId="5233D51F" w14:textId="77777777" w:rsidR="0018141D" w:rsidRPr="00413E69" w:rsidRDefault="0076242C" w:rsidP="00413E69">
      <w:pPr>
        <w:numPr>
          <w:ilvl w:val="0"/>
          <w:numId w:val="3"/>
        </w:numPr>
        <w:spacing w:after="0" w:line="360" w:lineRule="auto"/>
        <w:jc w:val="both"/>
        <w:rPr>
          <w:rFonts w:ascii="Times New Roman" w:hAnsi="Times New Roman" w:cs="Times New Roman"/>
          <w:sz w:val="20"/>
          <w:szCs w:val="20"/>
        </w:rPr>
      </w:pPr>
      <w:r w:rsidRPr="00413E69">
        <w:rPr>
          <w:rFonts w:ascii="Times New Roman" w:hAnsi="Times New Roman" w:cs="Times New Roman"/>
          <w:sz w:val="20"/>
          <w:szCs w:val="20"/>
        </w:rPr>
        <w:t xml:space="preserve">Palmer C, Bik EM, DiGiulio DB, Relman DA, Brown PO. Development of the human infant intestinal microbiota. </w:t>
      </w:r>
      <w:proofErr w:type="spellStart"/>
      <w:r w:rsidRPr="00413E69">
        <w:rPr>
          <w:rFonts w:ascii="Times New Roman" w:hAnsi="Times New Roman" w:cs="Times New Roman"/>
          <w:sz w:val="20"/>
          <w:szCs w:val="20"/>
        </w:rPr>
        <w:t>PLoS</w:t>
      </w:r>
      <w:proofErr w:type="spellEnd"/>
      <w:r w:rsidRPr="00413E69">
        <w:rPr>
          <w:rFonts w:ascii="Times New Roman" w:hAnsi="Times New Roman" w:cs="Times New Roman"/>
          <w:sz w:val="20"/>
          <w:szCs w:val="20"/>
        </w:rPr>
        <w:t xml:space="preserve"> Biology. 2007;5(7</w:t>
      </w:r>
      <w:proofErr w:type="gramStart"/>
      <w:r w:rsidRPr="00413E69">
        <w:rPr>
          <w:rFonts w:ascii="Times New Roman" w:hAnsi="Times New Roman" w:cs="Times New Roman"/>
          <w:sz w:val="20"/>
          <w:szCs w:val="20"/>
        </w:rPr>
        <w:t>):e</w:t>
      </w:r>
      <w:proofErr w:type="gramEnd"/>
      <w:r w:rsidRPr="00413E69">
        <w:rPr>
          <w:rFonts w:ascii="Times New Roman" w:hAnsi="Times New Roman" w:cs="Times New Roman"/>
          <w:sz w:val="20"/>
          <w:szCs w:val="20"/>
        </w:rPr>
        <w:t xml:space="preserve">177. </w:t>
      </w:r>
      <w:proofErr w:type="gramStart"/>
      <w:r w:rsidRPr="00413E69">
        <w:rPr>
          <w:rFonts w:ascii="Times New Roman" w:hAnsi="Times New Roman" w:cs="Times New Roman"/>
          <w:sz w:val="20"/>
          <w:szCs w:val="20"/>
        </w:rPr>
        <w:t>doi:10.1371/journal.pbio</w:t>
      </w:r>
      <w:proofErr w:type="gramEnd"/>
      <w:r w:rsidRPr="00413E69">
        <w:rPr>
          <w:rFonts w:ascii="Times New Roman" w:hAnsi="Times New Roman" w:cs="Times New Roman"/>
          <w:sz w:val="20"/>
          <w:szCs w:val="20"/>
        </w:rPr>
        <w:t>.0050177.</w:t>
      </w:r>
    </w:p>
    <w:sectPr w:rsidR="0018141D" w:rsidRPr="00413E69" w:rsidSect="00413E69">
      <w:headerReference w:type="default" r:id="rId7"/>
      <w:footerReference w:type="default" r:id="rId8"/>
      <w:pgSz w:w="11906" w:h="16838"/>
      <w:pgMar w:top="1440" w:right="1440" w:bottom="1440" w:left="1440" w:header="708" w:footer="708" w:gutter="0"/>
      <w:pgNumType w:start="33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2DC8B" w14:textId="77777777" w:rsidR="00E06CE3" w:rsidRDefault="00E06CE3">
      <w:pPr>
        <w:spacing w:line="240" w:lineRule="auto"/>
      </w:pPr>
      <w:r>
        <w:separator/>
      </w:r>
    </w:p>
  </w:endnote>
  <w:endnote w:type="continuationSeparator" w:id="0">
    <w:p w14:paraId="19418094" w14:textId="77777777" w:rsidR="00E06CE3" w:rsidRDefault="00E06C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6761629"/>
      <w:docPartObj>
        <w:docPartGallery w:val="Page Numbers (Bottom of Page)"/>
        <w:docPartUnique/>
      </w:docPartObj>
    </w:sdtPr>
    <w:sdtEndPr>
      <w:rPr>
        <w:noProof/>
      </w:rPr>
    </w:sdtEndPr>
    <w:sdtContent>
      <w:p w14:paraId="20558C20" w14:textId="0A98B16E" w:rsidR="00413E69" w:rsidRDefault="00413E6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544F64A" w14:textId="77777777" w:rsidR="00413E69" w:rsidRPr="00413E69" w:rsidRDefault="00413E69" w:rsidP="00413E69">
    <w:pPr>
      <w:pStyle w:val="Footer"/>
      <w:jc w:val="center"/>
      <w:rPr>
        <w:lang w:val="en-US"/>
      </w:rPr>
    </w:pPr>
    <w:r w:rsidRPr="00413E69">
      <w:rPr>
        <w:lang w:val="en-US"/>
      </w:rPr>
      <w:t>www.ijbamr.com</w:t>
    </w:r>
  </w:p>
  <w:p w14:paraId="66E2C0E1" w14:textId="77777777" w:rsidR="00413E69" w:rsidRDefault="00413E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976CA" w14:textId="77777777" w:rsidR="00E06CE3" w:rsidRDefault="00E06CE3">
      <w:pPr>
        <w:spacing w:after="0"/>
      </w:pPr>
      <w:r>
        <w:separator/>
      </w:r>
    </w:p>
  </w:footnote>
  <w:footnote w:type="continuationSeparator" w:id="0">
    <w:p w14:paraId="4EE8060B" w14:textId="77777777" w:rsidR="00E06CE3" w:rsidRDefault="00E06CE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eastAsia="Calibri" w:hAnsi="Cambria" w:cs="Times New Roman"/>
        <w:kern w:val="0"/>
        <w:lang w:val="en-US"/>
      </w:rPr>
      <w:id w:val="1869860"/>
      <w:docPartObj>
        <w:docPartGallery w:val="Page Numbers (Top of Page)"/>
        <w:docPartUnique/>
      </w:docPartObj>
    </w:sdtPr>
    <w:sdtContent>
      <w:p w14:paraId="410CEFF0" w14:textId="1418F5CF" w:rsidR="00413E69" w:rsidRPr="00413E69" w:rsidRDefault="00413E69" w:rsidP="00413E69">
        <w:pPr>
          <w:tabs>
            <w:tab w:val="center" w:pos="4680"/>
            <w:tab w:val="right" w:pos="9360"/>
          </w:tabs>
          <w:spacing w:after="0" w:line="240" w:lineRule="auto"/>
          <w:jc w:val="center"/>
          <w:rPr>
            <w:rFonts w:ascii="Cambria" w:eastAsia="Calibri" w:hAnsi="Cambria" w:cs="Times New Roman"/>
            <w:kern w:val="0"/>
            <w:lang w:val="en-US"/>
          </w:rPr>
        </w:pPr>
        <w:r w:rsidRPr="00413E69">
          <w:rPr>
            <w:rFonts w:ascii="Cambria" w:eastAsia="Calibri" w:hAnsi="Cambria" w:cs="Times New Roman"/>
            <w:kern w:val="0"/>
            <w:lang w:val="en-US"/>
          </w:rPr>
          <w:t xml:space="preserve">Indian Journal of Basic &amp; Applied Medical Research; June 2012: Issue-3, Vol.-1, P. </w:t>
        </w:r>
        <w:r>
          <w:rPr>
            <w:rFonts w:ascii="Cambria" w:eastAsia="Calibri" w:hAnsi="Cambria" w:cs="Times New Roman"/>
            <w:kern w:val="0"/>
            <w:lang w:val="en-US"/>
          </w:rPr>
          <w:t xml:space="preserve">339-346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B1C026C"/>
    <w:multiLevelType w:val="singleLevel"/>
    <w:tmpl w:val="9B1C026C"/>
    <w:lvl w:ilvl="0">
      <w:start w:val="1"/>
      <w:numFmt w:val="decimal"/>
      <w:lvlText w:val="%1."/>
      <w:lvlJc w:val="left"/>
      <w:pPr>
        <w:tabs>
          <w:tab w:val="left" w:pos="425"/>
        </w:tabs>
        <w:ind w:left="425" w:hanging="425"/>
      </w:pPr>
      <w:rPr>
        <w:rFonts w:hint="default"/>
      </w:rPr>
    </w:lvl>
  </w:abstractNum>
  <w:abstractNum w:abstractNumId="1" w15:restartNumberingAfterBreak="0">
    <w:nsid w:val="21C94BD1"/>
    <w:multiLevelType w:val="multilevel"/>
    <w:tmpl w:val="21C94BD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5A9A0E6B"/>
    <w:multiLevelType w:val="multilevel"/>
    <w:tmpl w:val="5A9A0E6B"/>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780303147">
    <w:abstractNumId w:val="1"/>
  </w:num>
  <w:num w:numId="2" w16cid:durableId="416169981">
    <w:abstractNumId w:val="2"/>
  </w:num>
  <w:num w:numId="3" w16cid:durableId="1286935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2"/>
    <w:compatSetting w:name="useWord2013TrackBottomHyphenation" w:uri="http://schemas.microsoft.com/office/word" w:val="1"/>
  </w:compat>
  <w:rsids>
    <w:rsidRoot w:val="002A0468"/>
    <w:rsid w:val="00062A77"/>
    <w:rsid w:val="00062D07"/>
    <w:rsid w:val="00092370"/>
    <w:rsid w:val="000B7CA8"/>
    <w:rsid w:val="000C3EAA"/>
    <w:rsid w:val="00130C6A"/>
    <w:rsid w:val="00151C27"/>
    <w:rsid w:val="00171585"/>
    <w:rsid w:val="0018141D"/>
    <w:rsid w:val="001B6BA1"/>
    <w:rsid w:val="00206969"/>
    <w:rsid w:val="0020703B"/>
    <w:rsid w:val="00243E49"/>
    <w:rsid w:val="00287F38"/>
    <w:rsid w:val="002A0468"/>
    <w:rsid w:val="002A7D71"/>
    <w:rsid w:val="002D2283"/>
    <w:rsid w:val="0031097D"/>
    <w:rsid w:val="003C3B7F"/>
    <w:rsid w:val="003D4526"/>
    <w:rsid w:val="00413E69"/>
    <w:rsid w:val="00433396"/>
    <w:rsid w:val="00433634"/>
    <w:rsid w:val="0049266A"/>
    <w:rsid w:val="00494B75"/>
    <w:rsid w:val="004C55BA"/>
    <w:rsid w:val="005567F7"/>
    <w:rsid w:val="005D7F9E"/>
    <w:rsid w:val="005F7941"/>
    <w:rsid w:val="006077CE"/>
    <w:rsid w:val="00682E71"/>
    <w:rsid w:val="00684D7A"/>
    <w:rsid w:val="006908C9"/>
    <w:rsid w:val="00690BB5"/>
    <w:rsid w:val="006B54A0"/>
    <w:rsid w:val="006D3805"/>
    <w:rsid w:val="00717CC9"/>
    <w:rsid w:val="0076242C"/>
    <w:rsid w:val="007B2587"/>
    <w:rsid w:val="007C13DA"/>
    <w:rsid w:val="008512F0"/>
    <w:rsid w:val="008B5C00"/>
    <w:rsid w:val="00932FC4"/>
    <w:rsid w:val="00991795"/>
    <w:rsid w:val="009D2263"/>
    <w:rsid w:val="009E03DC"/>
    <w:rsid w:val="009E376D"/>
    <w:rsid w:val="00A06116"/>
    <w:rsid w:val="00AB3282"/>
    <w:rsid w:val="00AB5241"/>
    <w:rsid w:val="00AF4D3D"/>
    <w:rsid w:val="00B101F2"/>
    <w:rsid w:val="00BA45F9"/>
    <w:rsid w:val="00BA55C8"/>
    <w:rsid w:val="00C10B99"/>
    <w:rsid w:val="00C2299C"/>
    <w:rsid w:val="00C60AA9"/>
    <w:rsid w:val="00D4307F"/>
    <w:rsid w:val="00D50D4E"/>
    <w:rsid w:val="00D70F7F"/>
    <w:rsid w:val="00D83749"/>
    <w:rsid w:val="00DA4D51"/>
    <w:rsid w:val="00DC084A"/>
    <w:rsid w:val="00DF01F0"/>
    <w:rsid w:val="00E06CE3"/>
    <w:rsid w:val="00E13949"/>
    <w:rsid w:val="00E33434"/>
    <w:rsid w:val="00E36474"/>
    <w:rsid w:val="00E50AA8"/>
    <w:rsid w:val="00EB3C18"/>
    <w:rsid w:val="00EC46CB"/>
    <w:rsid w:val="00EC5FFB"/>
    <w:rsid w:val="00F22BF3"/>
    <w:rsid w:val="00F70AF5"/>
    <w:rsid w:val="00F711EA"/>
    <w:rsid w:val="00F87247"/>
    <w:rsid w:val="0A2A173C"/>
    <w:rsid w:val="13706BF0"/>
    <w:rsid w:val="18102E13"/>
    <w:rsid w:val="30991CC7"/>
    <w:rsid w:val="370B5DE5"/>
    <w:rsid w:val="375F74E7"/>
    <w:rsid w:val="37D554AB"/>
    <w:rsid w:val="45BC5CF7"/>
    <w:rsid w:val="4DB30006"/>
    <w:rsid w:val="5CCB5592"/>
    <w:rsid w:val="669F0B6A"/>
    <w:rsid w:val="6BA8152C"/>
    <w:rsid w:val="72617A36"/>
    <w:rsid w:val="77F23B55"/>
    <w:rsid w:val="7C066589"/>
    <w:rsid w:val="7E7421DD"/>
    <w:rsid w:val="7F2C5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D45293"/>
  <w15:docId w15:val="{BA1C0267-7104-45AD-B8D1-8E66F02FE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lsdException w:name="Light Grid Accent 3" w:uiPriority="62" w:qFormat="1"/>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qFormat="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41D"/>
    <w:pPr>
      <w:spacing w:after="160" w:line="259" w:lineRule="auto"/>
    </w:pPr>
    <w:rPr>
      <w:rFonts w:asciiTheme="minorHAnsi" w:eastAsiaTheme="minorHAnsi" w:hAnsiTheme="minorHAnsi" w:cstheme="minorBidi"/>
      <w:kern w:val="2"/>
      <w:sz w:val="22"/>
      <w:szCs w:val="22"/>
      <w:lang w:val="en-IN"/>
    </w:rPr>
  </w:style>
  <w:style w:type="paragraph" w:styleId="Heading1">
    <w:name w:val="heading 1"/>
    <w:basedOn w:val="Normal"/>
    <w:next w:val="Normal"/>
    <w:link w:val="Heading1Char"/>
    <w:uiPriority w:val="9"/>
    <w:qFormat/>
    <w:rsid w:val="001814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814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8141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8141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8141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814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14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141D"/>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rsid w:val="0018141D"/>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8141D"/>
    <w:rPr>
      <w:i/>
      <w:iCs/>
    </w:rPr>
  </w:style>
  <w:style w:type="character" w:styleId="Hyperlink">
    <w:name w:val="Hyperlink"/>
    <w:basedOn w:val="DefaultParagraphFont"/>
    <w:uiPriority w:val="99"/>
    <w:unhideWhenUsed/>
    <w:qFormat/>
    <w:rsid w:val="0018141D"/>
    <w:rPr>
      <w:color w:val="0563C1" w:themeColor="hyperlink"/>
      <w:u w:val="single"/>
    </w:rPr>
  </w:style>
  <w:style w:type="paragraph" w:styleId="NormalWeb">
    <w:name w:val="Normal (Web)"/>
    <w:basedOn w:val="Normal"/>
    <w:uiPriority w:val="99"/>
    <w:semiHidden/>
    <w:unhideWhenUsed/>
    <w:qFormat/>
    <w:rsid w:val="0018141D"/>
    <w:pPr>
      <w:spacing w:before="100" w:beforeAutospacing="1" w:after="100" w:afterAutospacing="1" w:line="240" w:lineRule="auto"/>
    </w:pPr>
    <w:rPr>
      <w:rFonts w:ascii="Times New Roman" w:eastAsia="Times New Roman" w:hAnsi="Times New Roman" w:cs="Times New Roman"/>
      <w:kern w:val="0"/>
      <w:sz w:val="24"/>
      <w:szCs w:val="24"/>
      <w:lang w:eastAsia="en-IN"/>
    </w:rPr>
  </w:style>
  <w:style w:type="character" w:styleId="Strong">
    <w:name w:val="Strong"/>
    <w:basedOn w:val="DefaultParagraphFont"/>
    <w:uiPriority w:val="22"/>
    <w:qFormat/>
    <w:rsid w:val="0018141D"/>
    <w:rPr>
      <w:b/>
      <w:bCs/>
    </w:rPr>
  </w:style>
  <w:style w:type="paragraph" w:styleId="Subtitle">
    <w:name w:val="Subtitle"/>
    <w:basedOn w:val="Normal"/>
    <w:next w:val="Normal"/>
    <w:link w:val="SubtitleChar"/>
    <w:uiPriority w:val="11"/>
    <w:qFormat/>
    <w:rsid w:val="0018141D"/>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rsid w:val="001814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sid w:val="0018141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sid w:val="001814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sid w:val="0018141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sid w:val="0018141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sid w:val="0018141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sid w:val="001814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1814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18141D"/>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sid w:val="0018141D"/>
    <w:rPr>
      <w:rFonts w:eastAsiaTheme="majorEastAsia" w:cstheme="majorBidi"/>
      <w:color w:val="262626" w:themeColor="text1" w:themeTint="D9"/>
    </w:rPr>
  </w:style>
  <w:style w:type="character" w:customStyle="1" w:styleId="TitleChar">
    <w:name w:val="Title Char"/>
    <w:basedOn w:val="DefaultParagraphFont"/>
    <w:link w:val="Title"/>
    <w:uiPriority w:val="10"/>
    <w:qFormat/>
    <w:rsid w:val="0018141D"/>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sid w:val="001814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141D"/>
    <w:pPr>
      <w:spacing w:before="160"/>
      <w:jc w:val="center"/>
    </w:pPr>
    <w:rPr>
      <w:i/>
      <w:iCs/>
      <w:color w:val="404040" w:themeColor="text1" w:themeTint="BF"/>
    </w:rPr>
  </w:style>
  <w:style w:type="character" w:customStyle="1" w:styleId="QuoteChar">
    <w:name w:val="Quote Char"/>
    <w:basedOn w:val="DefaultParagraphFont"/>
    <w:link w:val="Quote"/>
    <w:uiPriority w:val="29"/>
    <w:qFormat/>
    <w:rsid w:val="0018141D"/>
    <w:rPr>
      <w:i/>
      <w:iCs/>
      <w:color w:val="404040" w:themeColor="text1" w:themeTint="BF"/>
    </w:rPr>
  </w:style>
  <w:style w:type="paragraph" w:styleId="ListParagraph">
    <w:name w:val="List Paragraph"/>
    <w:basedOn w:val="Normal"/>
    <w:uiPriority w:val="34"/>
    <w:qFormat/>
    <w:rsid w:val="0018141D"/>
    <w:pPr>
      <w:ind w:left="720"/>
      <w:contextualSpacing/>
    </w:pPr>
  </w:style>
  <w:style w:type="character" w:customStyle="1" w:styleId="IntenseEmphasis1">
    <w:name w:val="Intense Emphasis1"/>
    <w:basedOn w:val="DefaultParagraphFont"/>
    <w:uiPriority w:val="21"/>
    <w:qFormat/>
    <w:rsid w:val="0018141D"/>
    <w:rPr>
      <w:i/>
      <w:iCs/>
      <w:color w:val="2F5496" w:themeColor="accent1" w:themeShade="BF"/>
    </w:rPr>
  </w:style>
  <w:style w:type="paragraph" w:styleId="IntenseQuote">
    <w:name w:val="Intense Quote"/>
    <w:basedOn w:val="Normal"/>
    <w:next w:val="Normal"/>
    <w:link w:val="IntenseQuoteChar"/>
    <w:uiPriority w:val="30"/>
    <w:qFormat/>
    <w:rsid w:val="001814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sid w:val="0018141D"/>
    <w:rPr>
      <w:i/>
      <w:iCs/>
      <w:color w:val="2F5496" w:themeColor="accent1" w:themeShade="BF"/>
    </w:rPr>
  </w:style>
  <w:style w:type="character" w:customStyle="1" w:styleId="IntenseReference1">
    <w:name w:val="Intense Reference1"/>
    <w:basedOn w:val="DefaultParagraphFont"/>
    <w:uiPriority w:val="32"/>
    <w:qFormat/>
    <w:rsid w:val="0018141D"/>
    <w:rPr>
      <w:b/>
      <w:bCs/>
      <w:smallCaps/>
      <w:color w:val="2F5496" w:themeColor="accent1" w:themeShade="BF"/>
      <w:spacing w:val="5"/>
    </w:rPr>
  </w:style>
  <w:style w:type="character" w:customStyle="1" w:styleId="UnresolvedMention1">
    <w:name w:val="Unresolved Mention1"/>
    <w:basedOn w:val="DefaultParagraphFont"/>
    <w:uiPriority w:val="99"/>
    <w:semiHidden/>
    <w:unhideWhenUsed/>
    <w:qFormat/>
    <w:rsid w:val="0018141D"/>
    <w:rPr>
      <w:color w:val="605E5C"/>
      <w:shd w:val="clear" w:color="auto" w:fill="E1DFDD"/>
    </w:rPr>
  </w:style>
  <w:style w:type="paragraph" w:customStyle="1" w:styleId="pdq2pgselectionanchorcontainer">
    <w:name w:val="pdq2pg_selectionanchorcontainer"/>
    <w:basedOn w:val="Normal"/>
    <w:qFormat/>
    <w:rsid w:val="0018141D"/>
    <w:pPr>
      <w:spacing w:before="100" w:beforeAutospacing="1" w:after="100" w:afterAutospacing="1" w:line="240" w:lineRule="auto"/>
    </w:pPr>
    <w:rPr>
      <w:rFonts w:ascii="Times New Roman" w:eastAsia="Times New Roman" w:hAnsi="Times New Roman" w:cs="Times New Roman"/>
      <w:kern w:val="0"/>
      <w:sz w:val="24"/>
      <w:szCs w:val="24"/>
      <w:lang w:eastAsia="en-IN"/>
    </w:rPr>
  </w:style>
  <w:style w:type="paragraph" w:styleId="Header">
    <w:name w:val="header"/>
    <w:basedOn w:val="Normal"/>
    <w:link w:val="HeaderChar"/>
    <w:uiPriority w:val="99"/>
    <w:unhideWhenUsed/>
    <w:rsid w:val="00413E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3E69"/>
    <w:rPr>
      <w:rFonts w:asciiTheme="minorHAnsi" w:eastAsiaTheme="minorHAnsi" w:hAnsiTheme="minorHAnsi" w:cstheme="minorBidi"/>
      <w:kern w:val="2"/>
      <w:sz w:val="22"/>
      <w:szCs w:val="22"/>
      <w:lang w:val="en-IN"/>
    </w:rPr>
  </w:style>
  <w:style w:type="paragraph" w:styleId="Footer">
    <w:name w:val="footer"/>
    <w:basedOn w:val="Normal"/>
    <w:link w:val="FooterChar"/>
    <w:uiPriority w:val="99"/>
    <w:unhideWhenUsed/>
    <w:rsid w:val="00413E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3E69"/>
    <w:rPr>
      <w:rFonts w:asciiTheme="minorHAnsi" w:eastAsiaTheme="minorHAnsi" w:hAnsiTheme="minorHAnsi" w:cstheme="minorBidi"/>
      <w:kern w:val="2"/>
      <w:sz w:val="22"/>
      <w:szCs w:val="22"/>
      <w:lang w:val="en-IN"/>
    </w:rPr>
  </w:style>
  <w:style w:type="character" w:styleId="CommentReference">
    <w:name w:val="annotation reference"/>
    <w:basedOn w:val="DefaultParagraphFont"/>
    <w:uiPriority w:val="99"/>
    <w:semiHidden/>
    <w:unhideWhenUsed/>
    <w:rsid w:val="00413E69"/>
    <w:rPr>
      <w:sz w:val="16"/>
      <w:szCs w:val="16"/>
    </w:rPr>
  </w:style>
  <w:style w:type="paragraph" w:styleId="CommentText">
    <w:name w:val="annotation text"/>
    <w:basedOn w:val="Normal"/>
    <w:link w:val="CommentTextChar"/>
    <w:uiPriority w:val="99"/>
    <w:semiHidden/>
    <w:unhideWhenUsed/>
    <w:rsid w:val="00413E69"/>
    <w:pPr>
      <w:spacing w:line="240" w:lineRule="auto"/>
    </w:pPr>
    <w:rPr>
      <w:sz w:val="20"/>
      <w:szCs w:val="20"/>
    </w:rPr>
  </w:style>
  <w:style w:type="character" w:customStyle="1" w:styleId="CommentTextChar">
    <w:name w:val="Comment Text Char"/>
    <w:basedOn w:val="DefaultParagraphFont"/>
    <w:link w:val="CommentText"/>
    <w:uiPriority w:val="99"/>
    <w:semiHidden/>
    <w:rsid w:val="00413E69"/>
    <w:rPr>
      <w:rFonts w:asciiTheme="minorHAnsi" w:eastAsiaTheme="minorHAnsi" w:hAnsiTheme="minorHAnsi" w:cstheme="minorBidi"/>
      <w:kern w:val="2"/>
      <w:lang w:val="en-IN"/>
    </w:rPr>
  </w:style>
  <w:style w:type="paragraph" w:styleId="CommentSubject">
    <w:name w:val="annotation subject"/>
    <w:basedOn w:val="CommentText"/>
    <w:next w:val="CommentText"/>
    <w:link w:val="CommentSubjectChar"/>
    <w:uiPriority w:val="99"/>
    <w:semiHidden/>
    <w:unhideWhenUsed/>
    <w:rsid w:val="00413E69"/>
    <w:rPr>
      <w:b/>
      <w:bCs/>
    </w:rPr>
  </w:style>
  <w:style w:type="character" w:customStyle="1" w:styleId="CommentSubjectChar">
    <w:name w:val="Comment Subject Char"/>
    <w:basedOn w:val="CommentTextChar"/>
    <w:link w:val="CommentSubject"/>
    <w:uiPriority w:val="99"/>
    <w:semiHidden/>
    <w:rsid w:val="00413E69"/>
    <w:rPr>
      <w:rFonts w:asciiTheme="minorHAnsi" w:eastAsiaTheme="minorHAnsi" w:hAnsiTheme="minorHAnsi" w:cstheme="minorBidi"/>
      <w:b/>
      <w:bCs/>
      <w:kern w:val="2"/>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3257</Words>
  <Characters>18568</Characters>
  <Application>Microsoft Office Word</Application>
  <DocSecurity>0</DocSecurity>
  <Lines>154</Lines>
  <Paragraphs>43</Paragraphs>
  <ScaleCrop>false</ScaleCrop>
  <Company/>
  <LinksUpToDate>false</LinksUpToDate>
  <CharactersWithSpaces>21782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bhakya jayaraman</dc:creator>
  <cp:lastModifiedBy>hp</cp:lastModifiedBy>
  <cp:revision>3</cp:revision>
  <cp:lastPrinted>2026-10-22T15:41:00Z</cp:lastPrinted>
  <dcterms:created xsi:type="dcterms:W3CDTF">2026-10-22T09:52:00Z</dcterms:created>
  <dcterms:modified xsi:type="dcterms:W3CDTF">2026-10-22T15:42:00Z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d89affb5-bdc0-42f1-a6e9-028fefda3c42</vt:lpwstr>
  </property>
  <property fmtid="{D5CDD505-2E9C-101B-9397-08002B2CF9AE}" pid="3" name="KSOTemplateDocerSaveRecord">
    <vt:lpwstr>eyJoZGlkIjoiMmQ5MmFhOTg4OWFmNzJiYmJhOWIxZjUxNjAzY2ViZTMiLCJ1c2VySWQiOiI1NjczOTg4MzY2OTkifQ==</vt:lpwstr>
  </property>
  <property fmtid="{D5CDD505-2E9C-101B-9397-08002B2CF9AE}" pid="4" name="KSOProductBuildVer">
    <vt:lpwstr>1033-12.1.0.26880</vt:lpwstr>
  </property>
  <property fmtid="{D5CDD505-2E9C-101B-9397-08002B2CF9AE}" pid="5" name="ICV">
    <vt:lpwstr>DB24DE2F157B473AA2F832561616220E_12</vt:lpwstr>
  </property>
</Properties>
</file>