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0AC" w:rsidRPr="008800AC" w:rsidRDefault="008800AC" w:rsidP="008800AC">
      <w:pPr>
        <w:spacing w:line="360" w:lineRule="auto"/>
        <w:rPr>
          <w:rFonts w:ascii="Cambria" w:hAnsi="Cambria"/>
          <w:b/>
          <w:bCs/>
          <w:color w:val="000000"/>
          <w:sz w:val="24"/>
          <w:szCs w:val="24"/>
        </w:rPr>
      </w:pPr>
      <w:r w:rsidRPr="008800AC">
        <w:rPr>
          <w:rFonts w:ascii="Cambria" w:hAnsi="Cambria"/>
          <w:b/>
          <w:bCs/>
          <w:color w:val="000000"/>
          <w:sz w:val="24"/>
          <w:szCs w:val="24"/>
          <w:highlight w:val="lightGray"/>
        </w:rPr>
        <w:t>Original article</w:t>
      </w:r>
      <w:r w:rsidRPr="008800AC">
        <w:rPr>
          <w:rFonts w:ascii="Cambria" w:hAnsi="Cambria"/>
          <w:b/>
          <w:bCs/>
          <w:color w:val="000000"/>
          <w:sz w:val="24"/>
          <w:szCs w:val="24"/>
        </w:rPr>
        <w:t xml:space="preserve"> </w:t>
      </w:r>
    </w:p>
    <w:p w:rsidR="008800AC" w:rsidRPr="008800AC" w:rsidRDefault="008800AC" w:rsidP="008800AC">
      <w:pPr>
        <w:spacing w:line="360" w:lineRule="auto"/>
        <w:rPr>
          <w:rFonts w:ascii="Cambria" w:hAnsi="Cambria"/>
          <w:b/>
          <w:bCs/>
          <w:color w:val="002060"/>
          <w:sz w:val="28"/>
          <w:szCs w:val="28"/>
        </w:rPr>
      </w:pPr>
      <w:r w:rsidRPr="008800AC">
        <w:rPr>
          <w:rFonts w:ascii="Cambria" w:hAnsi="Cambria"/>
          <w:b/>
          <w:bCs/>
          <w:color w:val="002060"/>
          <w:sz w:val="28"/>
          <w:szCs w:val="28"/>
        </w:rPr>
        <w:t>Clinical Profile and Predictors of Thyroid Dysfunction Among Patients with Type 2 Diabetes Mellitus Attending a Tertiary Care Hospital: A Cross-Sectional Study</w:t>
      </w:r>
    </w:p>
    <w:p w:rsidR="001761B1" w:rsidRPr="008800AC" w:rsidRDefault="008800AC" w:rsidP="008800AC">
      <w:pPr>
        <w:spacing w:line="360" w:lineRule="auto"/>
        <w:rPr>
          <w:rFonts w:ascii="Cambria" w:hAnsi="Cambria"/>
          <w:b/>
          <w:bCs/>
          <w:color w:val="000000"/>
          <w:vertAlign w:val="superscript"/>
        </w:rPr>
      </w:pPr>
      <w:r w:rsidRPr="008800AC">
        <w:rPr>
          <w:rFonts w:ascii="Cambria" w:hAnsi="Cambria"/>
          <w:b/>
          <w:bCs/>
          <w:color w:val="000000"/>
        </w:rPr>
        <w:t>*</w:t>
      </w:r>
      <w:r w:rsidR="001761B1" w:rsidRPr="008800AC">
        <w:rPr>
          <w:rFonts w:ascii="Cambria" w:hAnsi="Cambria"/>
          <w:b/>
          <w:bCs/>
          <w:color w:val="000000"/>
        </w:rPr>
        <w:t>Sachin vithalrao Jibh</w:t>
      </w:r>
      <w:r w:rsidR="00A72CC9" w:rsidRPr="008800AC">
        <w:rPr>
          <w:rFonts w:ascii="Cambria" w:hAnsi="Cambria"/>
          <w:b/>
          <w:bCs/>
          <w:color w:val="000000"/>
        </w:rPr>
        <w:t>a</w:t>
      </w:r>
      <w:r w:rsidR="001761B1" w:rsidRPr="008800AC">
        <w:rPr>
          <w:rFonts w:ascii="Cambria" w:hAnsi="Cambria"/>
          <w:b/>
          <w:bCs/>
          <w:color w:val="000000"/>
        </w:rPr>
        <w:t xml:space="preserve">kate </w:t>
      </w:r>
      <w:r w:rsidR="001761B1" w:rsidRPr="008800AC">
        <w:rPr>
          <w:rFonts w:ascii="Cambria" w:hAnsi="Cambria"/>
          <w:b/>
          <w:bCs/>
          <w:color w:val="000000"/>
          <w:vertAlign w:val="superscript"/>
        </w:rPr>
        <w:t>1</w:t>
      </w:r>
      <w:bookmarkStart w:id="0" w:name="_GoBack"/>
      <w:bookmarkEnd w:id="0"/>
    </w:p>
    <w:p w:rsidR="008800AC" w:rsidRPr="008800AC" w:rsidRDefault="008800AC" w:rsidP="008800AC">
      <w:pPr>
        <w:spacing w:line="360" w:lineRule="auto"/>
        <w:rPr>
          <w:rFonts w:ascii="Cambria" w:hAnsi="Cambria"/>
          <w:b/>
          <w:bCs/>
          <w:color w:val="000000"/>
          <w:vertAlign w:val="superscript"/>
        </w:rPr>
      </w:pPr>
    </w:p>
    <w:p w:rsidR="001761B1" w:rsidRPr="008800AC" w:rsidRDefault="001761B1" w:rsidP="008800AC">
      <w:pPr>
        <w:spacing w:line="360" w:lineRule="auto"/>
        <w:rPr>
          <w:rFonts w:ascii="Cambria" w:hAnsi="Cambria"/>
          <w:bCs/>
          <w:color w:val="000000"/>
        </w:rPr>
      </w:pPr>
      <w:r w:rsidRPr="008800AC">
        <w:rPr>
          <w:rFonts w:ascii="Cambria" w:hAnsi="Cambria"/>
          <w:bCs/>
          <w:color w:val="000000"/>
          <w:vertAlign w:val="superscript"/>
        </w:rPr>
        <w:t>1</w:t>
      </w:r>
      <w:r w:rsidRPr="008800AC">
        <w:rPr>
          <w:rFonts w:ascii="Cambria" w:hAnsi="Cambria"/>
          <w:bCs/>
          <w:color w:val="000000"/>
        </w:rPr>
        <w:t>Assistant Professor,</w:t>
      </w:r>
      <w:r w:rsidR="008800AC">
        <w:rPr>
          <w:rFonts w:ascii="Cambria" w:hAnsi="Cambria"/>
          <w:bCs/>
          <w:color w:val="000000"/>
        </w:rPr>
        <w:t xml:space="preserve"> </w:t>
      </w:r>
      <w:r w:rsidR="008800AC" w:rsidRPr="008800AC">
        <w:rPr>
          <w:rFonts w:ascii="Cambria" w:hAnsi="Cambria"/>
          <w:bCs/>
          <w:color w:val="000000"/>
        </w:rPr>
        <w:t>Dept.</w:t>
      </w:r>
      <w:r w:rsidRPr="008800AC">
        <w:rPr>
          <w:rFonts w:ascii="Cambria" w:hAnsi="Cambria"/>
          <w:bCs/>
          <w:color w:val="000000"/>
        </w:rPr>
        <w:t xml:space="preserve"> </w:t>
      </w:r>
      <w:r w:rsidR="008800AC" w:rsidRPr="008800AC">
        <w:rPr>
          <w:rFonts w:ascii="Cambria" w:hAnsi="Cambria"/>
          <w:bCs/>
          <w:color w:val="000000"/>
        </w:rPr>
        <w:t>of General</w:t>
      </w:r>
      <w:r w:rsidR="00D75F27" w:rsidRPr="008800AC">
        <w:rPr>
          <w:rFonts w:ascii="Cambria" w:hAnsi="Cambria"/>
          <w:bCs/>
          <w:color w:val="000000"/>
        </w:rPr>
        <w:t xml:space="preserve"> </w:t>
      </w:r>
      <w:r w:rsidR="008800AC">
        <w:rPr>
          <w:rFonts w:ascii="Cambria" w:hAnsi="Cambria"/>
          <w:bCs/>
          <w:color w:val="000000"/>
        </w:rPr>
        <w:t>M</w:t>
      </w:r>
      <w:r w:rsidRPr="008800AC">
        <w:rPr>
          <w:rFonts w:ascii="Cambria" w:hAnsi="Cambria"/>
          <w:bCs/>
          <w:color w:val="000000"/>
        </w:rPr>
        <w:t>edicine,</w:t>
      </w:r>
      <w:r w:rsidRPr="008800AC">
        <w:rPr>
          <w:rFonts w:ascii="Cambria" w:hAnsi="Cambria"/>
          <w:color w:val="212529"/>
          <w:shd w:val="clear" w:color="auto" w:fill="FFFFFF"/>
        </w:rPr>
        <w:t xml:space="preserve"> </w:t>
      </w:r>
      <w:r w:rsidRPr="008800AC">
        <w:rPr>
          <w:rFonts w:ascii="Cambria" w:hAnsi="Cambria"/>
          <w:bCs/>
          <w:color w:val="000000"/>
        </w:rPr>
        <w:t>GSL Medical College, Rajahmundry</w:t>
      </w:r>
    </w:p>
    <w:p w:rsidR="008800AC" w:rsidRPr="008800AC" w:rsidRDefault="008800AC" w:rsidP="008800AC">
      <w:pPr>
        <w:spacing w:line="360" w:lineRule="auto"/>
        <w:rPr>
          <w:rFonts w:ascii="Cambria" w:hAnsi="Cambria"/>
          <w:bCs/>
          <w:color w:val="000000"/>
        </w:rPr>
      </w:pPr>
      <w:r w:rsidRPr="008800AC">
        <w:rPr>
          <w:rFonts w:ascii="Cambria" w:hAnsi="Cambria"/>
          <w:bCs/>
          <w:color w:val="000000"/>
        </w:rPr>
        <w:t>Corresponding author*</w:t>
      </w:r>
    </w:p>
    <w:p w:rsidR="008800AC" w:rsidRDefault="008800AC" w:rsidP="008800AC">
      <w:pPr>
        <w:pStyle w:val="Heading1"/>
        <w:spacing w:line="360" w:lineRule="auto"/>
        <w:jc w:val="both"/>
        <w:rPr>
          <w:b/>
          <w:bCs/>
          <w:color w:val="000000"/>
          <w:sz w:val="20"/>
          <w:szCs w:val="20"/>
        </w:rPr>
      </w:pPr>
    </w:p>
    <w:p w:rsidR="00A155D0" w:rsidRPr="008800AC" w:rsidRDefault="00E40ED3" w:rsidP="008800AC">
      <w:pPr>
        <w:pStyle w:val="Heading1"/>
        <w:spacing w:line="360" w:lineRule="auto"/>
        <w:jc w:val="both"/>
        <w:rPr>
          <w:sz w:val="20"/>
          <w:szCs w:val="20"/>
        </w:rPr>
      </w:pPr>
      <w:r w:rsidRPr="008800AC">
        <w:rPr>
          <w:b/>
          <w:bCs/>
          <w:color w:val="000000"/>
          <w:sz w:val="20"/>
          <w:szCs w:val="20"/>
        </w:rPr>
        <w:t>Abstract</w:t>
      </w:r>
    </w:p>
    <w:p w:rsidR="00A155D0" w:rsidRPr="008800AC" w:rsidRDefault="00E40ED3" w:rsidP="008800AC">
      <w:pPr>
        <w:spacing w:line="360" w:lineRule="auto"/>
        <w:jc w:val="both"/>
      </w:pPr>
      <w:r w:rsidRPr="008800AC">
        <w:rPr>
          <w:color w:val="000000"/>
        </w:rPr>
        <w:t>Background: Thyroid dysfunction and type 2 diabetes mellitus (T2DM) are the two most common endocrine disorders encountered in clinical practice and frequently coexist, with earlier screening studies documenting a consistently higher prevalence of thyroid dysfunction among diabetic patients compared with the general population.</w:t>
      </w:r>
    </w:p>
    <w:p w:rsidR="00A155D0" w:rsidRPr="008800AC" w:rsidRDefault="00E40ED3" w:rsidP="008800AC">
      <w:pPr>
        <w:spacing w:line="360" w:lineRule="auto"/>
        <w:jc w:val="both"/>
      </w:pPr>
      <w:r w:rsidRPr="008800AC">
        <w:rPr>
          <w:color w:val="000000"/>
        </w:rPr>
        <w:t>Objectives: To determine the prevalence, pattern, and clinical predictors of thyroid dysfunction among patients with T2DM attending a tertiary care hospital.</w:t>
      </w:r>
    </w:p>
    <w:p w:rsidR="00A155D0" w:rsidRPr="008800AC" w:rsidRDefault="00E40ED3" w:rsidP="008800AC">
      <w:pPr>
        <w:spacing w:line="360" w:lineRule="auto"/>
        <w:jc w:val="both"/>
      </w:pPr>
      <w:r w:rsidRPr="008800AC">
        <w:rPr>
          <w:color w:val="000000"/>
        </w:rPr>
        <w:t>Methods: A cross-sectional study was conducted on 240 patients with T2DM. Serum TSH and free T4 were measured in all participants, and thyroid status was classified as euthyroid, subclinical or overt hypothyroidism, or subclinical or overt hyperthyroidism.</w:t>
      </w:r>
    </w:p>
    <w:p w:rsidR="00A155D0" w:rsidRPr="008800AC" w:rsidRDefault="00E40ED3" w:rsidP="008800AC">
      <w:pPr>
        <w:spacing w:line="360" w:lineRule="auto"/>
        <w:jc w:val="both"/>
      </w:pPr>
      <w:r w:rsidRPr="008800AC">
        <w:rPr>
          <w:color w:val="000000"/>
        </w:rPr>
        <w:t>Results: The prevalence of thyroid dysfunction was 20.8%. Subclinical hypothyroidism was the most common pattern (48.0% of cases). Prevalence increased with diabetes duration, from 10.0% in patients with disease duration under 5 years to 35.7% in those with duration exceeding 15 years. Family history of thyroid disease and diabetes duration exceeding 10 years were independently associated with thyroid dysfunction.</w:t>
      </w:r>
    </w:p>
    <w:p w:rsidR="00A155D0" w:rsidRPr="008800AC" w:rsidRDefault="00E40ED3" w:rsidP="008800AC">
      <w:pPr>
        <w:spacing w:line="360" w:lineRule="auto"/>
        <w:jc w:val="both"/>
      </w:pPr>
      <w:r w:rsidRPr="008800AC">
        <w:rPr>
          <w:color w:val="000000"/>
        </w:rPr>
        <w:t>Conclusion: Thyroid dysfunction, predominantly subclinical hypothyroidism, is common among patients with T2DM and increases with disease duration, supporting routine thyroid function screening in this population, particularly in patients with a family history of thyroid disease or long-standing diabetes.</w:t>
      </w:r>
    </w:p>
    <w:p w:rsidR="00A155D0" w:rsidRPr="008800AC" w:rsidRDefault="00E40ED3" w:rsidP="008800AC">
      <w:pPr>
        <w:spacing w:line="360" w:lineRule="auto"/>
        <w:jc w:val="both"/>
      </w:pPr>
      <w:r w:rsidRPr="008800AC">
        <w:rPr>
          <w:i/>
          <w:iCs/>
          <w:color w:val="000000"/>
        </w:rPr>
        <w:t>Keywords: Thyroid dysfunction, hypothyroidism, type 2 diabetes mellitus, thyroid-stimulating hormone, general medicine.</w:t>
      </w:r>
    </w:p>
    <w:p w:rsidR="008800AC" w:rsidRDefault="008800AC" w:rsidP="008800AC">
      <w:pPr>
        <w:pStyle w:val="Heading1"/>
        <w:spacing w:line="360" w:lineRule="auto"/>
        <w:jc w:val="both"/>
        <w:rPr>
          <w:b/>
          <w:bCs/>
          <w:color w:val="000000"/>
          <w:sz w:val="20"/>
          <w:szCs w:val="20"/>
        </w:rPr>
      </w:pPr>
    </w:p>
    <w:p w:rsidR="00A155D0" w:rsidRPr="008800AC" w:rsidRDefault="00E40ED3" w:rsidP="008800AC">
      <w:pPr>
        <w:pStyle w:val="Heading1"/>
        <w:spacing w:line="360" w:lineRule="auto"/>
        <w:jc w:val="both"/>
        <w:rPr>
          <w:sz w:val="20"/>
          <w:szCs w:val="20"/>
        </w:rPr>
      </w:pPr>
      <w:r w:rsidRPr="008800AC">
        <w:rPr>
          <w:b/>
          <w:bCs/>
          <w:color w:val="000000"/>
          <w:sz w:val="20"/>
          <w:szCs w:val="20"/>
        </w:rPr>
        <w:t>Introduction</w:t>
      </w:r>
    </w:p>
    <w:p w:rsidR="00A155D0" w:rsidRPr="008800AC" w:rsidRDefault="00E40ED3" w:rsidP="008800AC">
      <w:pPr>
        <w:spacing w:line="360" w:lineRule="auto"/>
        <w:jc w:val="both"/>
      </w:pPr>
      <w:r w:rsidRPr="008800AC">
        <w:rPr>
          <w:color w:val="000000"/>
        </w:rPr>
        <w:t>Thyroid dysfunction and type 2 diabetes mellitus (T2DM) are among the most common endocrine disorders encountered in clinical practice, and their frequent coexistence has been recognised for several decades.</w:t>
      </w:r>
      <w:r w:rsidRPr="008800AC">
        <w:rPr>
          <w:color w:val="000000"/>
          <w:vertAlign w:val="superscript"/>
        </w:rPr>
        <w:t>13,15</w:t>
      </w:r>
      <w:r w:rsidRPr="008800AC">
        <w:rPr>
          <w:color w:val="000000"/>
        </w:rPr>
        <w:t xml:space="preserve"> Early screening studies, including the work of Gray and colleagues and Feely and Isles, first drew attention to a substantial burden of previously unrecognised thyroid dysfunction among patients attending diabetes clinics, prompting subsequent interest in routine thyroid screening in this population.</w:t>
      </w:r>
      <w:r w:rsidRPr="008800AC">
        <w:rPr>
          <w:color w:val="000000"/>
          <w:vertAlign w:val="superscript"/>
        </w:rPr>
        <w:t>7,8</w:t>
      </w:r>
    </w:p>
    <w:p w:rsidR="00A155D0" w:rsidRPr="008800AC" w:rsidRDefault="00E40ED3" w:rsidP="008800AC">
      <w:pPr>
        <w:spacing w:line="360" w:lineRule="auto"/>
        <w:jc w:val="both"/>
      </w:pPr>
      <w:r w:rsidRPr="008800AC">
        <w:rPr>
          <w:color w:val="000000"/>
        </w:rPr>
        <w:t>Population-based data from the Whickham survey and its twenty-year follow-up established the baseline prevalence and natural history of thyroid dysfunction in the general community, providing an important comparator for subsequent studies examining diabetic populations specifically.</w:t>
      </w:r>
      <w:r w:rsidRPr="008800AC">
        <w:rPr>
          <w:color w:val="000000"/>
          <w:vertAlign w:val="superscript"/>
        </w:rPr>
        <w:t>2,3</w:t>
      </w:r>
      <w:r w:rsidRPr="008800AC">
        <w:rPr>
          <w:color w:val="000000"/>
        </w:rPr>
        <w:t xml:space="preserve"> Building on this foundation, Perros and colleagues conducted a large screening study of over 1,300 diabetic patients and confirmed a </w:t>
      </w:r>
      <w:r w:rsidRPr="008800AC">
        <w:rPr>
          <w:color w:val="000000"/>
        </w:rPr>
        <w:lastRenderedPageBreak/>
        <w:t>prevalence of thyroid dysfunction considerably exceeding that expected in a comparable non-diabetic population, providing strong support for the value of annual screening.</w:t>
      </w:r>
      <w:r w:rsidRPr="008800AC">
        <w:rPr>
          <w:color w:val="000000"/>
          <w:vertAlign w:val="superscript"/>
        </w:rPr>
        <w:t>1</w:t>
      </w:r>
      <w:r w:rsidRPr="008800AC">
        <w:rPr>
          <w:color w:val="000000"/>
        </w:rPr>
        <w:t xml:space="preserve"> Similar findings were subsequently reported by Smithson in a community-based diabetic population, and by Celani and colleagues using sensitive thyrotropin assays.</w:t>
      </w:r>
      <w:r w:rsidRPr="008800AC">
        <w:rPr>
          <w:color w:val="000000"/>
          <w:vertAlign w:val="superscript"/>
        </w:rPr>
        <w:t>6,9</w:t>
      </w:r>
    </w:p>
    <w:p w:rsidR="00A155D0" w:rsidRPr="008800AC" w:rsidRDefault="00E40ED3" w:rsidP="008800AC">
      <w:pPr>
        <w:spacing w:line="360" w:lineRule="auto"/>
        <w:jc w:val="both"/>
      </w:pPr>
      <w:r w:rsidRPr="008800AC">
        <w:rPr>
          <w:color w:val="000000"/>
        </w:rPr>
        <w:t>The mechanistic basis for the association between T2DM and thyroid dysfunction remains incompletely understood, but proposed contributors include shared autoimmune susceptibility, particularly relevant to the hypothyroid spectrum, and direct effects of insulin resistance and hyperglycaemia on hypothalamic-pituitary-thyroid axis regulation and peripheral thyroid hormone metabolism.</w:t>
      </w:r>
      <w:r w:rsidRPr="008800AC">
        <w:rPr>
          <w:color w:val="000000"/>
          <w:vertAlign w:val="superscript"/>
        </w:rPr>
        <w:t>13,14</w:t>
      </w:r>
      <w:r w:rsidRPr="008800AC">
        <w:rPr>
          <w:color w:val="000000"/>
        </w:rPr>
        <w:t xml:space="preserve"> Given the recognised potential for unrecognised thyroid dysfunction to adversely affect glycaemic control and cardiovascular risk in patients with diabetes, several authors have advocated for systematic thyroid function screening as part of routine diabetes care, a recommendation reinforced by longitudinal data suggesting that baseline thyrotropin level predicts future development of overt thyroid dysfunction in biochemically euthyroid diabetic patients.</w:t>
      </w:r>
      <w:r w:rsidRPr="008800AC">
        <w:rPr>
          <w:color w:val="000000"/>
          <w:vertAlign w:val="superscript"/>
        </w:rPr>
        <w:t>1,12</w:t>
      </w:r>
    </w:p>
    <w:p w:rsidR="00A155D0" w:rsidRPr="008800AC" w:rsidRDefault="00E40ED3" w:rsidP="008800AC">
      <w:pPr>
        <w:spacing w:line="360" w:lineRule="auto"/>
        <w:jc w:val="both"/>
      </w:pPr>
      <w:r w:rsidRPr="008800AC">
        <w:rPr>
          <w:color w:val="000000"/>
        </w:rPr>
        <w:t>This study was undertaken to determine the prevalence, pattern, and clinical predictors of thyroid dysfunction among patients with T2DM attending a tertiary care hospital, with particular attention to its relationship with diabetes duration, glycaemic control, and family history of thyroid disease.</w:t>
      </w:r>
    </w:p>
    <w:p w:rsidR="00A155D0" w:rsidRPr="008800AC" w:rsidRDefault="00E40ED3" w:rsidP="008800AC">
      <w:pPr>
        <w:pStyle w:val="Heading1"/>
        <w:spacing w:line="360" w:lineRule="auto"/>
        <w:jc w:val="both"/>
        <w:rPr>
          <w:sz w:val="20"/>
          <w:szCs w:val="20"/>
        </w:rPr>
      </w:pPr>
      <w:r w:rsidRPr="008800AC">
        <w:rPr>
          <w:b/>
          <w:bCs/>
          <w:color w:val="000000"/>
          <w:sz w:val="20"/>
          <w:szCs w:val="20"/>
        </w:rPr>
        <w:t>Materials and Methods</w:t>
      </w:r>
    </w:p>
    <w:p w:rsidR="00A155D0" w:rsidRPr="008800AC" w:rsidRDefault="00E40ED3" w:rsidP="008800AC">
      <w:pPr>
        <w:pStyle w:val="Heading2"/>
        <w:spacing w:line="360" w:lineRule="auto"/>
        <w:jc w:val="both"/>
        <w:rPr>
          <w:sz w:val="20"/>
          <w:szCs w:val="20"/>
        </w:rPr>
      </w:pPr>
      <w:r w:rsidRPr="008800AC">
        <w:rPr>
          <w:b/>
          <w:bCs/>
          <w:color w:val="000000"/>
          <w:sz w:val="20"/>
          <w:szCs w:val="20"/>
        </w:rPr>
        <w:t>Study Design and Setting</w:t>
      </w:r>
    </w:p>
    <w:p w:rsidR="00A155D0" w:rsidRPr="008800AC" w:rsidRDefault="00E40ED3" w:rsidP="008800AC">
      <w:pPr>
        <w:spacing w:line="360" w:lineRule="auto"/>
        <w:jc w:val="both"/>
      </w:pPr>
      <w:r w:rsidRPr="008800AC">
        <w:rPr>
          <w:color w:val="000000"/>
        </w:rPr>
        <w:t>This was a hospital-based, cross-sectional, analytical study conducted in the Department of General Medicine of a tertiary care teaching hospital over a period of twelve months.</w:t>
      </w:r>
    </w:p>
    <w:p w:rsidR="00A155D0" w:rsidRPr="008800AC" w:rsidRDefault="00E40ED3" w:rsidP="008800AC">
      <w:pPr>
        <w:pStyle w:val="Heading2"/>
        <w:spacing w:line="360" w:lineRule="auto"/>
        <w:jc w:val="both"/>
        <w:rPr>
          <w:sz w:val="20"/>
          <w:szCs w:val="20"/>
        </w:rPr>
      </w:pPr>
      <w:r w:rsidRPr="008800AC">
        <w:rPr>
          <w:b/>
          <w:bCs/>
          <w:color w:val="000000"/>
          <w:sz w:val="20"/>
          <w:szCs w:val="20"/>
        </w:rPr>
        <w:t>Study Population</w:t>
      </w:r>
    </w:p>
    <w:p w:rsidR="00A155D0" w:rsidRPr="008800AC" w:rsidRDefault="00E40ED3" w:rsidP="008800AC">
      <w:pPr>
        <w:spacing w:line="360" w:lineRule="auto"/>
        <w:jc w:val="both"/>
      </w:pPr>
      <w:r w:rsidRPr="008800AC">
        <w:rPr>
          <w:color w:val="000000"/>
        </w:rPr>
        <w:t>A total of 240 adult patients with a confirmed diagnosis of T2DM attending the general medicine outpatient department were enrolled after obtaining informed consent.</w:t>
      </w:r>
    </w:p>
    <w:p w:rsidR="00A155D0" w:rsidRPr="008800AC" w:rsidRDefault="00E40ED3" w:rsidP="008800AC">
      <w:pPr>
        <w:pStyle w:val="Heading2"/>
        <w:spacing w:line="360" w:lineRule="auto"/>
        <w:jc w:val="both"/>
        <w:rPr>
          <w:sz w:val="20"/>
          <w:szCs w:val="20"/>
        </w:rPr>
      </w:pPr>
      <w:r w:rsidRPr="008800AC">
        <w:rPr>
          <w:b/>
          <w:bCs/>
          <w:color w:val="000000"/>
          <w:sz w:val="20"/>
          <w:szCs w:val="20"/>
        </w:rPr>
        <w:t>Inclusion Criteria</w:t>
      </w:r>
    </w:p>
    <w:p w:rsidR="00A155D0" w:rsidRPr="008800AC" w:rsidRDefault="00E40ED3" w:rsidP="008800AC">
      <w:pPr>
        <w:spacing w:line="360" w:lineRule="auto"/>
        <w:jc w:val="both"/>
      </w:pPr>
      <w:r w:rsidRPr="008800AC">
        <w:rPr>
          <w:color w:val="000000"/>
        </w:rPr>
        <w:t>Adults aged 18 years and above with a confirmed diagnosis of T2DM were included.</w:t>
      </w:r>
    </w:p>
    <w:p w:rsidR="00A155D0" w:rsidRPr="008800AC" w:rsidRDefault="00E40ED3" w:rsidP="008800AC">
      <w:pPr>
        <w:pStyle w:val="Heading2"/>
        <w:spacing w:line="360" w:lineRule="auto"/>
        <w:jc w:val="both"/>
        <w:rPr>
          <w:sz w:val="20"/>
          <w:szCs w:val="20"/>
        </w:rPr>
      </w:pPr>
      <w:r w:rsidRPr="008800AC">
        <w:rPr>
          <w:b/>
          <w:bCs/>
          <w:color w:val="000000"/>
          <w:sz w:val="20"/>
          <w:szCs w:val="20"/>
        </w:rPr>
        <w:t>Exclusion Criteria</w:t>
      </w:r>
    </w:p>
    <w:p w:rsidR="00A155D0" w:rsidRPr="008800AC" w:rsidRDefault="00E40ED3" w:rsidP="008800AC">
      <w:pPr>
        <w:spacing w:line="360" w:lineRule="auto"/>
        <w:jc w:val="both"/>
      </w:pPr>
      <w:r w:rsidRPr="008800AC">
        <w:rPr>
          <w:color w:val="000000"/>
        </w:rPr>
        <w:t>Patients with a pre-existing diagnosis of thyroid disease already receiving treatment, pregnancy, acute severe illness, and those on medications known to significantly affect thyroid function tests (e.g., amiodarone, lithium) were excluded.</w:t>
      </w:r>
    </w:p>
    <w:p w:rsidR="00A155D0" w:rsidRPr="008800AC" w:rsidRDefault="00E40ED3" w:rsidP="008800AC">
      <w:pPr>
        <w:pStyle w:val="Heading2"/>
        <w:spacing w:line="360" w:lineRule="auto"/>
        <w:jc w:val="both"/>
        <w:rPr>
          <w:sz w:val="20"/>
          <w:szCs w:val="20"/>
        </w:rPr>
      </w:pPr>
      <w:r w:rsidRPr="008800AC">
        <w:rPr>
          <w:b/>
          <w:bCs/>
          <w:color w:val="000000"/>
          <w:sz w:val="20"/>
          <w:szCs w:val="20"/>
        </w:rPr>
        <w:t>Data Collection</w:t>
      </w:r>
    </w:p>
    <w:p w:rsidR="00A155D0" w:rsidRPr="008800AC" w:rsidRDefault="00E40ED3" w:rsidP="008800AC">
      <w:pPr>
        <w:spacing w:line="360" w:lineRule="auto"/>
        <w:jc w:val="both"/>
      </w:pPr>
      <w:r w:rsidRPr="008800AC">
        <w:rPr>
          <w:color w:val="000000"/>
        </w:rPr>
        <w:t>A structured proforma recorded demographic details, duration of diabetes, family history of thyroid disease, and anthropometric measurements. Venous blood samples were obtained for HbA1c, serum TSH, and free T4. Thyroid status was classified as euthyroid, subclinical hypothyroidism (elevated TSH with normal free T4), overt hypothyroidism (elevated TSH with low free T4), subclinical hyperthyroidism (suppressed TSH with normal free T4), or overt hyperthyroidism (suppressed TSH with elevated free T4), using standard laboratory reference ranges.</w:t>
      </w:r>
    </w:p>
    <w:p w:rsidR="00A155D0" w:rsidRPr="008800AC" w:rsidRDefault="00E40ED3" w:rsidP="008800AC">
      <w:pPr>
        <w:pStyle w:val="Heading2"/>
        <w:spacing w:line="360" w:lineRule="auto"/>
        <w:jc w:val="both"/>
        <w:rPr>
          <w:sz w:val="20"/>
          <w:szCs w:val="20"/>
        </w:rPr>
      </w:pPr>
      <w:r w:rsidRPr="008800AC">
        <w:rPr>
          <w:b/>
          <w:bCs/>
          <w:color w:val="000000"/>
          <w:sz w:val="20"/>
          <w:szCs w:val="20"/>
        </w:rPr>
        <w:t>Statistical Analysis</w:t>
      </w:r>
    </w:p>
    <w:p w:rsidR="00A155D0" w:rsidRPr="008800AC" w:rsidRDefault="00E40ED3" w:rsidP="008800AC">
      <w:pPr>
        <w:spacing w:line="360" w:lineRule="auto"/>
        <w:jc w:val="both"/>
      </w:pPr>
      <w:r w:rsidRPr="008800AC">
        <w:rPr>
          <w:color w:val="000000"/>
        </w:rPr>
        <w:t>Data were analysed using descriptive statistics; continuous variables were expressed as mean ± SD, categorical variables as frequencies and percentages. Odds ratios with 95% confidence intervals were calculated for factors associated with thyroid dysfunction on univariate analysis, and variables significant at p&lt;0.10 were entered into a multivariate logistic regression model. A p-value &lt;0.05 was considered significant.</w:t>
      </w:r>
    </w:p>
    <w:p w:rsidR="00A155D0" w:rsidRPr="008800AC" w:rsidRDefault="00E40ED3" w:rsidP="008800AC">
      <w:pPr>
        <w:pStyle w:val="Heading1"/>
        <w:spacing w:line="360" w:lineRule="auto"/>
        <w:jc w:val="both"/>
        <w:rPr>
          <w:sz w:val="20"/>
          <w:szCs w:val="20"/>
        </w:rPr>
      </w:pPr>
      <w:r w:rsidRPr="008800AC">
        <w:rPr>
          <w:b/>
          <w:bCs/>
          <w:color w:val="000000"/>
          <w:sz w:val="20"/>
          <w:szCs w:val="20"/>
        </w:rPr>
        <w:t>Results</w:t>
      </w:r>
    </w:p>
    <w:p w:rsidR="00A155D0" w:rsidRPr="008800AC" w:rsidRDefault="00E40ED3" w:rsidP="008800AC">
      <w:pPr>
        <w:spacing w:line="360" w:lineRule="auto"/>
        <w:jc w:val="both"/>
      </w:pPr>
      <w:r w:rsidRPr="008800AC">
        <w:rPr>
          <w:color w:val="000000"/>
        </w:rPr>
        <w:t>Of the 240 patients studied, 127 (52.9%) were male and 113 (47.1%) were female. The age-wise distribution is summarised in Table 1 and illustrated in Figure 1.</w:t>
      </w:r>
    </w:p>
    <w:p w:rsidR="00A155D0" w:rsidRPr="008800AC" w:rsidRDefault="00E40ED3" w:rsidP="008800AC">
      <w:pPr>
        <w:spacing w:line="360" w:lineRule="auto"/>
        <w:jc w:val="both"/>
      </w:pPr>
      <w:r w:rsidRPr="008800AC">
        <w:rPr>
          <w:b/>
          <w:bCs/>
          <w:color w:val="000000"/>
        </w:rPr>
        <w:t>Table 1: Age and Gender-wise Distribution of Study Subjects (n = 240)</w:t>
      </w:r>
    </w:p>
    <w:tbl>
      <w:tblPr>
        <w:tblW w:w="8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5"/>
        <w:gridCol w:w="1541"/>
        <w:gridCol w:w="1541"/>
        <w:gridCol w:w="1541"/>
        <w:gridCol w:w="1883"/>
      </w:tblGrid>
      <w:tr w:rsidR="00A155D0" w:rsidRPr="008800AC" w:rsidTr="008800AC">
        <w:trPr>
          <w:trHeight w:val="367"/>
          <w:tblHeader/>
        </w:trPr>
        <w:tc>
          <w:tcPr>
            <w:tcW w:w="2225" w:type="dxa"/>
            <w:shd w:val="clear" w:color="auto" w:fill="E8E8E8"/>
            <w:vAlign w:val="center"/>
          </w:tcPr>
          <w:p w:rsidR="00A155D0" w:rsidRPr="008800AC" w:rsidRDefault="00E40ED3" w:rsidP="008800AC">
            <w:pPr>
              <w:spacing w:line="360" w:lineRule="auto"/>
              <w:jc w:val="center"/>
            </w:pPr>
            <w:r w:rsidRPr="008800AC">
              <w:rPr>
                <w:b/>
                <w:bCs/>
                <w:color w:val="000000"/>
              </w:rPr>
              <w:t>Age Group (years)</w:t>
            </w:r>
          </w:p>
        </w:tc>
        <w:tc>
          <w:tcPr>
            <w:tcW w:w="1541" w:type="dxa"/>
            <w:shd w:val="clear" w:color="auto" w:fill="E8E8E8"/>
            <w:vAlign w:val="center"/>
          </w:tcPr>
          <w:p w:rsidR="00A155D0" w:rsidRPr="008800AC" w:rsidRDefault="00E40ED3" w:rsidP="008800AC">
            <w:pPr>
              <w:spacing w:line="360" w:lineRule="auto"/>
              <w:jc w:val="center"/>
            </w:pPr>
            <w:r w:rsidRPr="008800AC">
              <w:rPr>
                <w:b/>
                <w:bCs/>
                <w:color w:val="000000"/>
              </w:rPr>
              <w:t>Male (n)</w:t>
            </w:r>
          </w:p>
        </w:tc>
        <w:tc>
          <w:tcPr>
            <w:tcW w:w="1541" w:type="dxa"/>
            <w:shd w:val="clear" w:color="auto" w:fill="E8E8E8"/>
            <w:vAlign w:val="center"/>
          </w:tcPr>
          <w:p w:rsidR="00A155D0" w:rsidRPr="008800AC" w:rsidRDefault="00E40ED3" w:rsidP="008800AC">
            <w:pPr>
              <w:spacing w:line="360" w:lineRule="auto"/>
              <w:jc w:val="center"/>
            </w:pPr>
            <w:r w:rsidRPr="008800AC">
              <w:rPr>
                <w:b/>
                <w:bCs/>
                <w:color w:val="000000"/>
              </w:rPr>
              <w:t>Female (n)</w:t>
            </w:r>
          </w:p>
        </w:tc>
        <w:tc>
          <w:tcPr>
            <w:tcW w:w="1541" w:type="dxa"/>
            <w:shd w:val="clear" w:color="auto" w:fill="E8E8E8"/>
            <w:vAlign w:val="center"/>
          </w:tcPr>
          <w:p w:rsidR="00A155D0" w:rsidRPr="008800AC" w:rsidRDefault="00E40ED3" w:rsidP="008800AC">
            <w:pPr>
              <w:spacing w:line="360" w:lineRule="auto"/>
              <w:jc w:val="center"/>
            </w:pPr>
            <w:r w:rsidRPr="008800AC">
              <w:rPr>
                <w:b/>
                <w:bCs/>
                <w:color w:val="000000"/>
              </w:rPr>
              <w:t>Total (n)</w:t>
            </w:r>
          </w:p>
        </w:tc>
        <w:tc>
          <w:tcPr>
            <w:tcW w:w="1883" w:type="dxa"/>
            <w:shd w:val="clear" w:color="auto" w:fill="E8E8E8"/>
            <w:vAlign w:val="center"/>
          </w:tcPr>
          <w:p w:rsidR="00A155D0" w:rsidRPr="008800AC" w:rsidRDefault="00E40ED3" w:rsidP="008800AC">
            <w:pPr>
              <w:spacing w:line="360" w:lineRule="auto"/>
              <w:jc w:val="center"/>
            </w:pPr>
            <w:r w:rsidRPr="008800AC">
              <w:rPr>
                <w:b/>
                <w:bCs/>
                <w:color w:val="000000"/>
              </w:rPr>
              <w:t>Percentage (%)</w:t>
            </w:r>
          </w:p>
        </w:tc>
      </w:tr>
      <w:tr w:rsidR="00A155D0" w:rsidRPr="008800AC" w:rsidTr="008800AC">
        <w:trPr>
          <w:trHeight w:val="367"/>
        </w:trPr>
        <w:tc>
          <w:tcPr>
            <w:tcW w:w="2225" w:type="dxa"/>
            <w:vAlign w:val="center"/>
          </w:tcPr>
          <w:p w:rsidR="00A155D0" w:rsidRPr="008800AC" w:rsidRDefault="00E40ED3" w:rsidP="008800AC">
            <w:pPr>
              <w:spacing w:line="360" w:lineRule="auto"/>
              <w:jc w:val="center"/>
            </w:pPr>
            <w:r w:rsidRPr="008800AC">
              <w:rPr>
                <w:color w:val="000000"/>
              </w:rPr>
              <w:t>20–29</w:t>
            </w:r>
          </w:p>
        </w:tc>
        <w:tc>
          <w:tcPr>
            <w:tcW w:w="1541" w:type="dxa"/>
            <w:vAlign w:val="center"/>
          </w:tcPr>
          <w:p w:rsidR="00A155D0" w:rsidRPr="008800AC" w:rsidRDefault="00E40ED3" w:rsidP="008800AC">
            <w:pPr>
              <w:spacing w:line="360" w:lineRule="auto"/>
              <w:jc w:val="center"/>
            </w:pPr>
            <w:r w:rsidRPr="008800AC">
              <w:rPr>
                <w:color w:val="000000"/>
              </w:rPr>
              <w:t>10</w:t>
            </w:r>
          </w:p>
        </w:tc>
        <w:tc>
          <w:tcPr>
            <w:tcW w:w="1541" w:type="dxa"/>
            <w:vAlign w:val="center"/>
          </w:tcPr>
          <w:p w:rsidR="00A155D0" w:rsidRPr="008800AC" w:rsidRDefault="00E40ED3" w:rsidP="008800AC">
            <w:pPr>
              <w:spacing w:line="360" w:lineRule="auto"/>
              <w:jc w:val="center"/>
            </w:pPr>
            <w:r w:rsidRPr="008800AC">
              <w:rPr>
                <w:color w:val="000000"/>
              </w:rPr>
              <w:t>8</w:t>
            </w:r>
          </w:p>
        </w:tc>
        <w:tc>
          <w:tcPr>
            <w:tcW w:w="1541" w:type="dxa"/>
            <w:vAlign w:val="center"/>
          </w:tcPr>
          <w:p w:rsidR="00A155D0" w:rsidRPr="008800AC" w:rsidRDefault="00E40ED3" w:rsidP="008800AC">
            <w:pPr>
              <w:spacing w:line="360" w:lineRule="auto"/>
              <w:jc w:val="center"/>
            </w:pPr>
            <w:r w:rsidRPr="008800AC">
              <w:rPr>
                <w:color w:val="000000"/>
              </w:rPr>
              <w:t>18</w:t>
            </w:r>
          </w:p>
        </w:tc>
        <w:tc>
          <w:tcPr>
            <w:tcW w:w="1883" w:type="dxa"/>
            <w:vAlign w:val="center"/>
          </w:tcPr>
          <w:p w:rsidR="00A155D0" w:rsidRPr="008800AC" w:rsidRDefault="00E40ED3" w:rsidP="008800AC">
            <w:pPr>
              <w:spacing w:line="360" w:lineRule="auto"/>
              <w:jc w:val="center"/>
            </w:pPr>
            <w:r w:rsidRPr="008800AC">
              <w:rPr>
                <w:color w:val="000000"/>
              </w:rPr>
              <w:t>7.5</w:t>
            </w:r>
          </w:p>
        </w:tc>
      </w:tr>
      <w:tr w:rsidR="00A155D0" w:rsidRPr="008800AC" w:rsidTr="008800AC">
        <w:trPr>
          <w:trHeight w:val="367"/>
        </w:trPr>
        <w:tc>
          <w:tcPr>
            <w:tcW w:w="2225" w:type="dxa"/>
            <w:vAlign w:val="center"/>
          </w:tcPr>
          <w:p w:rsidR="00A155D0" w:rsidRPr="008800AC" w:rsidRDefault="00E40ED3" w:rsidP="008800AC">
            <w:pPr>
              <w:spacing w:line="360" w:lineRule="auto"/>
              <w:jc w:val="center"/>
            </w:pPr>
            <w:r w:rsidRPr="008800AC">
              <w:rPr>
                <w:color w:val="000000"/>
              </w:rPr>
              <w:t>30–39</w:t>
            </w:r>
          </w:p>
        </w:tc>
        <w:tc>
          <w:tcPr>
            <w:tcW w:w="1541" w:type="dxa"/>
            <w:vAlign w:val="center"/>
          </w:tcPr>
          <w:p w:rsidR="00A155D0" w:rsidRPr="008800AC" w:rsidRDefault="00E40ED3" w:rsidP="008800AC">
            <w:pPr>
              <w:spacing w:line="360" w:lineRule="auto"/>
              <w:jc w:val="center"/>
            </w:pPr>
            <w:r w:rsidRPr="008800AC">
              <w:rPr>
                <w:color w:val="000000"/>
              </w:rPr>
              <w:t>22</w:t>
            </w:r>
          </w:p>
        </w:tc>
        <w:tc>
          <w:tcPr>
            <w:tcW w:w="1541" w:type="dxa"/>
            <w:vAlign w:val="center"/>
          </w:tcPr>
          <w:p w:rsidR="00A155D0" w:rsidRPr="008800AC" w:rsidRDefault="00E40ED3" w:rsidP="008800AC">
            <w:pPr>
              <w:spacing w:line="360" w:lineRule="auto"/>
              <w:jc w:val="center"/>
            </w:pPr>
            <w:r w:rsidRPr="008800AC">
              <w:rPr>
                <w:color w:val="000000"/>
              </w:rPr>
              <w:t>20</w:t>
            </w:r>
          </w:p>
        </w:tc>
        <w:tc>
          <w:tcPr>
            <w:tcW w:w="1541" w:type="dxa"/>
            <w:vAlign w:val="center"/>
          </w:tcPr>
          <w:p w:rsidR="00A155D0" w:rsidRPr="008800AC" w:rsidRDefault="00E40ED3" w:rsidP="008800AC">
            <w:pPr>
              <w:spacing w:line="360" w:lineRule="auto"/>
              <w:jc w:val="center"/>
            </w:pPr>
            <w:r w:rsidRPr="008800AC">
              <w:rPr>
                <w:color w:val="000000"/>
              </w:rPr>
              <w:t>42</w:t>
            </w:r>
          </w:p>
        </w:tc>
        <w:tc>
          <w:tcPr>
            <w:tcW w:w="1883" w:type="dxa"/>
            <w:vAlign w:val="center"/>
          </w:tcPr>
          <w:p w:rsidR="00A155D0" w:rsidRPr="008800AC" w:rsidRDefault="00E40ED3" w:rsidP="008800AC">
            <w:pPr>
              <w:spacing w:line="360" w:lineRule="auto"/>
              <w:jc w:val="center"/>
            </w:pPr>
            <w:r w:rsidRPr="008800AC">
              <w:rPr>
                <w:color w:val="000000"/>
              </w:rPr>
              <w:t>17.5</w:t>
            </w:r>
          </w:p>
        </w:tc>
      </w:tr>
      <w:tr w:rsidR="00A155D0" w:rsidRPr="008800AC" w:rsidTr="008800AC">
        <w:trPr>
          <w:trHeight w:val="378"/>
        </w:trPr>
        <w:tc>
          <w:tcPr>
            <w:tcW w:w="2225" w:type="dxa"/>
            <w:vAlign w:val="center"/>
          </w:tcPr>
          <w:p w:rsidR="00A155D0" w:rsidRPr="008800AC" w:rsidRDefault="00E40ED3" w:rsidP="008800AC">
            <w:pPr>
              <w:spacing w:line="360" w:lineRule="auto"/>
              <w:jc w:val="center"/>
            </w:pPr>
            <w:r w:rsidRPr="008800AC">
              <w:rPr>
                <w:color w:val="000000"/>
              </w:rPr>
              <w:t>40–49</w:t>
            </w:r>
          </w:p>
        </w:tc>
        <w:tc>
          <w:tcPr>
            <w:tcW w:w="1541" w:type="dxa"/>
            <w:vAlign w:val="center"/>
          </w:tcPr>
          <w:p w:rsidR="00A155D0" w:rsidRPr="008800AC" w:rsidRDefault="00E40ED3" w:rsidP="008800AC">
            <w:pPr>
              <w:spacing w:line="360" w:lineRule="auto"/>
              <w:jc w:val="center"/>
            </w:pPr>
            <w:r w:rsidRPr="008800AC">
              <w:rPr>
                <w:color w:val="000000"/>
              </w:rPr>
              <w:t>35</w:t>
            </w:r>
          </w:p>
        </w:tc>
        <w:tc>
          <w:tcPr>
            <w:tcW w:w="1541" w:type="dxa"/>
            <w:vAlign w:val="center"/>
          </w:tcPr>
          <w:p w:rsidR="00A155D0" w:rsidRPr="008800AC" w:rsidRDefault="00E40ED3" w:rsidP="008800AC">
            <w:pPr>
              <w:spacing w:line="360" w:lineRule="auto"/>
              <w:jc w:val="center"/>
            </w:pPr>
            <w:r w:rsidRPr="008800AC">
              <w:rPr>
                <w:color w:val="000000"/>
              </w:rPr>
              <w:t>31</w:t>
            </w:r>
          </w:p>
        </w:tc>
        <w:tc>
          <w:tcPr>
            <w:tcW w:w="1541" w:type="dxa"/>
            <w:vAlign w:val="center"/>
          </w:tcPr>
          <w:p w:rsidR="00A155D0" w:rsidRPr="008800AC" w:rsidRDefault="00E40ED3" w:rsidP="008800AC">
            <w:pPr>
              <w:spacing w:line="360" w:lineRule="auto"/>
              <w:jc w:val="center"/>
            </w:pPr>
            <w:r w:rsidRPr="008800AC">
              <w:rPr>
                <w:color w:val="000000"/>
              </w:rPr>
              <w:t>66</w:t>
            </w:r>
          </w:p>
        </w:tc>
        <w:tc>
          <w:tcPr>
            <w:tcW w:w="1883" w:type="dxa"/>
            <w:vAlign w:val="center"/>
          </w:tcPr>
          <w:p w:rsidR="00A155D0" w:rsidRPr="008800AC" w:rsidRDefault="00E40ED3" w:rsidP="008800AC">
            <w:pPr>
              <w:spacing w:line="360" w:lineRule="auto"/>
              <w:jc w:val="center"/>
            </w:pPr>
            <w:r w:rsidRPr="008800AC">
              <w:rPr>
                <w:color w:val="000000"/>
              </w:rPr>
              <w:t>27.5</w:t>
            </w:r>
          </w:p>
        </w:tc>
      </w:tr>
      <w:tr w:rsidR="00A155D0" w:rsidRPr="008800AC" w:rsidTr="008800AC">
        <w:trPr>
          <w:trHeight w:val="367"/>
        </w:trPr>
        <w:tc>
          <w:tcPr>
            <w:tcW w:w="2225" w:type="dxa"/>
            <w:vAlign w:val="center"/>
          </w:tcPr>
          <w:p w:rsidR="00A155D0" w:rsidRPr="008800AC" w:rsidRDefault="00E40ED3" w:rsidP="008800AC">
            <w:pPr>
              <w:spacing w:line="360" w:lineRule="auto"/>
              <w:jc w:val="center"/>
            </w:pPr>
            <w:r w:rsidRPr="008800AC">
              <w:rPr>
                <w:color w:val="000000"/>
              </w:rPr>
              <w:t>50–59</w:t>
            </w:r>
          </w:p>
        </w:tc>
        <w:tc>
          <w:tcPr>
            <w:tcW w:w="1541" w:type="dxa"/>
            <w:vAlign w:val="center"/>
          </w:tcPr>
          <w:p w:rsidR="00A155D0" w:rsidRPr="008800AC" w:rsidRDefault="00E40ED3" w:rsidP="008800AC">
            <w:pPr>
              <w:spacing w:line="360" w:lineRule="auto"/>
              <w:jc w:val="center"/>
            </w:pPr>
            <w:r w:rsidRPr="008800AC">
              <w:rPr>
                <w:color w:val="000000"/>
              </w:rPr>
              <w:t>39</w:t>
            </w:r>
          </w:p>
        </w:tc>
        <w:tc>
          <w:tcPr>
            <w:tcW w:w="1541" w:type="dxa"/>
            <w:vAlign w:val="center"/>
          </w:tcPr>
          <w:p w:rsidR="00A155D0" w:rsidRPr="008800AC" w:rsidRDefault="00E40ED3" w:rsidP="008800AC">
            <w:pPr>
              <w:spacing w:line="360" w:lineRule="auto"/>
              <w:jc w:val="center"/>
            </w:pPr>
            <w:r w:rsidRPr="008800AC">
              <w:rPr>
                <w:color w:val="000000"/>
              </w:rPr>
              <w:t>35</w:t>
            </w:r>
          </w:p>
        </w:tc>
        <w:tc>
          <w:tcPr>
            <w:tcW w:w="1541" w:type="dxa"/>
            <w:vAlign w:val="center"/>
          </w:tcPr>
          <w:p w:rsidR="00A155D0" w:rsidRPr="008800AC" w:rsidRDefault="00E40ED3" w:rsidP="008800AC">
            <w:pPr>
              <w:spacing w:line="360" w:lineRule="auto"/>
              <w:jc w:val="center"/>
            </w:pPr>
            <w:r w:rsidRPr="008800AC">
              <w:rPr>
                <w:color w:val="000000"/>
              </w:rPr>
              <w:t>74</w:t>
            </w:r>
          </w:p>
        </w:tc>
        <w:tc>
          <w:tcPr>
            <w:tcW w:w="1883" w:type="dxa"/>
            <w:vAlign w:val="center"/>
          </w:tcPr>
          <w:p w:rsidR="00A155D0" w:rsidRPr="008800AC" w:rsidRDefault="00E40ED3" w:rsidP="008800AC">
            <w:pPr>
              <w:spacing w:line="360" w:lineRule="auto"/>
              <w:jc w:val="center"/>
            </w:pPr>
            <w:r w:rsidRPr="008800AC">
              <w:rPr>
                <w:color w:val="000000"/>
              </w:rPr>
              <w:t>30.8</w:t>
            </w:r>
          </w:p>
        </w:tc>
      </w:tr>
      <w:tr w:rsidR="00A155D0" w:rsidRPr="008800AC" w:rsidTr="008800AC">
        <w:trPr>
          <w:trHeight w:val="367"/>
        </w:trPr>
        <w:tc>
          <w:tcPr>
            <w:tcW w:w="2225" w:type="dxa"/>
            <w:vAlign w:val="center"/>
          </w:tcPr>
          <w:p w:rsidR="00A155D0" w:rsidRPr="008800AC" w:rsidRDefault="00E40ED3" w:rsidP="008800AC">
            <w:pPr>
              <w:spacing w:line="360" w:lineRule="auto"/>
              <w:jc w:val="center"/>
            </w:pPr>
            <w:r w:rsidRPr="008800AC">
              <w:rPr>
                <w:color w:val="000000"/>
              </w:rPr>
              <w:t>60 and above</w:t>
            </w:r>
          </w:p>
        </w:tc>
        <w:tc>
          <w:tcPr>
            <w:tcW w:w="1541" w:type="dxa"/>
            <w:vAlign w:val="center"/>
          </w:tcPr>
          <w:p w:rsidR="00A155D0" w:rsidRPr="008800AC" w:rsidRDefault="00E40ED3" w:rsidP="008800AC">
            <w:pPr>
              <w:spacing w:line="360" w:lineRule="auto"/>
              <w:jc w:val="center"/>
            </w:pPr>
            <w:r w:rsidRPr="008800AC">
              <w:rPr>
                <w:color w:val="000000"/>
              </w:rPr>
              <w:t>21</w:t>
            </w:r>
          </w:p>
        </w:tc>
        <w:tc>
          <w:tcPr>
            <w:tcW w:w="1541" w:type="dxa"/>
            <w:vAlign w:val="center"/>
          </w:tcPr>
          <w:p w:rsidR="00A155D0" w:rsidRPr="008800AC" w:rsidRDefault="00E40ED3" w:rsidP="008800AC">
            <w:pPr>
              <w:spacing w:line="360" w:lineRule="auto"/>
              <w:jc w:val="center"/>
            </w:pPr>
            <w:r w:rsidRPr="008800AC">
              <w:rPr>
                <w:color w:val="000000"/>
              </w:rPr>
              <w:t>19</w:t>
            </w:r>
          </w:p>
        </w:tc>
        <w:tc>
          <w:tcPr>
            <w:tcW w:w="1541" w:type="dxa"/>
            <w:vAlign w:val="center"/>
          </w:tcPr>
          <w:p w:rsidR="00A155D0" w:rsidRPr="008800AC" w:rsidRDefault="00E40ED3" w:rsidP="008800AC">
            <w:pPr>
              <w:spacing w:line="360" w:lineRule="auto"/>
              <w:jc w:val="center"/>
            </w:pPr>
            <w:r w:rsidRPr="008800AC">
              <w:rPr>
                <w:color w:val="000000"/>
              </w:rPr>
              <w:t>40</w:t>
            </w:r>
          </w:p>
        </w:tc>
        <w:tc>
          <w:tcPr>
            <w:tcW w:w="1883" w:type="dxa"/>
            <w:vAlign w:val="center"/>
          </w:tcPr>
          <w:p w:rsidR="00A155D0" w:rsidRPr="008800AC" w:rsidRDefault="00E40ED3" w:rsidP="008800AC">
            <w:pPr>
              <w:spacing w:line="360" w:lineRule="auto"/>
              <w:jc w:val="center"/>
            </w:pPr>
            <w:r w:rsidRPr="008800AC">
              <w:rPr>
                <w:color w:val="000000"/>
              </w:rPr>
              <w:t>16.7</w:t>
            </w:r>
          </w:p>
        </w:tc>
      </w:tr>
      <w:tr w:rsidR="00A155D0" w:rsidRPr="008800AC" w:rsidTr="008800AC">
        <w:trPr>
          <w:trHeight w:val="367"/>
        </w:trPr>
        <w:tc>
          <w:tcPr>
            <w:tcW w:w="2225" w:type="dxa"/>
            <w:vAlign w:val="center"/>
          </w:tcPr>
          <w:p w:rsidR="00A155D0" w:rsidRPr="008800AC" w:rsidRDefault="00E40ED3" w:rsidP="008800AC">
            <w:pPr>
              <w:spacing w:line="360" w:lineRule="auto"/>
              <w:jc w:val="center"/>
            </w:pPr>
            <w:r w:rsidRPr="008800AC">
              <w:rPr>
                <w:color w:val="000000"/>
              </w:rPr>
              <w:t>Total</w:t>
            </w:r>
          </w:p>
        </w:tc>
        <w:tc>
          <w:tcPr>
            <w:tcW w:w="1541" w:type="dxa"/>
            <w:vAlign w:val="center"/>
          </w:tcPr>
          <w:p w:rsidR="00A155D0" w:rsidRPr="008800AC" w:rsidRDefault="00E40ED3" w:rsidP="008800AC">
            <w:pPr>
              <w:spacing w:line="360" w:lineRule="auto"/>
              <w:jc w:val="center"/>
            </w:pPr>
            <w:r w:rsidRPr="008800AC">
              <w:rPr>
                <w:color w:val="000000"/>
              </w:rPr>
              <w:t>127</w:t>
            </w:r>
          </w:p>
        </w:tc>
        <w:tc>
          <w:tcPr>
            <w:tcW w:w="1541" w:type="dxa"/>
            <w:vAlign w:val="center"/>
          </w:tcPr>
          <w:p w:rsidR="00A155D0" w:rsidRPr="008800AC" w:rsidRDefault="00E40ED3" w:rsidP="008800AC">
            <w:pPr>
              <w:spacing w:line="360" w:lineRule="auto"/>
              <w:jc w:val="center"/>
            </w:pPr>
            <w:r w:rsidRPr="008800AC">
              <w:rPr>
                <w:color w:val="000000"/>
              </w:rPr>
              <w:t>113</w:t>
            </w:r>
          </w:p>
        </w:tc>
        <w:tc>
          <w:tcPr>
            <w:tcW w:w="1541" w:type="dxa"/>
            <w:vAlign w:val="center"/>
          </w:tcPr>
          <w:p w:rsidR="00A155D0" w:rsidRPr="008800AC" w:rsidRDefault="00E40ED3" w:rsidP="008800AC">
            <w:pPr>
              <w:spacing w:line="360" w:lineRule="auto"/>
              <w:jc w:val="center"/>
            </w:pPr>
            <w:r w:rsidRPr="008800AC">
              <w:rPr>
                <w:color w:val="000000"/>
              </w:rPr>
              <w:t>240</w:t>
            </w:r>
          </w:p>
        </w:tc>
        <w:tc>
          <w:tcPr>
            <w:tcW w:w="1883" w:type="dxa"/>
            <w:vAlign w:val="center"/>
          </w:tcPr>
          <w:p w:rsidR="00A155D0" w:rsidRPr="008800AC" w:rsidRDefault="00E40ED3" w:rsidP="008800AC">
            <w:pPr>
              <w:spacing w:line="360" w:lineRule="auto"/>
              <w:jc w:val="center"/>
            </w:pPr>
            <w:r w:rsidRPr="008800AC">
              <w:rPr>
                <w:color w:val="000000"/>
              </w:rPr>
              <w:t>100.0</w:t>
            </w:r>
          </w:p>
        </w:tc>
      </w:tr>
    </w:tbl>
    <w:p w:rsidR="00A155D0" w:rsidRPr="008800AC" w:rsidRDefault="00A155D0" w:rsidP="008800AC">
      <w:pPr>
        <w:spacing w:line="360" w:lineRule="auto"/>
        <w:jc w:val="both"/>
      </w:pPr>
    </w:p>
    <w:p w:rsidR="00A155D0" w:rsidRPr="008800AC" w:rsidRDefault="00E40ED3" w:rsidP="008800AC">
      <w:pPr>
        <w:spacing w:line="360" w:lineRule="auto"/>
        <w:jc w:val="both"/>
      </w:pPr>
      <w:r w:rsidRPr="008800AC">
        <w:rPr>
          <w:noProof/>
          <w:lang w:eastAsia="en-IN"/>
        </w:rPr>
        <w:drawing>
          <wp:inline distT="0" distB="0" distL="0" distR="0" wp14:anchorId="038AA17B" wp14:editId="78619E55">
            <wp:extent cx="4381500" cy="2819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srcRect/>
                    <a:stretch>
                      <a:fillRect/>
                    </a:stretch>
                  </pic:blipFill>
                  <pic:spPr bwMode="auto">
                    <a:xfrm>
                      <a:off x="0" y="0"/>
                      <a:ext cx="4381500" cy="2819400"/>
                    </a:xfrm>
                    <a:prstGeom prst="rect">
                      <a:avLst/>
                    </a:prstGeom>
                  </pic:spPr>
                </pic:pic>
              </a:graphicData>
            </a:graphic>
          </wp:inline>
        </w:drawing>
      </w:r>
    </w:p>
    <w:p w:rsidR="00A155D0" w:rsidRPr="008800AC" w:rsidRDefault="00E40ED3" w:rsidP="008800AC">
      <w:pPr>
        <w:spacing w:line="360" w:lineRule="auto"/>
        <w:jc w:val="both"/>
      </w:pPr>
      <w:r w:rsidRPr="008800AC">
        <w:rPr>
          <w:color w:val="000000"/>
        </w:rPr>
        <w:t>Mean clinical and biochemical parameters are shown in Table 2. Mean TSH was 4.8 ± 3.9 mIU/L across the study population.</w:t>
      </w:r>
    </w:p>
    <w:p w:rsidR="00A155D0" w:rsidRPr="008800AC" w:rsidRDefault="00E40ED3" w:rsidP="008800AC">
      <w:pPr>
        <w:spacing w:line="360" w:lineRule="auto"/>
        <w:jc w:val="both"/>
      </w:pPr>
      <w:r w:rsidRPr="008800AC">
        <w:rPr>
          <w:b/>
          <w:bCs/>
          <w:color w:val="000000"/>
        </w:rPr>
        <w:t>Table 2: Clinical and Biochemical Parameters of Study Participants</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5000"/>
      </w:tblGrid>
      <w:tr w:rsidR="00A155D0" w:rsidRPr="008800AC">
        <w:trPr>
          <w:tblHeader/>
        </w:trPr>
        <w:tc>
          <w:tcPr>
            <w:tcW w:w="5200" w:type="dxa"/>
            <w:shd w:val="clear" w:color="auto" w:fill="E8E8E8"/>
            <w:vAlign w:val="center"/>
          </w:tcPr>
          <w:p w:rsidR="00A155D0" w:rsidRPr="008800AC" w:rsidRDefault="00E40ED3" w:rsidP="008800AC">
            <w:pPr>
              <w:spacing w:line="360" w:lineRule="auto"/>
              <w:jc w:val="center"/>
            </w:pPr>
            <w:r w:rsidRPr="008800AC">
              <w:rPr>
                <w:b/>
                <w:bCs/>
                <w:color w:val="000000"/>
              </w:rPr>
              <w:t>Parameter</w:t>
            </w:r>
          </w:p>
        </w:tc>
        <w:tc>
          <w:tcPr>
            <w:tcW w:w="5000" w:type="dxa"/>
            <w:shd w:val="clear" w:color="auto" w:fill="E8E8E8"/>
            <w:vAlign w:val="center"/>
          </w:tcPr>
          <w:p w:rsidR="00A155D0" w:rsidRPr="008800AC" w:rsidRDefault="00E40ED3" w:rsidP="008800AC">
            <w:pPr>
              <w:spacing w:line="360" w:lineRule="auto"/>
              <w:jc w:val="center"/>
            </w:pPr>
            <w:r w:rsidRPr="008800AC">
              <w:rPr>
                <w:b/>
                <w:bCs/>
                <w:color w:val="000000"/>
              </w:rPr>
              <w:t>Mean ± SD</w:t>
            </w:r>
          </w:p>
        </w:tc>
      </w:tr>
      <w:tr w:rsidR="00A155D0" w:rsidRPr="008800AC">
        <w:tc>
          <w:tcPr>
            <w:tcW w:w="5200" w:type="dxa"/>
            <w:vAlign w:val="center"/>
          </w:tcPr>
          <w:p w:rsidR="00A155D0" w:rsidRPr="008800AC" w:rsidRDefault="00E40ED3" w:rsidP="008800AC">
            <w:pPr>
              <w:spacing w:line="360" w:lineRule="auto"/>
              <w:jc w:val="center"/>
            </w:pPr>
            <w:r w:rsidRPr="008800AC">
              <w:rPr>
                <w:color w:val="000000"/>
              </w:rPr>
              <w:t>Age (years)</w:t>
            </w:r>
          </w:p>
        </w:tc>
        <w:tc>
          <w:tcPr>
            <w:tcW w:w="5000" w:type="dxa"/>
            <w:vAlign w:val="center"/>
          </w:tcPr>
          <w:p w:rsidR="00A155D0" w:rsidRPr="008800AC" w:rsidRDefault="00E40ED3" w:rsidP="008800AC">
            <w:pPr>
              <w:spacing w:line="360" w:lineRule="auto"/>
              <w:jc w:val="center"/>
            </w:pPr>
            <w:r w:rsidRPr="008800AC">
              <w:rPr>
                <w:color w:val="000000"/>
              </w:rPr>
              <w:t>49.8 ± 11.9</w:t>
            </w:r>
          </w:p>
        </w:tc>
      </w:tr>
      <w:tr w:rsidR="00A155D0" w:rsidRPr="008800AC">
        <w:tc>
          <w:tcPr>
            <w:tcW w:w="5200" w:type="dxa"/>
            <w:vAlign w:val="center"/>
          </w:tcPr>
          <w:p w:rsidR="00A155D0" w:rsidRPr="008800AC" w:rsidRDefault="00E40ED3" w:rsidP="008800AC">
            <w:pPr>
              <w:spacing w:line="360" w:lineRule="auto"/>
              <w:jc w:val="center"/>
            </w:pPr>
            <w:r w:rsidRPr="008800AC">
              <w:rPr>
                <w:color w:val="000000"/>
              </w:rPr>
              <w:t>Duration of diabetes (years)</w:t>
            </w:r>
          </w:p>
        </w:tc>
        <w:tc>
          <w:tcPr>
            <w:tcW w:w="5000" w:type="dxa"/>
            <w:vAlign w:val="center"/>
          </w:tcPr>
          <w:p w:rsidR="00A155D0" w:rsidRPr="008800AC" w:rsidRDefault="00E40ED3" w:rsidP="008800AC">
            <w:pPr>
              <w:spacing w:line="360" w:lineRule="auto"/>
              <w:jc w:val="center"/>
            </w:pPr>
            <w:r w:rsidRPr="008800AC">
              <w:rPr>
                <w:color w:val="000000"/>
              </w:rPr>
              <w:t>7.3 ± 5.6</w:t>
            </w:r>
          </w:p>
        </w:tc>
      </w:tr>
      <w:tr w:rsidR="00A155D0" w:rsidRPr="008800AC">
        <w:tc>
          <w:tcPr>
            <w:tcW w:w="5200" w:type="dxa"/>
            <w:vAlign w:val="center"/>
          </w:tcPr>
          <w:p w:rsidR="00A155D0" w:rsidRPr="008800AC" w:rsidRDefault="00E40ED3" w:rsidP="008800AC">
            <w:pPr>
              <w:spacing w:line="360" w:lineRule="auto"/>
              <w:jc w:val="center"/>
            </w:pPr>
            <w:r w:rsidRPr="008800AC">
              <w:rPr>
                <w:color w:val="000000"/>
              </w:rPr>
              <w:t>Body mass index (kg/m²)</w:t>
            </w:r>
          </w:p>
        </w:tc>
        <w:tc>
          <w:tcPr>
            <w:tcW w:w="5000" w:type="dxa"/>
            <w:vAlign w:val="center"/>
          </w:tcPr>
          <w:p w:rsidR="00A155D0" w:rsidRPr="008800AC" w:rsidRDefault="00E40ED3" w:rsidP="008800AC">
            <w:pPr>
              <w:spacing w:line="360" w:lineRule="auto"/>
              <w:jc w:val="center"/>
            </w:pPr>
            <w:r w:rsidRPr="008800AC">
              <w:rPr>
                <w:color w:val="000000"/>
              </w:rPr>
              <w:t>26.1 ± 4.0</w:t>
            </w:r>
          </w:p>
        </w:tc>
      </w:tr>
      <w:tr w:rsidR="00A155D0" w:rsidRPr="008800AC">
        <w:tc>
          <w:tcPr>
            <w:tcW w:w="5200" w:type="dxa"/>
            <w:vAlign w:val="center"/>
          </w:tcPr>
          <w:p w:rsidR="00A155D0" w:rsidRPr="008800AC" w:rsidRDefault="00E40ED3" w:rsidP="008800AC">
            <w:pPr>
              <w:spacing w:line="360" w:lineRule="auto"/>
              <w:jc w:val="center"/>
            </w:pPr>
            <w:r w:rsidRPr="008800AC">
              <w:rPr>
                <w:color w:val="000000"/>
              </w:rPr>
              <w:t>HbA1c (%)</w:t>
            </w:r>
          </w:p>
        </w:tc>
        <w:tc>
          <w:tcPr>
            <w:tcW w:w="5000" w:type="dxa"/>
            <w:vAlign w:val="center"/>
          </w:tcPr>
          <w:p w:rsidR="00A155D0" w:rsidRPr="008800AC" w:rsidRDefault="00E40ED3" w:rsidP="008800AC">
            <w:pPr>
              <w:spacing w:line="360" w:lineRule="auto"/>
              <w:jc w:val="center"/>
            </w:pPr>
            <w:r w:rsidRPr="008800AC">
              <w:rPr>
                <w:color w:val="000000"/>
              </w:rPr>
              <w:t>8.2 ± 1.6</w:t>
            </w:r>
          </w:p>
        </w:tc>
      </w:tr>
      <w:tr w:rsidR="00A155D0" w:rsidRPr="008800AC">
        <w:tc>
          <w:tcPr>
            <w:tcW w:w="5200" w:type="dxa"/>
            <w:vAlign w:val="center"/>
          </w:tcPr>
          <w:p w:rsidR="00A155D0" w:rsidRPr="008800AC" w:rsidRDefault="00E40ED3" w:rsidP="008800AC">
            <w:pPr>
              <w:spacing w:line="360" w:lineRule="auto"/>
              <w:jc w:val="center"/>
            </w:pPr>
            <w:r w:rsidRPr="008800AC">
              <w:rPr>
                <w:color w:val="000000"/>
              </w:rPr>
              <w:t>TSH (mIU/L)</w:t>
            </w:r>
          </w:p>
        </w:tc>
        <w:tc>
          <w:tcPr>
            <w:tcW w:w="5000" w:type="dxa"/>
            <w:vAlign w:val="center"/>
          </w:tcPr>
          <w:p w:rsidR="00A155D0" w:rsidRPr="008800AC" w:rsidRDefault="00E40ED3" w:rsidP="008800AC">
            <w:pPr>
              <w:spacing w:line="360" w:lineRule="auto"/>
              <w:jc w:val="center"/>
            </w:pPr>
            <w:r w:rsidRPr="008800AC">
              <w:rPr>
                <w:color w:val="000000"/>
              </w:rPr>
              <w:t>4.8 ± 3.9</w:t>
            </w:r>
          </w:p>
        </w:tc>
      </w:tr>
      <w:tr w:rsidR="00A155D0" w:rsidRPr="008800AC">
        <w:tc>
          <w:tcPr>
            <w:tcW w:w="5200" w:type="dxa"/>
            <w:vAlign w:val="center"/>
          </w:tcPr>
          <w:p w:rsidR="00A155D0" w:rsidRPr="008800AC" w:rsidRDefault="00E40ED3" w:rsidP="008800AC">
            <w:pPr>
              <w:spacing w:line="360" w:lineRule="auto"/>
              <w:jc w:val="center"/>
            </w:pPr>
            <w:r w:rsidRPr="008800AC">
              <w:rPr>
                <w:color w:val="000000"/>
              </w:rPr>
              <w:t>Free T4 (ng/dL)</w:t>
            </w:r>
          </w:p>
        </w:tc>
        <w:tc>
          <w:tcPr>
            <w:tcW w:w="5000" w:type="dxa"/>
            <w:vAlign w:val="center"/>
          </w:tcPr>
          <w:p w:rsidR="00A155D0" w:rsidRPr="008800AC" w:rsidRDefault="00E40ED3" w:rsidP="008800AC">
            <w:pPr>
              <w:spacing w:line="360" w:lineRule="auto"/>
              <w:jc w:val="center"/>
            </w:pPr>
            <w:r w:rsidRPr="008800AC">
              <w:rPr>
                <w:color w:val="000000"/>
              </w:rPr>
              <w:t>1.1 ± 0.4</w:t>
            </w:r>
          </w:p>
        </w:tc>
      </w:tr>
    </w:tbl>
    <w:p w:rsidR="00A155D0" w:rsidRPr="008800AC" w:rsidRDefault="00A155D0" w:rsidP="008800AC">
      <w:pPr>
        <w:spacing w:line="360" w:lineRule="auto"/>
        <w:jc w:val="both"/>
      </w:pPr>
    </w:p>
    <w:p w:rsidR="00A155D0" w:rsidRPr="008800AC" w:rsidRDefault="00E40ED3" w:rsidP="008800AC">
      <w:pPr>
        <w:spacing w:line="360" w:lineRule="auto"/>
        <w:jc w:val="both"/>
      </w:pPr>
      <w:r w:rsidRPr="008800AC">
        <w:rPr>
          <w:color w:val="000000"/>
        </w:rPr>
        <w:t>The overall prevalence of thyroid dysfunction was 20.8% (50/240; 95% CI 16.1–26.4) (Table 3, Figure 2).</w:t>
      </w:r>
    </w:p>
    <w:p w:rsidR="008800AC" w:rsidRDefault="008800AC" w:rsidP="008800AC">
      <w:pPr>
        <w:spacing w:line="360" w:lineRule="auto"/>
        <w:jc w:val="both"/>
        <w:rPr>
          <w:b/>
          <w:bCs/>
          <w:color w:val="000000"/>
        </w:rPr>
      </w:pPr>
    </w:p>
    <w:p w:rsidR="008800AC" w:rsidRDefault="008800AC" w:rsidP="008800AC">
      <w:pPr>
        <w:spacing w:line="360" w:lineRule="auto"/>
        <w:jc w:val="both"/>
        <w:rPr>
          <w:b/>
          <w:bCs/>
          <w:color w:val="000000"/>
        </w:rPr>
      </w:pPr>
    </w:p>
    <w:p w:rsidR="00A155D0" w:rsidRPr="008800AC" w:rsidRDefault="00E40ED3" w:rsidP="008800AC">
      <w:pPr>
        <w:spacing w:line="360" w:lineRule="auto"/>
        <w:jc w:val="both"/>
      </w:pPr>
      <w:r w:rsidRPr="008800AC">
        <w:rPr>
          <w:b/>
          <w:bCs/>
          <w:color w:val="000000"/>
        </w:rPr>
        <w:t>Table 3: Prevalence of Thyroid Dysfunction Among Study Participants</w:t>
      </w:r>
    </w:p>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74"/>
        <w:gridCol w:w="1525"/>
        <w:gridCol w:w="1525"/>
        <w:gridCol w:w="1525"/>
      </w:tblGrid>
      <w:tr w:rsidR="00A155D0" w:rsidRPr="008800AC" w:rsidTr="008800AC">
        <w:trPr>
          <w:trHeight w:val="371"/>
          <w:tblHeader/>
        </w:trPr>
        <w:tc>
          <w:tcPr>
            <w:tcW w:w="4574" w:type="dxa"/>
            <w:shd w:val="clear" w:color="auto" w:fill="E8E8E8"/>
            <w:vAlign w:val="center"/>
          </w:tcPr>
          <w:p w:rsidR="00A155D0" w:rsidRPr="008800AC" w:rsidRDefault="00E40ED3" w:rsidP="008800AC">
            <w:pPr>
              <w:spacing w:line="360" w:lineRule="auto"/>
              <w:jc w:val="center"/>
            </w:pPr>
            <w:r w:rsidRPr="008800AC">
              <w:rPr>
                <w:b/>
                <w:bCs/>
                <w:color w:val="000000"/>
              </w:rPr>
              <w:t>Thyroid Status</w:t>
            </w:r>
          </w:p>
        </w:tc>
        <w:tc>
          <w:tcPr>
            <w:tcW w:w="1525" w:type="dxa"/>
            <w:shd w:val="clear" w:color="auto" w:fill="E8E8E8"/>
            <w:vAlign w:val="center"/>
          </w:tcPr>
          <w:p w:rsidR="00A155D0" w:rsidRPr="008800AC" w:rsidRDefault="00E40ED3" w:rsidP="008800AC">
            <w:pPr>
              <w:spacing w:line="360" w:lineRule="auto"/>
              <w:jc w:val="center"/>
            </w:pPr>
            <w:r w:rsidRPr="008800AC">
              <w:rPr>
                <w:b/>
                <w:bCs/>
                <w:color w:val="000000"/>
              </w:rPr>
              <w:t>n</w:t>
            </w:r>
          </w:p>
        </w:tc>
        <w:tc>
          <w:tcPr>
            <w:tcW w:w="1525" w:type="dxa"/>
            <w:shd w:val="clear" w:color="auto" w:fill="E8E8E8"/>
            <w:vAlign w:val="center"/>
          </w:tcPr>
          <w:p w:rsidR="00A155D0" w:rsidRPr="008800AC" w:rsidRDefault="00E40ED3" w:rsidP="008800AC">
            <w:pPr>
              <w:spacing w:line="360" w:lineRule="auto"/>
              <w:jc w:val="center"/>
            </w:pPr>
            <w:r w:rsidRPr="008800AC">
              <w:rPr>
                <w:b/>
                <w:bCs/>
                <w:color w:val="000000"/>
              </w:rPr>
              <w:t>Percentage</w:t>
            </w:r>
          </w:p>
        </w:tc>
        <w:tc>
          <w:tcPr>
            <w:tcW w:w="1525" w:type="dxa"/>
            <w:shd w:val="clear" w:color="auto" w:fill="E8E8E8"/>
            <w:vAlign w:val="center"/>
          </w:tcPr>
          <w:p w:rsidR="00A155D0" w:rsidRPr="008800AC" w:rsidRDefault="00E40ED3" w:rsidP="008800AC">
            <w:pPr>
              <w:spacing w:line="360" w:lineRule="auto"/>
              <w:jc w:val="center"/>
            </w:pPr>
            <w:r w:rsidRPr="008800AC">
              <w:rPr>
                <w:b/>
                <w:bCs/>
                <w:color w:val="000000"/>
              </w:rPr>
              <w:t>95% CI</w:t>
            </w:r>
          </w:p>
        </w:tc>
      </w:tr>
      <w:tr w:rsidR="00A155D0" w:rsidRPr="008800AC" w:rsidTr="008800AC">
        <w:trPr>
          <w:trHeight w:val="382"/>
        </w:trPr>
        <w:tc>
          <w:tcPr>
            <w:tcW w:w="4574" w:type="dxa"/>
            <w:vAlign w:val="center"/>
          </w:tcPr>
          <w:p w:rsidR="00A155D0" w:rsidRPr="008800AC" w:rsidRDefault="00E40ED3" w:rsidP="008800AC">
            <w:pPr>
              <w:spacing w:line="360" w:lineRule="auto"/>
              <w:jc w:val="center"/>
            </w:pPr>
            <w:r w:rsidRPr="008800AC">
              <w:rPr>
                <w:color w:val="000000"/>
              </w:rPr>
              <w:t>Thyroid dysfunction present</w:t>
            </w:r>
          </w:p>
        </w:tc>
        <w:tc>
          <w:tcPr>
            <w:tcW w:w="1525" w:type="dxa"/>
            <w:vAlign w:val="center"/>
          </w:tcPr>
          <w:p w:rsidR="00A155D0" w:rsidRPr="008800AC" w:rsidRDefault="00E40ED3" w:rsidP="008800AC">
            <w:pPr>
              <w:spacing w:line="360" w:lineRule="auto"/>
              <w:jc w:val="center"/>
            </w:pPr>
            <w:r w:rsidRPr="008800AC">
              <w:rPr>
                <w:color w:val="000000"/>
              </w:rPr>
              <w:t>50</w:t>
            </w:r>
          </w:p>
        </w:tc>
        <w:tc>
          <w:tcPr>
            <w:tcW w:w="1525" w:type="dxa"/>
            <w:vAlign w:val="center"/>
          </w:tcPr>
          <w:p w:rsidR="00A155D0" w:rsidRPr="008800AC" w:rsidRDefault="00E40ED3" w:rsidP="008800AC">
            <w:pPr>
              <w:spacing w:line="360" w:lineRule="auto"/>
              <w:jc w:val="center"/>
            </w:pPr>
            <w:r w:rsidRPr="008800AC">
              <w:rPr>
                <w:color w:val="000000"/>
              </w:rPr>
              <w:t>20.8%</w:t>
            </w:r>
          </w:p>
        </w:tc>
        <w:tc>
          <w:tcPr>
            <w:tcW w:w="1525" w:type="dxa"/>
            <w:vAlign w:val="center"/>
          </w:tcPr>
          <w:p w:rsidR="00A155D0" w:rsidRPr="008800AC" w:rsidRDefault="00E40ED3" w:rsidP="008800AC">
            <w:pPr>
              <w:spacing w:line="360" w:lineRule="auto"/>
              <w:jc w:val="center"/>
            </w:pPr>
            <w:r w:rsidRPr="008800AC">
              <w:rPr>
                <w:color w:val="000000"/>
              </w:rPr>
              <w:t>16.1 – 26.4</w:t>
            </w:r>
          </w:p>
        </w:tc>
      </w:tr>
      <w:tr w:rsidR="00A155D0" w:rsidRPr="008800AC" w:rsidTr="008800AC">
        <w:trPr>
          <w:trHeight w:val="371"/>
        </w:trPr>
        <w:tc>
          <w:tcPr>
            <w:tcW w:w="4574" w:type="dxa"/>
            <w:vAlign w:val="center"/>
          </w:tcPr>
          <w:p w:rsidR="00A155D0" w:rsidRPr="008800AC" w:rsidRDefault="00E40ED3" w:rsidP="008800AC">
            <w:pPr>
              <w:spacing w:line="360" w:lineRule="auto"/>
              <w:jc w:val="center"/>
            </w:pPr>
            <w:r w:rsidRPr="008800AC">
              <w:rPr>
                <w:color w:val="000000"/>
              </w:rPr>
              <w:t>Euthyroid</w:t>
            </w:r>
          </w:p>
        </w:tc>
        <w:tc>
          <w:tcPr>
            <w:tcW w:w="1525" w:type="dxa"/>
            <w:vAlign w:val="center"/>
          </w:tcPr>
          <w:p w:rsidR="00A155D0" w:rsidRPr="008800AC" w:rsidRDefault="00E40ED3" w:rsidP="008800AC">
            <w:pPr>
              <w:spacing w:line="360" w:lineRule="auto"/>
              <w:jc w:val="center"/>
            </w:pPr>
            <w:r w:rsidRPr="008800AC">
              <w:rPr>
                <w:color w:val="000000"/>
              </w:rPr>
              <w:t>190</w:t>
            </w:r>
          </w:p>
        </w:tc>
        <w:tc>
          <w:tcPr>
            <w:tcW w:w="1525" w:type="dxa"/>
            <w:vAlign w:val="center"/>
          </w:tcPr>
          <w:p w:rsidR="00A155D0" w:rsidRPr="008800AC" w:rsidRDefault="00E40ED3" w:rsidP="008800AC">
            <w:pPr>
              <w:spacing w:line="360" w:lineRule="auto"/>
              <w:jc w:val="center"/>
            </w:pPr>
            <w:r w:rsidRPr="008800AC">
              <w:rPr>
                <w:color w:val="000000"/>
              </w:rPr>
              <w:t>79.2%</w:t>
            </w:r>
          </w:p>
        </w:tc>
        <w:tc>
          <w:tcPr>
            <w:tcW w:w="1525" w:type="dxa"/>
            <w:vAlign w:val="center"/>
          </w:tcPr>
          <w:p w:rsidR="00A155D0" w:rsidRPr="008800AC" w:rsidRDefault="00E40ED3" w:rsidP="008800AC">
            <w:pPr>
              <w:spacing w:line="360" w:lineRule="auto"/>
              <w:jc w:val="center"/>
            </w:pPr>
            <w:r w:rsidRPr="008800AC">
              <w:rPr>
                <w:color w:val="000000"/>
              </w:rPr>
              <w:t>73.6 – 83.9</w:t>
            </w:r>
          </w:p>
        </w:tc>
      </w:tr>
      <w:tr w:rsidR="00A155D0" w:rsidRPr="008800AC" w:rsidTr="008800AC">
        <w:trPr>
          <w:trHeight w:val="371"/>
        </w:trPr>
        <w:tc>
          <w:tcPr>
            <w:tcW w:w="4574" w:type="dxa"/>
            <w:vAlign w:val="center"/>
          </w:tcPr>
          <w:p w:rsidR="00A155D0" w:rsidRPr="008800AC" w:rsidRDefault="00E40ED3" w:rsidP="008800AC">
            <w:pPr>
              <w:spacing w:line="360" w:lineRule="auto"/>
              <w:jc w:val="center"/>
            </w:pPr>
            <w:r w:rsidRPr="008800AC">
              <w:rPr>
                <w:color w:val="000000"/>
              </w:rPr>
              <w:t>Total</w:t>
            </w:r>
          </w:p>
        </w:tc>
        <w:tc>
          <w:tcPr>
            <w:tcW w:w="1525" w:type="dxa"/>
            <w:vAlign w:val="center"/>
          </w:tcPr>
          <w:p w:rsidR="00A155D0" w:rsidRPr="008800AC" w:rsidRDefault="00E40ED3" w:rsidP="008800AC">
            <w:pPr>
              <w:spacing w:line="360" w:lineRule="auto"/>
              <w:jc w:val="center"/>
            </w:pPr>
            <w:r w:rsidRPr="008800AC">
              <w:rPr>
                <w:color w:val="000000"/>
              </w:rPr>
              <w:t>240</w:t>
            </w:r>
          </w:p>
        </w:tc>
        <w:tc>
          <w:tcPr>
            <w:tcW w:w="1525" w:type="dxa"/>
            <w:vAlign w:val="center"/>
          </w:tcPr>
          <w:p w:rsidR="00A155D0" w:rsidRPr="008800AC" w:rsidRDefault="00E40ED3" w:rsidP="008800AC">
            <w:pPr>
              <w:spacing w:line="360" w:lineRule="auto"/>
              <w:jc w:val="center"/>
            </w:pPr>
            <w:r w:rsidRPr="008800AC">
              <w:rPr>
                <w:color w:val="000000"/>
              </w:rPr>
              <w:t>100.0%</w:t>
            </w:r>
          </w:p>
        </w:tc>
        <w:tc>
          <w:tcPr>
            <w:tcW w:w="1525" w:type="dxa"/>
            <w:vAlign w:val="center"/>
          </w:tcPr>
          <w:p w:rsidR="00A155D0" w:rsidRPr="008800AC" w:rsidRDefault="00E40ED3" w:rsidP="008800AC">
            <w:pPr>
              <w:spacing w:line="360" w:lineRule="auto"/>
              <w:jc w:val="center"/>
            </w:pPr>
            <w:r w:rsidRPr="008800AC">
              <w:rPr>
                <w:color w:val="000000"/>
              </w:rPr>
              <w:t>—</w:t>
            </w:r>
          </w:p>
        </w:tc>
      </w:tr>
    </w:tbl>
    <w:p w:rsidR="00A155D0" w:rsidRPr="008800AC" w:rsidRDefault="00A155D0" w:rsidP="008800AC">
      <w:pPr>
        <w:spacing w:line="360" w:lineRule="auto"/>
        <w:jc w:val="both"/>
      </w:pPr>
    </w:p>
    <w:p w:rsidR="00A155D0" w:rsidRPr="008800AC" w:rsidRDefault="00E40ED3" w:rsidP="008800AC">
      <w:pPr>
        <w:spacing w:line="360" w:lineRule="auto"/>
        <w:jc w:val="both"/>
      </w:pPr>
      <w:r w:rsidRPr="008800AC">
        <w:rPr>
          <w:noProof/>
          <w:lang w:eastAsia="en-IN"/>
        </w:rPr>
        <w:drawing>
          <wp:inline distT="0" distB="0" distL="0" distR="0" wp14:anchorId="54041AFD" wp14:editId="3C8C3C58">
            <wp:extent cx="2304286" cy="1774300"/>
            <wp:effectExtent l="0" t="0" r="0" b="0"/>
            <wp:docPr id="1983680776" name="Picture 1983680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srcRect/>
                    <a:stretch>
                      <a:fillRect/>
                    </a:stretch>
                  </pic:blipFill>
                  <pic:spPr bwMode="auto">
                    <a:xfrm>
                      <a:off x="0" y="0"/>
                      <a:ext cx="2306468" cy="1775980"/>
                    </a:xfrm>
                    <a:prstGeom prst="rect">
                      <a:avLst/>
                    </a:prstGeom>
                  </pic:spPr>
                </pic:pic>
              </a:graphicData>
            </a:graphic>
          </wp:inline>
        </w:drawing>
      </w:r>
    </w:p>
    <w:p w:rsidR="00A155D0" w:rsidRPr="008800AC" w:rsidRDefault="00E40ED3" w:rsidP="008800AC">
      <w:pPr>
        <w:spacing w:line="360" w:lineRule="auto"/>
        <w:jc w:val="both"/>
      </w:pPr>
      <w:r w:rsidRPr="008800AC">
        <w:rPr>
          <w:color w:val="000000"/>
        </w:rPr>
        <w:t>Subclinical hypothyroidism was the most common pattern (48.0% of cases), followed by overt hypothyroidism (32.0%), subclinical hyperthyroidism (12.0%), and overt hyperthyroidism (8.0%) (Table 4, Figure 3).</w:t>
      </w:r>
    </w:p>
    <w:p w:rsidR="00A155D0" w:rsidRPr="008800AC" w:rsidRDefault="00E40ED3" w:rsidP="008800AC">
      <w:pPr>
        <w:spacing w:line="360" w:lineRule="auto"/>
        <w:jc w:val="both"/>
      </w:pPr>
      <w:r w:rsidRPr="008800AC">
        <w:rPr>
          <w:b/>
          <w:bCs/>
          <w:color w:val="000000"/>
        </w:rPr>
        <w:t>Table 4: Distribution by Type of Thyroid Dysfunction (n = 50)</w:t>
      </w:r>
    </w:p>
    <w:tbl>
      <w:tblPr>
        <w:tblW w:w="7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70"/>
        <w:gridCol w:w="1589"/>
        <w:gridCol w:w="1589"/>
      </w:tblGrid>
      <w:tr w:rsidR="00A155D0" w:rsidRPr="008800AC" w:rsidTr="008800AC">
        <w:trPr>
          <w:trHeight w:val="367"/>
          <w:tblHeader/>
        </w:trPr>
        <w:tc>
          <w:tcPr>
            <w:tcW w:w="3870" w:type="dxa"/>
            <w:shd w:val="clear" w:color="auto" w:fill="E8E8E8"/>
            <w:vAlign w:val="center"/>
          </w:tcPr>
          <w:p w:rsidR="00A155D0" w:rsidRPr="008800AC" w:rsidRDefault="00E40ED3" w:rsidP="008800AC">
            <w:pPr>
              <w:spacing w:line="360" w:lineRule="auto"/>
              <w:jc w:val="center"/>
            </w:pPr>
            <w:r w:rsidRPr="008800AC">
              <w:rPr>
                <w:b/>
                <w:bCs/>
                <w:color w:val="000000"/>
              </w:rPr>
              <w:t>Type of Thyroid Dysfunction</w:t>
            </w:r>
          </w:p>
        </w:tc>
        <w:tc>
          <w:tcPr>
            <w:tcW w:w="1589" w:type="dxa"/>
            <w:shd w:val="clear" w:color="auto" w:fill="E8E8E8"/>
            <w:vAlign w:val="center"/>
          </w:tcPr>
          <w:p w:rsidR="00A155D0" w:rsidRPr="008800AC" w:rsidRDefault="00E40ED3" w:rsidP="008800AC">
            <w:pPr>
              <w:spacing w:line="360" w:lineRule="auto"/>
              <w:jc w:val="center"/>
            </w:pPr>
            <w:r w:rsidRPr="008800AC">
              <w:rPr>
                <w:b/>
                <w:bCs/>
                <w:color w:val="000000"/>
              </w:rPr>
              <w:t>n</w:t>
            </w:r>
          </w:p>
        </w:tc>
        <w:tc>
          <w:tcPr>
            <w:tcW w:w="1589" w:type="dxa"/>
            <w:shd w:val="clear" w:color="auto" w:fill="E8E8E8"/>
            <w:vAlign w:val="center"/>
          </w:tcPr>
          <w:p w:rsidR="00A155D0" w:rsidRPr="008800AC" w:rsidRDefault="00E40ED3" w:rsidP="008800AC">
            <w:pPr>
              <w:spacing w:line="360" w:lineRule="auto"/>
              <w:jc w:val="center"/>
            </w:pPr>
            <w:r w:rsidRPr="008800AC">
              <w:rPr>
                <w:b/>
                <w:bCs/>
                <w:color w:val="000000"/>
              </w:rPr>
              <w:t>Percentage of Cases (%)</w:t>
            </w:r>
          </w:p>
        </w:tc>
      </w:tr>
      <w:tr w:rsidR="00A155D0" w:rsidRPr="008800AC" w:rsidTr="008800AC">
        <w:trPr>
          <w:trHeight w:val="367"/>
        </w:trPr>
        <w:tc>
          <w:tcPr>
            <w:tcW w:w="3870" w:type="dxa"/>
            <w:vAlign w:val="center"/>
          </w:tcPr>
          <w:p w:rsidR="00A155D0" w:rsidRPr="008800AC" w:rsidRDefault="00E40ED3" w:rsidP="008800AC">
            <w:pPr>
              <w:spacing w:line="360" w:lineRule="auto"/>
              <w:jc w:val="center"/>
            </w:pPr>
            <w:r w:rsidRPr="008800AC">
              <w:rPr>
                <w:color w:val="000000"/>
              </w:rPr>
              <w:t>Subclinical hypothyroidism</w:t>
            </w:r>
          </w:p>
        </w:tc>
        <w:tc>
          <w:tcPr>
            <w:tcW w:w="1589" w:type="dxa"/>
            <w:vAlign w:val="center"/>
          </w:tcPr>
          <w:p w:rsidR="00A155D0" w:rsidRPr="008800AC" w:rsidRDefault="00E40ED3" w:rsidP="008800AC">
            <w:pPr>
              <w:spacing w:line="360" w:lineRule="auto"/>
              <w:jc w:val="center"/>
            </w:pPr>
            <w:r w:rsidRPr="008800AC">
              <w:rPr>
                <w:color w:val="000000"/>
              </w:rPr>
              <w:t>24</w:t>
            </w:r>
          </w:p>
        </w:tc>
        <w:tc>
          <w:tcPr>
            <w:tcW w:w="1589" w:type="dxa"/>
            <w:vAlign w:val="center"/>
          </w:tcPr>
          <w:p w:rsidR="00A155D0" w:rsidRPr="008800AC" w:rsidRDefault="00E40ED3" w:rsidP="008800AC">
            <w:pPr>
              <w:spacing w:line="360" w:lineRule="auto"/>
              <w:jc w:val="center"/>
            </w:pPr>
            <w:r w:rsidRPr="008800AC">
              <w:rPr>
                <w:color w:val="000000"/>
              </w:rPr>
              <w:t>48.0</w:t>
            </w:r>
          </w:p>
        </w:tc>
      </w:tr>
      <w:tr w:rsidR="00A155D0" w:rsidRPr="008800AC" w:rsidTr="008800AC">
        <w:trPr>
          <w:trHeight w:val="377"/>
        </w:trPr>
        <w:tc>
          <w:tcPr>
            <w:tcW w:w="3870" w:type="dxa"/>
            <w:vAlign w:val="center"/>
          </w:tcPr>
          <w:p w:rsidR="00A155D0" w:rsidRPr="008800AC" w:rsidRDefault="00E40ED3" w:rsidP="008800AC">
            <w:pPr>
              <w:spacing w:line="360" w:lineRule="auto"/>
              <w:jc w:val="center"/>
            </w:pPr>
            <w:r w:rsidRPr="008800AC">
              <w:rPr>
                <w:color w:val="000000"/>
              </w:rPr>
              <w:t>Overt hypothyroidism</w:t>
            </w:r>
          </w:p>
        </w:tc>
        <w:tc>
          <w:tcPr>
            <w:tcW w:w="1589" w:type="dxa"/>
            <w:vAlign w:val="center"/>
          </w:tcPr>
          <w:p w:rsidR="00A155D0" w:rsidRPr="008800AC" w:rsidRDefault="00E40ED3" w:rsidP="008800AC">
            <w:pPr>
              <w:spacing w:line="360" w:lineRule="auto"/>
              <w:jc w:val="center"/>
            </w:pPr>
            <w:r w:rsidRPr="008800AC">
              <w:rPr>
                <w:color w:val="000000"/>
              </w:rPr>
              <w:t>16</w:t>
            </w:r>
          </w:p>
        </w:tc>
        <w:tc>
          <w:tcPr>
            <w:tcW w:w="1589" w:type="dxa"/>
            <w:vAlign w:val="center"/>
          </w:tcPr>
          <w:p w:rsidR="00A155D0" w:rsidRPr="008800AC" w:rsidRDefault="00E40ED3" w:rsidP="008800AC">
            <w:pPr>
              <w:spacing w:line="360" w:lineRule="auto"/>
              <w:jc w:val="center"/>
            </w:pPr>
            <w:r w:rsidRPr="008800AC">
              <w:rPr>
                <w:color w:val="000000"/>
              </w:rPr>
              <w:t>32.0</w:t>
            </w:r>
          </w:p>
        </w:tc>
      </w:tr>
      <w:tr w:rsidR="00A155D0" w:rsidRPr="008800AC" w:rsidTr="008800AC">
        <w:trPr>
          <w:trHeight w:val="367"/>
        </w:trPr>
        <w:tc>
          <w:tcPr>
            <w:tcW w:w="3870" w:type="dxa"/>
            <w:vAlign w:val="center"/>
          </w:tcPr>
          <w:p w:rsidR="00A155D0" w:rsidRPr="008800AC" w:rsidRDefault="00E40ED3" w:rsidP="008800AC">
            <w:pPr>
              <w:spacing w:line="360" w:lineRule="auto"/>
              <w:jc w:val="center"/>
            </w:pPr>
            <w:r w:rsidRPr="008800AC">
              <w:rPr>
                <w:color w:val="000000"/>
              </w:rPr>
              <w:t>Subclinical hyperthyroidism</w:t>
            </w:r>
          </w:p>
        </w:tc>
        <w:tc>
          <w:tcPr>
            <w:tcW w:w="1589" w:type="dxa"/>
            <w:vAlign w:val="center"/>
          </w:tcPr>
          <w:p w:rsidR="00A155D0" w:rsidRPr="008800AC" w:rsidRDefault="00E40ED3" w:rsidP="008800AC">
            <w:pPr>
              <w:spacing w:line="360" w:lineRule="auto"/>
              <w:jc w:val="center"/>
            </w:pPr>
            <w:r w:rsidRPr="008800AC">
              <w:rPr>
                <w:color w:val="000000"/>
              </w:rPr>
              <w:t>6</w:t>
            </w:r>
          </w:p>
        </w:tc>
        <w:tc>
          <w:tcPr>
            <w:tcW w:w="1589" w:type="dxa"/>
            <w:vAlign w:val="center"/>
          </w:tcPr>
          <w:p w:rsidR="00A155D0" w:rsidRPr="008800AC" w:rsidRDefault="00E40ED3" w:rsidP="008800AC">
            <w:pPr>
              <w:spacing w:line="360" w:lineRule="auto"/>
              <w:jc w:val="center"/>
            </w:pPr>
            <w:r w:rsidRPr="008800AC">
              <w:rPr>
                <w:color w:val="000000"/>
              </w:rPr>
              <w:t>12.0</w:t>
            </w:r>
          </w:p>
        </w:tc>
      </w:tr>
      <w:tr w:rsidR="00A155D0" w:rsidRPr="008800AC" w:rsidTr="008800AC">
        <w:trPr>
          <w:trHeight w:val="367"/>
        </w:trPr>
        <w:tc>
          <w:tcPr>
            <w:tcW w:w="3870" w:type="dxa"/>
            <w:vAlign w:val="center"/>
          </w:tcPr>
          <w:p w:rsidR="00A155D0" w:rsidRPr="008800AC" w:rsidRDefault="00E40ED3" w:rsidP="008800AC">
            <w:pPr>
              <w:spacing w:line="360" w:lineRule="auto"/>
              <w:jc w:val="center"/>
            </w:pPr>
            <w:r w:rsidRPr="008800AC">
              <w:rPr>
                <w:color w:val="000000"/>
              </w:rPr>
              <w:t>Overt hyperthyroidism</w:t>
            </w:r>
          </w:p>
        </w:tc>
        <w:tc>
          <w:tcPr>
            <w:tcW w:w="1589" w:type="dxa"/>
            <w:vAlign w:val="center"/>
          </w:tcPr>
          <w:p w:rsidR="00A155D0" w:rsidRPr="008800AC" w:rsidRDefault="00E40ED3" w:rsidP="008800AC">
            <w:pPr>
              <w:spacing w:line="360" w:lineRule="auto"/>
              <w:jc w:val="center"/>
            </w:pPr>
            <w:r w:rsidRPr="008800AC">
              <w:rPr>
                <w:color w:val="000000"/>
              </w:rPr>
              <w:t>4</w:t>
            </w:r>
          </w:p>
        </w:tc>
        <w:tc>
          <w:tcPr>
            <w:tcW w:w="1589" w:type="dxa"/>
            <w:vAlign w:val="center"/>
          </w:tcPr>
          <w:p w:rsidR="00A155D0" w:rsidRPr="008800AC" w:rsidRDefault="00E40ED3" w:rsidP="008800AC">
            <w:pPr>
              <w:spacing w:line="360" w:lineRule="auto"/>
              <w:jc w:val="center"/>
            </w:pPr>
            <w:r w:rsidRPr="008800AC">
              <w:rPr>
                <w:color w:val="000000"/>
              </w:rPr>
              <w:t>8.0</w:t>
            </w:r>
          </w:p>
        </w:tc>
      </w:tr>
      <w:tr w:rsidR="00A155D0" w:rsidRPr="008800AC" w:rsidTr="008800AC">
        <w:trPr>
          <w:trHeight w:val="367"/>
        </w:trPr>
        <w:tc>
          <w:tcPr>
            <w:tcW w:w="3870" w:type="dxa"/>
            <w:vAlign w:val="center"/>
          </w:tcPr>
          <w:p w:rsidR="00A155D0" w:rsidRPr="008800AC" w:rsidRDefault="00E40ED3" w:rsidP="008800AC">
            <w:pPr>
              <w:spacing w:line="360" w:lineRule="auto"/>
              <w:jc w:val="center"/>
            </w:pPr>
            <w:r w:rsidRPr="008800AC">
              <w:rPr>
                <w:color w:val="000000"/>
              </w:rPr>
              <w:t>Total</w:t>
            </w:r>
          </w:p>
        </w:tc>
        <w:tc>
          <w:tcPr>
            <w:tcW w:w="1589" w:type="dxa"/>
            <w:vAlign w:val="center"/>
          </w:tcPr>
          <w:p w:rsidR="00A155D0" w:rsidRPr="008800AC" w:rsidRDefault="00E40ED3" w:rsidP="008800AC">
            <w:pPr>
              <w:spacing w:line="360" w:lineRule="auto"/>
              <w:jc w:val="center"/>
            </w:pPr>
            <w:r w:rsidRPr="008800AC">
              <w:rPr>
                <w:color w:val="000000"/>
              </w:rPr>
              <w:t>50</w:t>
            </w:r>
          </w:p>
        </w:tc>
        <w:tc>
          <w:tcPr>
            <w:tcW w:w="1589" w:type="dxa"/>
            <w:vAlign w:val="center"/>
          </w:tcPr>
          <w:p w:rsidR="00A155D0" w:rsidRPr="008800AC" w:rsidRDefault="00E40ED3" w:rsidP="008800AC">
            <w:pPr>
              <w:spacing w:line="360" w:lineRule="auto"/>
              <w:jc w:val="center"/>
            </w:pPr>
            <w:r w:rsidRPr="008800AC">
              <w:rPr>
                <w:color w:val="000000"/>
              </w:rPr>
              <w:t>100.0</w:t>
            </w:r>
          </w:p>
        </w:tc>
      </w:tr>
    </w:tbl>
    <w:p w:rsidR="00A155D0" w:rsidRPr="008800AC" w:rsidRDefault="00A155D0" w:rsidP="008800AC">
      <w:pPr>
        <w:spacing w:line="360" w:lineRule="auto"/>
        <w:jc w:val="both"/>
      </w:pPr>
    </w:p>
    <w:p w:rsidR="00A155D0" w:rsidRPr="008800AC" w:rsidRDefault="00E40ED3" w:rsidP="008800AC">
      <w:pPr>
        <w:spacing w:line="360" w:lineRule="auto"/>
        <w:jc w:val="both"/>
      </w:pPr>
      <w:r w:rsidRPr="008800AC">
        <w:rPr>
          <w:noProof/>
          <w:lang w:eastAsia="en-IN"/>
        </w:rPr>
        <w:drawing>
          <wp:inline distT="0" distB="0" distL="0" distR="0" wp14:anchorId="6AF3CD0A" wp14:editId="260DE701">
            <wp:extent cx="3014406" cy="1834856"/>
            <wp:effectExtent l="0" t="0" r="0" b="0"/>
            <wp:docPr id="1013947129" name="Picture 1013947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srcRect/>
                    <a:stretch>
                      <a:fillRect/>
                    </a:stretch>
                  </pic:blipFill>
                  <pic:spPr bwMode="auto">
                    <a:xfrm>
                      <a:off x="0" y="0"/>
                      <a:ext cx="3017260" cy="1836593"/>
                    </a:xfrm>
                    <a:prstGeom prst="rect">
                      <a:avLst/>
                    </a:prstGeom>
                  </pic:spPr>
                </pic:pic>
              </a:graphicData>
            </a:graphic>
          </wp:inline>
        </w:drawing>
      </w:r>
    </w:p>
    <w:p w:rsidR="00A155D0" w:rsidRPr="008800AC" w:rsidRDefault="00E40ED3" w:rsidP="008800AC">
      <w:pPr>
        <w:spacing w:line="360" w:lineRule="auto"/>
        <w:jc w:val="both"/>
      </w:pPr>
      <w:r w:rsidRPr="008800AC">
        <w:rPr>
          <w:color w:val="000000"/>
        </w:rPr>
        <w:t>Prevalence of thyroid dysfunction increased progressively with duration of diabetes, from 10.0% in patients with disease duration under 5 years to 35.7% in those with duration exceeding 15 years (Table 5, Figure 4).</w:t>
      </w:r>
    </w:p>
    <w:p w:rsidR="008800AC" w:rsidRDefault="008800AC" w:rsidP="008800AC">
      <w:pPr>
        <w:spacing w:line="360" w:lineRule="auto"/>
        <w:jc w:val="both"/>
        <w:rPr>
          <w:b/>
          <w:bCs/>
          <w:color w:val="000000"/>
        </w:rPr>
      </w:pPr>
    </w:p>
    <w:p w:rsidR="008800AC" w:rsidRDefault="008800AC" w:rsidP="008800AC">
      <w:pPr>
        <w:spacing w:line="360" w:lineRule="auto"/>
        <w:jc w:val="both"/>
        <w:rPr>
          <w:b/>
          <w:bCs/>
          <w:color w:val="000000"/>
        </w:rPr>
      </w:pPr>
    </w:p>
    <w:p w:rsidR="008800AC" w:rsidRDefault="008800AC" w:rsidP="008800AC">
      <w:pPr>
        <w:spacing w:line="360" w:lineRule="auto"/>
        <w:jc w:val="both"/>
        <w:rPr>
          <w:b/>
          <w:bCs/>
          <w:color w:val="000000"/>
        </w:rPr>
      </w:pPr>
    </w:p>
    <w:p w:rsidR="00A155D0" w:rsidRPr="008800AC" w:rsidRDefault="00E40ED3" w:rsidP="008800AC">
      <w:pPr>
        <w:spacing w:line="360" w:lineRule="auto"/>
        <w:jc w:val="both"/>
      </w:pPr>
      <w:r w:rsidRPr="008800AC">
        <w:rPr>
          <w:b/>
          <w:bCs/>
          <w:color w:val="000000"/>
        </w:rPr>
        <w:t>Table 5: Prevalence of Thyroid Dysfunction by Duration of Diabetes</w:t>
      </w:r>
    </w:p>
    <w:tbl>
      <w:tblPr>
        <w:tblW w:w="7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7"/>
        <w:gridCol w:w="1955"/>
        <w:gridCol w:w="3008"/>
      </w:tblGrid>
      <w:tr w:rsidR="00A155D0" w:rsidRPr="008800AC" w:rsidTr="008800AC">
        <w:trPr>
          <w:trHeight w:val="365"/>
          <w:tblHeader/>
        </w:trPr>
        <w:tc>
          <w:tcPr>
            <w:tcW w:w="2707" w:type="dxa"/>
            <w:shd w:val="clear" w:color="auto" w:fill="E8E8E8"/>
            <w:vAlign w:val="center"/>
          </w:tcPr>
          <w:p w:rsidR="00A155D0" w:rsidRPr="008800AC" w:rsidRDefault="00E40ED3" w:rsidP="008800AC">
            <w:pPr>
              <w:spacing w:line="360" w:lineRule="auto"/>
              <w:jc w:val="center"/>
            </w:pPr>
            <w:r w:rsidRPr="008800AC">
              <w:rPr>
                <w:b/>
                <w:bCs/>
                <w:color w:val="000000"/>
              </w:rPr>
              <w:t>Duration of Diabetes (years)</w:t>
            </w:r>
          </w:p>
        </w:tc>
        <w:tc>
          <w:tcPr>
            <w:tcW w:w="1955" w:type="dxa"/>
            <w:shd w:val="clear" w:color="auto" w:fill="E8E8E8"/>
            <w:vAlign w:val="center"/>
          </w:tcPr>
          <w:p w:rsidR="00A155D0" w:rsidRPr="008800AC" w:rsidRDefault="00E40ED3" w:rsidP="008800AC">
            <w:pPr>
              <w:spacing w:line="360" w:lineRule="auto"/>
              <w:jc w:val="center"/>
            </w:pPr>
            <w:r w:rsidRPr="008800AC">
              <w:rPr>
                <w:b/>
                <w:bCs/>
                <w:color w:val="000000"/>
              </w:rPr>
              <w:t>Total (n)</w:t>
            </w:r>
          </w:p>
        </w:tc>
        <w:tc>
          <w:tcPr>
            <w:tcW w:w="3008" w:type="dxa"/>
            <w:shd w:val="clear" w:color="auto" w:fill="E8E8E8"/>
            <w:vAlign w:val="center"/>
          </w:tcPr>
          <w:p w:rsidR="00A155D0" w:rsidRPr="008800AC" w:rsidRDefault="00E40ED3" w:rsidP="008800AC">
            <w:pPr>
              <w:spacing w:line="360" w:lineRule="auto"/>
              <w:jc w:val="center"/>
            </w:pPr>
            <w:r w:rsidRPr="008800AC">
              <w:rPr>
                <w:b/>
                <w:bCs/>
                <w:color w:val="000000"/>
              </w:rPr>
              <w:t>Thyroid Dysfunction, n (%)</w:t>
            </w:r>
          </w:p>
        </w:tc>
      </w:tr>
      <w:tr w:rsidR="00A155D0" w:rsidRPr="008800AC" w:rsidTr="008800AC">
        <w:trPr>
          <w:trHeight w:val="376"/>
        </w:trPr>
        <w:tc>
          <w:tcPr>
            <w:tcW w:w="2707" w:type="dxa"/>
            <w:vAlign w:val="center"/>
          </w:tcPr>
          <w:p w:rsidR="00A155D0" w:rsidRPr="008800AC" w:rsidRDefault="00E40ED3" w:rsidP="008800AC">
            <w:pPr>
              <w:spacing w:line="360" w:lineRule="auto"/>
              <w:jc w:val="center"/>
            </w:pPr>
            <w:r w:rsidRPr="008800AC">
              <w:rPr>
                <w:color w:val="000000"/>
              </w:rPr>
              <w:t>&lt;5</w:t>
            </w:r>
          </w:p>
        </w:tc>
        <w:tc>
          <w:tcPr>
            <w:tcW w:w="1955" w:type="dxa"/>
            <w:vAlign w:val="center"/>
          </w:tcPr>
          <w:p w:rsidR="00A155D0" w:rsidRPr="008800AC" w:rsidRDefault="00E40ED3" w:rsidP="008800AC">
            <w:pPr>
              <w:spacing w:line="360" w:lineRule="auto"/>
              <w:jc w:val="center"/>
            </w:pPr>
            <w:r w:rsidRPr="008800AC">
              <w:rPr>
                <w:color w:val="000000"/>
              </w:rPr>
              <w:t>60</w:t>
            </w:r>
          </w:p>
        </w:tc>
        <w:tc>
          <w:tcPr>
            <w:tcW w:w="3008" w:type="dxa"/>
            <w:vAlign w:val="center"/>
          </w:tcPr>
          <w:p w:rsidR="00A155D0" w:rsidRPr="008800AC" w:rsidRDefault="00E40ED3" w:rsidP="008800AC">
            <w:pPr>
              <w:spacing w:line="360" w:lineRule="auto"/>
              <w:jc w:val="center"/>
            </w:pPr>
            <w:r w:rsidRPr="008800AC">
              <w:rPr>
                <w:color w:val="000000"/>
              </w:rPr>
              <w:t>6 (10.0)</w:t>
            </w:r>
          </w:p>
        </w:tc>
      </w:tr>
      <w:tr w:rsidR="00A155D0" w:rsidRPr="008800AC" w:rsidTr="008800AC">
        <w:trPr>
          <w:trHeight w:val="365"/>
        </w:trPr>
        <w:tc>
          <w:tcPr>
            <w:tcW w:w="2707" w:type="dxa"/>
            <w:vAlign w:val="center"/>
          </w:tcPr>
          <w:p w:rsidR="00A155D0" w:rsidRPr="008800AC" w:rsidRDefault="00E40ED3" w:rsidP="008800AC">
            <w:pPr>
              <w:spacing w:line="360" w:lineRule="auto"/>
              <w:jc w:val="center"/>
            </w:pPr>
            <w:r w:rsidRPr="008800AC">
              <w:rPr>
                <w:color w:val="000000"/>
              </w:rPr>
              <w:t>5–10</w:t>
            </w:r>
          </w:p>
        </w:tc>
        <w:tc>
          <w:tcPr>
            <w:tcW w:w="1955" w:type="dxa"/>
            <w:vAlign w:val="center"/>
          </w:tcPr>
          <w:p w:rsidR="00A155D0" w:rsidRPr="008800AC" w:rsidRDefault="00E40ED3" w:rsidP="008800AC">
            <w:pPr>
              <w:spacing w:line="360" w:lineRule="auto"/>
              <w:jc w:val="center"/>
            </w:pPr>
            <w:r w:rsidRPr="008800AC">
              <w:rPr>
                <w:color w:val="000000"/>
              </w:rPr>
              <w:t>72</w:t>
            </w:r>
          </w:p>
        </w:tc>
        <w:tc>
          <w:tcPr>
            <w:tcW w:w="3008" w:type="dxa"/>
            <w:vAlign w:val="center"/>
          </w:tcPr>
          <w:p w:rsidR="00A155D0" w:rsidRPr="008800AC" w:rsidRDefault="00E40ED3" w:rsidP="008800AC">
            <w:pPr>
              <w:spacing w:line="360" w:lineRule="auto"/>
              <w:jc w:val="center"/>
            </w:pPr>
            <w:r w:rsidRPr="008800AC">
              <w:rPr>
                <w:color w:val="000000"/>
              </w:rPr>
              <w:t>13 (18.1)</w:t>
            </w:r>
          </w:p>
        </w:tc>
      </w:tr>
      <w:tr w:rsidR="00A155D0" w:rsidRPr="008800AC" w:rsidTr="008800AC">
        <w:trPr>
          <w:trHeight w:val="365"/>
        </w:trPr>
        <w:tc>
          <w:tcPr>
            <w:tcW w:w="2707" w:type="dxa"/>
            <w:vAlign w:val="center"/>
          </w:tcPr>
          <w:p w:rsidR="00A155D0" w:rsidRPr="008800AC" w:rsidRDefault="00E40ED3" w:rsidP="008800AC">
            <w:pPr>
              <w:spacing w:line="360" w:lineRule="auto"/>
              <w:jc w:val="center"/>
            </w:pPr>
            <w:r w:rsidRPr="008800AC">
              <w:rPr>
                <w:color w:val="000000"/>
              </w:rPr>
              <w:t>11–15</w:t>
            </w:r>
          </w:p>
        </w:tc>
        <w:tc>
          <w:tcPr>
            <w:tcW w:w="1955" w:type="dxa"/>
            <w:vAlign w:val="center"/>
          </w:tcPr>
          <w:p w:rsidR="00A155D0" w:rsidRPr="008800AC" w:rsidRDefault="00E40ED3" w:rsidP="008800AC">
            <w:pPr>
              <w:spacing w:line="360" w:lineRule="auto"/>
              <w:jc w:val="center"/>
            </w:pPr>
            <w:r w:rsidRPr="008800AC">
              <w:rPr>
                <w:color w:val="000000"/>
              </w:rPr>
              <w:t>66</w:t>
            </w:r>
          </w:p>
        </w:tc>
        <w:tc>
          <w:tcPr>
            <w:tcW w:w="3008" w:type="dxa"/>
            <w:vAlign w:val="center"/>
          </w:tcPr>
          <w:p w:rsidR="00A155D0" w:rsidRPr="008800AC" w:rsidRDefault="00E40ED3" w:rsidP="008800AC">
            <w:pPr>
              <w:spacing w:line="360" w:lineRule="auto"/>
              <w:jc w:val="center"/>
            </w:pPr>
            <w:r w:rsidRPr="008800AC">
              <w:rPr>
                <w:color w:val="000000"/>
              </w:rPr>
              <w:t>16 (24.2)</w:t>
            </w:r>
          </w:p>
        </w:tc>
      </w:tr>
      <w:tr w:rsidR="00A155D0" w:rsidRPr="008800AC" w:rsidTr="008800AC">
        <w:trPr>
          <w:trHeight w:val="365"/>
        </w:trPr>
        <w:tc>
          <w:tcPr>
            <w:tcW w:w="2707" w:type="dxa"/>
            <w:vAlign w:val="center"/>
          </w:tcPr>
          <w:p w:rsidR="00A155D0" w:rsidRPr="008800AC" w:rsidRDefault="00E40ED3" w:rsidP="008800AC">
            <w:pPr>
              <w:spacing w:line="360" w:lineRule="auto"/>
              <w:jc w:val="center"/>
            </w:pPr>
            <w:r w:rsidRPr="008800AC">
              <w:rPr>
                <w:color w:val="000000"/>
              </w:rPr>
              <w:t>&gt;15</w:t>
            </w:r>
          </w:p>
        </w:tc>
        <w:tc>
          <w:tcPr>
            <w:tcW w:w="1955" w:type="dxa"/>
            <w:vAlign w:val="center"/>
          </w:tcPr>
          <w:p w:rsidR="00A155D0" w:rsidRPr="008800AC" w:rsidRDefault="00E40ED3" w:rsidP="008800AC">
            <w:pPr>
              <w:spacing w:line="360" w:lineRule="auto"/>
              <w:jc w:val="center"/>
            </w:pPr>
            <w:r w:rsidRPr="008800AC">
              <w:rPr>
                <w:color w:val="000000"/>
              </w:rPr>
              <w:t>42</w:t>
            </w:r>
          </w:p>
        </w:tc>
        <w:tc>
          <w:tcPr>
            <w:tcW w:w="3008" w:type="dxa"/>
            <w:vAlign w:val="center"/>
          </w:tcPr>
          <w:p w:rsidR="00A155D0" w:rsidRPr="008800AC" w:rsidRDefault="00E40ED3" w:rsidP="008800AC">
            <w:pPr>
              <w:spacing w:line="360" w:lineRule="auto"/>
              <w:jc w:val="center"/>
            </w:pPr>
            <w:r w:rsidRPr="008800AC">
              <w:rPr>
                <w:color w:val="000000"/>
              </w:rPr>
              <w:t>15 (35.7)</w:t>
            </w:r>
          </w:p>
        </w:tc>
      </w:tr>
      <w:tr w:rsidR="00A155D0" w:rsidRPr="008800AC" w:rsidTr="008800AC">
        <w:trPr>
          <w:trHeight w:val="376"/>
        </w:trPr>
        <w:tc>
          <w:tcPr>
            <w:tcW w:w="2707" w:type="dxa"/>
            <w:vAlign w:val="center"/>
          </w:tcPr>
          <w:p w:rsidR="00A155D0" w:rsidRPr="008800AC" w:rsidRDefault="00E40ED3" w:rsidP="008800AC">
            <w:pPr>
              <w:spacing w:line="360" w:lineRule="auto"/>
              <w:jc w:val="center"/>
            </w:pPr>
            <w:r w:rsidRPr="008800AC">
              <w:rPr>
                <w:color w:val="000000"/>
              </w:rPr>
              <w:t>Total</w:t>
            </w:r>
          </w:p>
        </w:tc>
        <w:tc>
          <w:tcPr>
            <w:tcW w:w="1955" w:type="dxa"/>
            <w:vAlign w:val="center"/>
          </w:tcPr>
          <w:p w:rsidR="00A155D0" w:rsidRPr="008800AC" w:rsidRDefault="00E40ED3" w:rsidP="008800AC">
            <w:pPr>
              <w:spacing w:line="360" w:lineRule="auto"/>
              <w:jc w:val="center"/>
            </w:pPr>
            <w:r w:rsidRPr="008800AC">
              <w:rPr>
                <w:color w:val="000000"/>
              </w:rPr>
              <w:t>240</w:t>
            </w:r>
          </w:p>
        </w:tc>
        <w:tc>
          <w:tcPr>
            <w:tcW w:w="3008" w:type="dxa"/>
            <w:vAlign w:val="center"/>
          </w:tcPr>
          <w:p w:rsidR="00A155D0" w:rsidRPr="008800AC" w:rsidRDefault="00E40ED3" w:rsidP="008800AC">
            <w:pPr>
              <w:spacing w:line="360" w:lineRule="auto"/>
              <w:jc w:val="center"/>
            </w:pPr>
            <w:r w:rsidRPr="008800AC">
              <w:rPr>
                <w:color w:val="000000"/>
              </w:rPr>
              <w:t>50 (20.8)</w:t>
            </w:r>
          </w:p>
        </w:tc>
      </w:tr>
    </w:tbl>
    <w:p w:rsidR="00A155D0" w:rsidRPr="008800AC" w:rsidRDefault="00A155D0" w:rsidP="008800AC">
      <w:pPr>
        <w:spacing w:line="360" w:lineRule="auto"/>
        <w:jc w:val="both"/>
      </w:pPr>
    </w:p>
    <w:p w:rsidR="00A155D0" w:rsidRPr="008800AC" w:rsidRDefault="00E40ED3" w:rsidP="008800AC">
      <w:pPr>
        <w:spacing w:line="360" w:lineRule="auto"/>
        <w:jc w:val="both"/>
      </w:pPr>
      <w:r w:rsidRPr="008800AC">
        <w:rPr>
          <w:noProof/>
          <w:lang w:eastAsia="en-IN"/>
        </w:rPr>
        <w:drawing>
          <wp:inline distT="0" distB="0" distL="0" distR="0" wp14:anchorId="7E63DA44" wp14:editId="57B958CA">
            <wp:extent cx="3025292" cy="1980191"/>
            <wp:effectExtent l="0" t="0" r="0" b="0"/>
            <wp:docPr id="1228586692" name="Picture 122858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srcRect/>
                    <a:stretch>
                      <a:fillRect/>
                    </a:stretch>
                  </pic:blipFill>
                  <pic:spPr bwMode="auto">
                    <a:xfrm>
                      <a:off x="0" y="0"/>
                      <a:ext cx="3025657" cy="1980430"/>
                    </a:xfrm>
                    <a:prstGeom prst="rect">
                      <a:avLst/>
                    </a:prstGeom>
                  </pic:spPr>
                </pic:pic>
              </a:graphicData>
            </a:graphic>
          </wp:inline>
        </w:drawing>
      </w:r>
    </w:p>
    <w:p w:rsidR="00A155D0" w:rsidRPr="008800AC" w:rsidRDefault="00E40ED3" w:rsidP="008800AC">
      <w:pPr>
        <w:spacing w:line="360" w:lineRule="auto"/>
        <w:jc w:val="both"/>
      </w:pPr>
      <w:r w:rsidRPr="008800AC">
        <w:rPr>
          <w:color w:val="000000"/>
        </w:rPr>
        <w:t>On univariate analysis, diabetes duration exceeding 10 years, HbA1c ≥9%, and family history of thyroid disease were significantly associated with thyroid dysfunction, while sex, age, and BMI showed borderline or non-significant associations (Table 6).</w:t>
      </w:r>
    </w:p>
    <w:p w:rsidR="00A155D0" w:rsidRPr="008800AC" w:rsidRDefault="00E40ED3" w:rsidP="008800AC">
      <w:pPr>
        <w:spacing w:line="360" w:lineRule="auto"/>
        <w:jc w:val="both"/>
      </w:pPr>
      <w:r w:rsidRPr="008800AC">
        <w:rPr>
          <w:b/>
          <w:bCs/>
          <w:color w:val="000000"/>
        </w:rPr>
        <w:t>Table 6: Univariate Analysis of Factors Associated with Thyroid Dysfunction</w:t>
      </w:r>
    </w:p>
    <w:tbl>
      <w:tblPr>
        <w:tblW w:w="7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8"/>
        <w:gridCol w:w="1766"/>
        <w:gridCol w:w="1030"/>
        <w:gridCol w:w="1325"/>
        <w:gridCol w:w="1178"/>
      </w:tblGrid>
      <w:tr w:rsidR="00A155D0" w:rsidRPr="008800AC" w:rsidTr="008800AC">
        <w:trPr>
          <w:trHeight w:val="376"/>
          <w:tblHeader/>
        </w:trPr>
        <w:tc>
          <w:tcPr>
            <w:tcW w:w="2208" w:type="dxa"/>
            <w:shd w:val="clear" w:color="auto" w:fill="E8E8E8"/>
            <w:vAlign w:val="center"/>
          </w:tcPr>
          <w:p w:rsidR="00A155D0" w:rsidRPr="008800AC" w:rsidRDefault="00E40ED3" w:rsidP="008800AC">
            <w:pPr>
              <w:spacing w:line="360" w:lineRule="auto"/>
              <w:jc w:val="center"/>
            </w:pPr>
            <w:r w:rsidRPr="008800AC">
              <w:rPr>
                <w:b/>
                <w:bCs/>
                <w:color w:val="000000"/>
              </w:rPr>
              <w:t>Variable</w:t>
            </w:r>
          </w:p>
        </w:tc>
        <w:tc>
          <w:tcPr>
            <w:tcW w:w="1766" w:type="dxa"/>
            <w:shd w:val="clear" w:color="auto" w:fill="E8E8E8"/>
            <w:vAlign w:val="center"/>
          </w:tcPr>
          <w:p w:rsidR="00A155D0" w:rsidRPr="008800AC" w:rsidRDefault="00E40ED3" w:rsidP="008800AC">
            <w:pPr>
              <w:spacing w:line="360" w:lineRule="auto"/>
              <w:jc w:val="center"/>
            </w:pPr>
            <w:r w:rsidRPr="008800AC">
              <w:rPr>
                <w:b/>
                <w:bCs/>
                <w:color w:val="000000"/>
              </w:rPr>
              <w:t>Category</w:t>
            </w:r>
          </w:p>
        </w:tc>
        <w:tc>
          <w:tcPr>
            <w:tcW w:w="1030" w:type="dxa"/>
            <w:shd w:val="clear" w:color="auto" w:fill="E8E8E8"/>
            <w:vAlign w:val="center"/>
          </w:tcPr>
          <w:p w:rsidR="00A155D0" w:rsidRPr="008800AC" w:rsidRDefault="00E40ED3" w:rsidP="008800AC">
            <w:pPr>
              <w:spacing w:line="360" w:lineRule="auto"/>
              <w:jc w:val="center"/>
            </w:pPr>
            <w:r w:rsidRPr="008800AC">
              <w:rPr>
                <w:b/>
                <w:bCs/>
                <w:color w:val="000000"/>
              </w:rPr>
              <w:t>OR</w:t>
            </w:r>
          </w:p>
        </w:tc>
        <w:tc>
          <w:tcPr>
            <w:tcW w:w="1325" w:type="dxa"/>
            <w:shd w:val="clear" w:color="auto" w:fill="E8E8E8"/>
            <w:vAlign w:val="center"/>
          </w:tcPr>
          <w:p w:rsidR="00A155D0" w:rsidRPr="008800AC" w:rsidRDefault="00E40ED3" w:rsidP="008800AC">
            <w:pPr>
              <w:spacing w:line="360" w:lineRule="auto"/>
              <w:jc w:val="center"/>
            </w:pPr>
            <w:r w:rsidRPr="008800AC">
              <w:rPr>
                <w:b/>
                <w:bCs/>
                <w:color w:val="000000"/>
              </w:rPr>
              <w:t>95% CI</w:t>
            </w:r>
          </w:p>
        </w:tc>
        <w:tc>
          <w:tcPr>
            <w:tcW w:w="1178" w:type="dxa"/>
            <w:shd w:val="clear" w:color="auto" w:fill="E8E8E8"/>
            <w:vAlign w:val="center"/>
          </w:tcPr>
          <w:p w:rsidR="00A155D0" w:rsidRPr="008800AC" w:rsidRDefault="00E40ED3" w:rsidP="008800AC">
            <w:pPr>
              <w:spacing w:line="360" w:lineRule="auto"/>
              <w:jc w:val="center"/>
            </w:pPr>
            <w:r w:rsidRPr="008800AC">
              <w:rPr>
                <w:b/>
                <w:bCs/>
                <w:color w:val="000000"/>
              </w:rPr>
              <w:t>P-value</w:t>
            </w:r>
          </w:p>
        </w:tc>
      </w:tr>
      <w:tr w:rsidR="00A155D0" w:rsidRPr="008800AC" w:rsidTr="008800AC">
        <w:trPr>
          <w:trHeight w:val="365"/>
        </w:trPr>
        <w:tc>
          <w:tcPr>
            <w:tcW w:w="2208" w:type="dxa"/>
            <w:vAlign w:val="center"/>
          </w:tcPr>
          <w:p w:rsidR="00A155D0" w:rsidRPr="008800AC" w:rsidRDefault="00E40ED3" w:rsidP="008800AC">
            <w:pPr>
              <w:spacing w:line="360" w:lineRule="auto"/>
              <w:jc w:val="center"/>
            </w:pPr>
            <w:r w:rsidRPr="008800AC">
              <w:rPr>
                <w:color w:val="000000"/>
              </w:rPr>
              <w:t>Sex</w:t>
            </w:r>
          </w:p>
        </w:tc>
        <w:tc>
          <w:tcPr>
            <w:tcW w:w="1766" w:type="dxa"/>
            <w:vAlign w:val="center"/>
          </w:tcPr>
          <w:p w:rsidR="00A155D0" w:rsidRPr="008800AC" w:rsidRDefault="00E40ED3" w:rsidP="008800AC">
            <w:pPr>
              <w:spacing w:line="360" w:lineRule="auto"/>
              <w:jc w:val="center"/>
            </w:pPr>
            <w:r w:rsidRPr="008800AC">
              <w:rPr>
                <w:color w:val="000000"/>
              </w:rPr>
              <w:t>Female vs male</w:t>
            </w:r>
          </w:p>
        </w:tc>
        <w:tc>
          <w:tcPr>
            <w:tcW w:w="1030" w:type="dxa"/>
            <w:vAlign w:val="center"/>
          </w:tcPr>
          <w:p w:rsidR="00A155D0" w:rsidRPr="008800AC" w:rsidRDefault="00E40ED3" w:rsidP="008800AC">
            <w:pPr>
              <w:spacing w:line="360" w:lineRule="auto"/>
              <w:jc w:val="center"/>
            </w:pPr>
            <w:r w:rsidRPr="008800AC">
              <w:rPr>
                <w:color w:val="000000"/>
              </w:rPr>
              <w:t>1.68</w:t>
            </w:r>
          </w:p>
        </w:tc>
        <w:tc>
          <w:tcPr>
            <w:tcW w:w="1325" w:type="dxa"/>
            <w:vAlign w:val="center"/>
          </w:tcPr>
          <w:p w:rsidR="00A155D0" w:rsidRPr="008800AC" w:rsidRDefault="00E40ED3" w:rsidP="008800AC">
            <w:pPr>
              <w:spacing w:line="360" w:lineRule="auto"/>
              <w:jc w:val="center"/>
            </w:pPr>
            <w:r w:rsidRPr="008800AC">
              <w:rPr>
                <w:color w:val="000000"/>
              </w:rPr>
              <w:t>0.91 – 3.10</w:t>
            </w:r>
          </w:p>
        </w:tc>
        <w:tc>
          <w:tcPr>
            <w:tcW w:w="1178" w:type="dxa"/>
            <w:vAlign w:val="center"/>
          </w:tcPr>
          <w:p w:rsidR="00A155D0" w:rsidRPr="008800AC" w:rsidRDefault="00E40ED3" w:rsidP="008800AC">
            <w:pPr>
              <w:spacing w:line="360" w:lineRule="auto"/>
              <w:jc w:val="center"/>
            </w:pPr>
            <w:r w:rsidRPr="008800AC">
              <w:rPr>
                <w:color w:val="000000"/>
              </w:rPr>
              <w:t>0.098</w:t>
            </w:r>
          </w:p>
        </w:tc>
      </w:tr>
      <w:tr w:rsidR="00A155D0" w:rsidRPr="008800AC" w:rsidTr="008800AC">
        <w:trPr>
          <w:trHeight w:val="365"/>
        </w:trPr>
        <w:tc>
          <w:tcPr>
            <w:tcW w:w="2208" w:type="dxa"/>
            <w:vAlign w:val="center"/>
          </w:tcPr>
          <w:p w:rsidR="00A155D0" w:rsidRPr="008800AC" w:rsidRDefault="00E40ED3" w:rsidP="008800AC">
            <w:pPr>
              <w:spacing w:line="360" w:lineRule="auto"/>
              <w:jc w:val="center"/>
            </w:pPr>
            <w:r w:rsidRPr="008800AC">
              <w:rPr>
                <w:color w:val="000000"/>
              </w:rPr>
              <w:t>Age</w:t>
            </w:r>
          </w:p>
        </w:tc>
        <w:tc>
          <w:tcPr>
            <w:tcW w:w="1766" w:type="dxa"/>
            <w:vAlign w:val="center"/>
          </w:tcPr>
          <w:p w:rsidR="00A155D0" w:rsidRPr="008800AC" w:rsidRDefault="00E40ED3" w:rsidP="008800AC">
            <w:pPr>
              <w:spacing w:line="360" w:lineRule="auto"/>
              <w:jc w:val="center"/>
            </w:pPr>
            <w:r w:rsidRPr="008800AC">
              <w:rPr>
                <w:color w:val="000000"/>
              </w:rPr>
              <w:t>≥50 vs &lt;50 years</w:t>
            </w:r>
          </w:p>
        </w:tc>
        <w:tc>
          <w:tcPr>
            <w:tcW w:w="1030" w:type="dxa"/>
            <w:vAlign w:val="center"/>
          </w:tcPr>
          <w:p w:rsidR="00A155D0" w:rsidRPr="008800AC" w:rsidRDefault="00E40ED3" w:rsidP="008800AC">
            <w:pPr>
              <w:spacing w:line="360" w:lineRule="auto"/>
              <w:jc w:val="center"/>
            </w:pPr>
            <w:r w:rsidRPr="008800AC">
              <w:rPr>
                <w:color w:val="000000"/>
              </w:rPr>
              <w:t>1.79</w:t>
            </w:r>
          </w:p>
        </w:tc>
        <w:tc>
          <w:tcPr>
            <w:tcW w:w="1325" w:type="dxa"/>
            <w:vAlign w:val="center"/>
          </w:tcPr>
          <w:p w:rsidR="00A155D0" w:rsidRPr="008800AC" w:rsidRDefault="00E40ED3" w:rsidP="008800AC">
            <w:pPr>
              <w:spacing w:line="360" w:lineRule="auto"/>
              <w:jc w:val="center"/>
            </w:pPr>
            <w:r w:rsidRPr="008800AC">
              <w:rPr>
                <w:color w:val="000000"/>
              </w:rPr>
              <w:t>0.98 – 3.27</w:t>
            </w:r>
          </w:p>
        </w:tc>
        <w:tc>
          <w:tcPr>
            <w:tcW w:w="1178" w:type="dxa"/>
            <w:vAlign w:val="center"/>
          </w:tcPr>
          <w:p w:rsidR="00A155D0" w:rsidRPr="008800AC" w:rsidRDefault="00E40ED3" w:rsidP="008800AC">
            <w:pPr>
              <w:spacing w:line="360" w:lineRule="auto"/>
              <w:jc w:val="center"/>
            </w:pPr>
            <w:r w:rsidRPr="008800AC">
              <w:rPr>
                <w:color w:val="000000"/>
              </w:rPr>
              <w:t>0.058</w:t>
            </w:r>
          </w:p>
        </w:tc>
      </w:tr>
      <w:tr w:rsidR="00A155D0" w:rsidRPr="008800AC" w:rsidTr="008800AC">
        <w:trPr>
          <w:trHeight w:val="365"/>
        </w:trPr>
        <w:tc>
          <w:tcPr>
            <w:tcW w:w="2208" w:type="dxa"/>
            <w:vAlign w:val="center"/>
          </w:tcPr>
          <w:p w:rsidR="00A155D0" w:rsidRPr="008800AC" w:rsidRDefault="00E40ED3" w:rsidP="008800AC">
            <w:pPr>
              <w:spacing w:line="360" w:lineRule="auto"/>
              <w:jc w:val="center"/>
            </w:pPr>
            <w:r w:rsidRPr="008800AC">
              <w:rPr>
                <w:color w:val="000000"/>
              </w:rPr>
              <w:t>Duration of diabetes</w:t>
            </w:r>
          </w:p>
        </w:tc>
        <w:tc>
          <w:tcPr>
            <w:tcW w:w="1766" w:type="dxa"/>
            <w:vAlign w:val="center"/>
          </w:tcPr>
          <w:p w:rsidR="00A155D0" w:rsidRPr="008800AC" w:rsidRDefault="00E40ED3" w:rsidP="008800AC">
            <w:pPr>
              <w:spacing w:line="360" w:lineRule="auto"/>
              <w:jc w:val="center"/>
            </w:pPr>
            <w:r w:rsidRPr="008800AC">
              <w:rPr>
                <w:color w:val="000000"/>
              </w:rPr>
              <w:t>&gt;10 vs ≤10 years</w:t>
            </w:r>
          </w:p>
        </w:tc>
        <w:tc>
          <w:tcPr>
            <w:tcW w:w="1030" w:type="dxa"/>
            <w:vAlign w:val="center"/>
          </w:tcPr>
          <w:p w:rsidR="00A155D0" w:rsidRPr="008800AC" w:rsidRDefault="00E40ED3" w:rsidP="008800AC">
            <w:pPr>
              <w:spacing w:line="360" w:lineRule="auto"/>
              <w:jc w:val="center"/>
            </w:pPr>
            <w:r w:rsidRPr="008800AC">
              <w:rPr>
                <w:color w:val="000000"/>
              </w:rPr>
              <w:t>2.61</w:t>
            </w:r>
          </w:p>
        </w:tc>
        <w:tc>
          <w:tcPr>
            <w:tcW w:w="1325" w:type="dxa"/>
            <w:vAlign w:val="center"/>
          </w:tcPr>
          <w:p w:rsidR="00A155D0" w:rsidRPr="008800AC" w:rsidRDefault="00E40ED3" w:rsidP="008800AC">
            <w:pPr>
              <w:spacing w:line="360" w:lineRule="auto"/>
              <w:jc w:val="center"/>
            </w:pPr>
            <w:r w:rsidRPr="008800AC">
              <w:rPr>
                <w:color w:val="000000"/>
              </w:rPr>
              <w:t>1.42 – 4.79</w:t>
            </w:r>
          </w:p>
        </w:tc>
        <w:tc>
          <w:tcPr>
            <w:tcW w:w="1178" w:type="dxa"/>
            <w:vAlign w:val="center"/>
          </w:tcPr>
          <w:p w:rsidR="00A155D0" w:rsidRPr="008800AC" w:rsidRDefault="00E40ED3" w:rsidP="008800AC">
            <w:pPr>
              <w:spacing w:line="360" w:lineRule="auto"/>
              <w:jc w:val="center"/>
            </w:pPr>
            <w:r w:rsidRPr="008800AC">
              <w:rPr>
                <w:color w:val="000000"/>
              </w:rPr>
              <w:t>0.002</w:t>
            </w:r>
          </w:p>
        </w:tc>
      </w:tr>
      <w:tr w:rsidR="00A155D0" w:rsidRPr="008800AC" w:rsidTr="008800AC">
        <w:trPr>
          <w:trHeight w:val="365"/>
        </w:trPr>
        <w:tc>
          <w:tcPr>
            <w:tcW w:w="2208" w:type="dxa"/>
            <w:vAlign w:val="center"/>
          </w:tcPr>
          <w:p w:rsidR="00A155D0" w:rsidRPr="008800AC" w:rsidRDefault="00E40ED3" w:rsidP="008800AC">
            <w:pPr>
              <w:spacing w:line="360" w:lineRule="auto"/>
              <w:jc w:val="center"/>
            </w:pPr>
            <w:r w:rsidRPr="008800AC">
              <w:rPr>
                <w:color w:val="000000"/>
              </w:rPr>
              <w:t>Glycaemic control</w:t>
            </w:r>
          </w:p>
        </w:tc>
        <w:tc>
          <w:tcPr>
            <w:tcW w:w="1766" w:type="dxa"/>
            <w:vAlign w:val="center"/>
          </w:tcPr>
          <w:p w:rsidR="00A155D0" w:rsidRPr="008800AC" w:rsidRDefault="00E40ED3" w:rsidP="008800AC">
            <w:pPr>
              <w:spacing w:line="360" w:lineRule="auto"/>
              <w:jc w:val="center"/>
            </w:pPr>
            <w:r w:rsidRPr="008800AC">
              <w:rPr>
                <w:color w:val="000000"/>
              </w:rPr>
              <w:t>HbA1c ≥9% vs &lt;7%</w:t>
            </w:r>
          </w:p>
        </w:tc>
        <w:tc>
          <w:tcPr>
            <w:tcW w:w="1030" w:type="dxa"/>
            <w:vAlign w:val="center"/>
          </w:tcPr>
          <w:p w:rsidR="00A155D0" w:rsidRPr="008800AC" w:rsidRDefault="00E40ED3" w:rsidP="008800AC">
            <w:pPr>
              <w:spacing w:line="360" w:lineRule="auto"/>
              <w:jc w:val="center"/>
            </w:pPr>
            <w:r w:rsidRPr="008800AC">
              <w:rPr>
                <w:color w:val="000000"/>
              </w:rPr>
              <w:t>2.03</w:t>
            </w:r>
          </w:p>
        </w:tc>
        <w:tc>
          <w:tcPr>
            <w:tcW w:w="1325" w:type="dxa"/>
            <w:vAlign w:val="center"/>
          </w:tcPr>
          <w:p w:rsidR="00A155D0" w:rsidRPr="008800AC" w:rsidRDefault="00E40ED3" w:rsidP="008800AC">
            <w:pPr>
              <w:spacing w:line="360" w:lineRule="auto"/>
              <w:jc w:val="center"/>
            </w:pPr>
            <w:r w:rsidRPr="008800AC">
              <w:rPr>
                <w:color w:val="000000"/>
              </w:rPr>
              <w:t>1.06 – 3.89</w:t>
            </w:r>
          </w:p>
        </w:tc>
        <w:tc>
          <w:tcPr>
            <w:tcW w:w="1178" w:type="dxa"/>
            <w:vAlign w:val="center"/>
          </w:tcPr>
          <w:p w:rsidR="00A155D0" w:rsidRPr="008800AC" w:rsidRDefault="00E40ED3" w:rsidP="008800AC">
            <w:pPr>
              <w:spacing w:line="360" w:lineRule="auto"/>
              <w:jc w:val="center"/>
            </w:pPr>
            <w:r w:rsidRPr="008800AC">
              <w:rPr>
                <w:color w:val="000000"/>
              </w:rPr>
              <w:t>0.033</w:t>
            </w:r>
          </w:p>
        </w:tc>
      </w:tr>
      <w:tr w:rsidR="00A155D0" w:rsidRPr="008800AC" w:rsidTr="008800AC">
        <w:trPr>
          <w:trHeight w:val="376"/>
        </w:trPr>
        <w:tc>
          <w:tcPr>
            <w:tcW w:w="2208" w:type="dxa"/>
            <w:vAlign w:val="center"/>
          </w:tcPr>
          <w:p w:rsidR="00A155D0" w:rsidRPr="008800AC" w:rsidRDefault="00E40ED3" w:rsidP="008800AC">
            <w:pPr>
              <w:spacing w:line="360" w:lineRule="auto"/>
              <w:jc w:val="center"/>
            </w:pPr>
            <w:r w:rsidRPr="008800AC">
              <w:rPr>
                <w:color w:val="000000"/>
              </w:rPr>
              <w:t>Family history of thyroid disease</w:t>
            </w:r>
          </w:p>
        </w:tc>
        <w:tc>
          <w:tcPr>
            <w:tcW w:w="1766" w:type="dxa"/>
            <w:vAlign w:val="center"/>
          </w:tcPr>
          <w:p w:rsidR="00A155D0" w:rsidRPr="008800AC" w:rsidRDefault="00E40ED3" w:rsidP="008800AC">
            <w:pPr>
              <w:spacing w:line="360" w:lineRule="auto"/>
              <w:jc w:val="center"/>
            </w:pPr>
            <w:r w:rsidRPr="008800AC">
              <w:rPr>
                <w:color w:val="000000"/>
              </w:rPr>
              <w:t>Present vs absent</w:t>
            </w:r>
          </w:p>
        </w:tc>
        <w:tc>
          <w:tcPr>
            <w:tcW w:w="1030" w:type="dxa"/>
            <w:vAlign w:val="center"/>
          </w:tcPr>
          <w:p w:rsidR="00A155D0" w:rsidRPr="008800AC" w:rsidRDefault="00E40ED3" w:rsidP="008800AC">
            <w:pPr>
              <w:spacing w:line="360" w:lineRule="auto"/>
              <w:jc w:val="center"/>
            </w:pPr>
            <w:r w:rsidRPr="008800AC">
              <w:rPr>
                <w:color w:val="000000"/>
              </w:rPr>
              <w:t>2.94</w:t>
            </w:r>
          </w:p>
        </w:tc>
        <w:tc>
          <w:tcPr>
            <w:tcW w:w="1325" w:type="dxa"/>
            <w:vAlign w:val="center"/>
          </w:tcPr>
          <w:p w:rsidR="00A155D0" w:rsidRPr="008800AC" w:rsidRDefault="00E40ED3" w:rsidP="008800AC">
            <w:pPr>
              <w:spacing w:line="360" w:lineRule="auto"/>
              <w:jc w:val="center"/>
            </w:pPr>
            <w:r w:rsidRPr="008800AC">
              <w:rPr>
                <w:color w:val="000000"/>
              </w:rPr>
              <w:t>1.44 – 6.00</w:t>
            </w:r>
          </w:p>
        </w:tc>
        <w:tc>
          <w:tcPr>
            <w:tcW w:w="1178" w:type="dxa"/>
            <w:vAlign w:val="center"/>
          </w:tcPr>
          <w:p w:rsidR="00A155D0" w:rsidRPr="008800AC" w:rsidRDefault="00E40ED3" w:rsidP="008800AC">
            <w:pPr>
              <w:spacing w:line="360" w:lineRule="auto"/>
              <w:jc w:val="center"/>
            </w:pPr>
            <w:r w:rsidRPr="008800AC">
              <w:rPr>
                <w:color w:val="000000"/>
              </w:rPr>
              <w:t>0.003</w:t>
            </w:r>
          </w:p>
        </w:tc>
      </w:tr>
      <w:tr w:rsidR="00A155D0" w:rsidRPr="008800AC" w:rsidTr="008800AC">
        <w:trPr>
          <w:trHeight w:val="365"/>
        </w:trPr>
        <w:tc>
          <w:tcPr>
            <w:tcW w:w="2208" w:type="dxa"/>
            <w:vAlign w:val="center"/>
          </w:tcPr>
          <w:p w:rsidR="00A155D0" w:rsidRPr="008800AC" w:rsidRDefault="00E40ED3" w:rsidP="008800AC">
            <w:pPr>
              <w:spacing w:line="360" w:lineRule="auto"/>
              <w:jc w:val="center"/>
            </w:pPr>
            <w:r w:rsidRPr="008800AC">
              <w:rPr>
                <w:color w:val="000000"/>
              </w:rPr>
              <w:t>BMI</w:t>
            </w:r>
          </w:p>
        </w:tc>
        <w:tc>
          <w:tcPr>
            <w:tcW w:w="1766" w:type="dxa"/>
            <w:vAlign w:val="center"/>
          </w:tcPr>
          <w:p w:rsidR="00A155D0" w:rsidRPr="008800AC" w:rsidRDefault="00E40ED3" w:rsidP="008800AC">
            <w:pPr>
              <w:spacing w:line="360" w:lineRule="auto"/>
              <w:jc w:val="center"/>
            </w:pPr>
            <w:r w:rsidRPr="008800AC">
              <w:rPr>
                <w:color w:val="000000"/>
              </w:rPr>
              <w:t>≥25 vs &lt;25 kg/m²</w:t>
            </w:r>
          </w:p>
        </w:tc>
        <w:tc>
          <w:tcPr>
            <w:tcW w:w="1030" w:type="dxa"/>
            <w:vAlign w:val="center"/>
          </w:tcPr>
          <w:p w:rsidR="00A155D0" w:rsidRPr="008800AC" w:rsidRDefault="00E40ED3" w:rsidP="008800AC">
            <w:pPr>
              <w:spacing w:line="360" w:lineRule="auto"/>
              <w:jc w:val="center"/>
            </w:pPr>
            <w:r w:rsidRPr="008800AC">
              <w:rPr>
                <w:color w:val="000000"/>
              </w:rPr>
              <w:t>1.34</w:t>
            </w:r>
          </w:p>
        </w:tc>
        <w:tc>
          <w:tcPr>
            <w:tcW w:w="1325" w:type="dxa"/>
            <w:vAlign w:val="center"/>
          </w:tcPr>
          <w:p w:rsidR="00A155D0" w:rsidRPr="008800AC" w:rsidRDefault="00E40ED3" w:rsidP="008800AC">
            <w:pPr>
              <w:spacing w:line="360" w:lineRule="auto"/>
              <w:jc w:val="center"/>
            </w:pPr>
            <w:r w:rsidRPr="008800AC">
              <w:rPr>
                <w:color w:val="000000"/>
              </w:rPr>
              <w:t>0.72 – 2.49</w:t>
            </w:r>
          </w:p>
        </w:tc>
        <w:tc>
          <w:tcPr>
            <w:tcW w:w="1178" w:type="dxa"/>
            <w:vAlign w:val="center"/>
          </w:tcPr>
          <w:p w:rsidR="00A155D0" w:rsidRPr="008800AC" w:rsidRDefault="00E40ED3" w:rsidP="008800AC">
            <w:pPr>
              <w:spacing w:line="360" w:lineRule="auto"/>
              <w:jc w:val="center"/>
            </w:pPr>
            <w:r w:rsidRPr="008800AC">
              <w:rPr>
                <w:color w:val="000000"/>
              </w:rPr>
              <w:t>0.354</w:t>
            </w:r>
          </w:p>
        </w:tc>
      </w:tr>
    </w:tbl>
    <w:p w:rsidR="00A155D0" w:rsidRPr="008800AC" w:rsidRDefault="00A155D0" w:rsidP="008800AC">
      <w:pPr>
        <w:spacing w:line="360" w:lineRule="auto"/>
        <w:jc w:val="both"/>
      </w:pPr>
    </w:p>
    <w:p w:rsidR="00A155D0" w:rsidRPr="008800AC" w:rsidRDefault="00E40ED3" w:rsidP="008800AC">
      <w:pPr>
        <w:spacing w:line="360" w:lineRule="auto"/>
        <w:jc w:val="both"/>
      </w:pPr>
      <w:r w:rsidRPr="008800AC">
        <w:rPr>
          <w:color w:val="000000"/>
        </w:rPr>
        <w:t>On multivariate analysis, family history of thyroid disease (adjusted OR 2.68, 95% CI 1.28–5.61, p=0.009) and diabetes duration exceeding 10 years (adjusted OR 2.19, 95% CI 1.15–4.17, p=0.017) remained independently associated with thyroid dysfunction, while HbA1c ≥9% showed a borderline association after adjustment (Table 7).</w:t>
      </w:r>
    </w:p>
    <w:p w:rsidR="008800AC" w:rsidRDefault="008800AC" w:rsidP="008800AC">
      <w:pPr>
        <w:spacing w:line="360" w:lineRule="auto"/>
        <w:jc w:val="both"/>
        <w:rPr>
          <w:b/>
          <w:bCs/>
          <w:color w:val="000000"/>
        </w:rPr>
      </w:pPr>
    </w:p>
    <w:p w:rsidR="008800AC" w:rsidRDefault="008800AC" w:rsidP="008800AC">
      <w:pPr>
        <w:spacing w:line="360" w:lineRule="auto"/>
        <w:jc w:val="both"/>
        <w:rPr>
          <w:b/>
          <w:bCs/>
          <w:color w:val="000000"/>
        </w:rPr>
      </w:pPr>
    </w:p>
    <w:p w:rsidR="008800AC" w:rsidRDefault="008800AC" w:rsidP="008800AC">
      <w:pPr>
        <w:spacing w:line="360" w:lineRule="auto"/>
        <w:jc w:val="both"/>
        <w:rPr>
          <w:b/>
          <w:bCs/>
          <w:color w:val="000000"/>
        </w:rPr>
      </w:pPr>
    </w:p>
    <w:p w:rsidR="008800AC" w:rsidRDefault="008800AC" w:rsidP="008800AC">
      <w:pPr>
        <w:spacing w:line="360" w:lineRule="auto"/>
        <w:jc w:val="both"/>
        <w:rPr>
          <w:b/>
          <w:bCs/>
          <w:color w:val="000000"/>
        </w:rPr>
      </w:pPr>
    </w:p>
    <w:p w:rsidR="008800AC" w:rsidRDefault="008800AC" w:rsidP="008800AC">
      <w:pPr>
        <w:spacing w:line="360" w:lineRule="auto"/>
        <w:jc w:val="both"/>
        <w:rPr>
          <w:b/>
          <w:bCs/>
          <w:color w:val="000000"/>
        </w:rPr>
      </w:pPr>
    </w:p>
    <w:p w:rsidR="00A155D0" w:rsidRPr="008800AC" w:rsidRDefault="00E40ED3" w:rsidP="008800AC">
      <w:pPr>
        <w:spacing w:line="360" w:lineRule="auto"/>
        <w:jc w:val="both"/>
      </w:pPr>
      <w:r w:rsidRPr="008800AC">
        <w:rPr>
          <w:b/>
          <w:bCs/>
          <w:color w:val="000000"/>
        </w:rPr>
        <w:t>Table 7: Multivariate Logistic Regression Analysis of Independent Predictors of Thyroid Dysfunction</w:t>
      </w:r>
    </w:p>
    <w:tbl>
      <w:tblPr>
        <w:tblW w:w="8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73"/>
        <w:gridCol w:w="1637"/>
        <w:gridCol w:w="1637"/>
        <w:gridCol w:w="1489"/>
      </w:tblGrid>
      <w:tr w:rsidR="00A155D0" w:rsidRPr="008800AC" w:rsidTr="008800AC">
        <w:trPr>
          <w:trHeight w:val="387"/>
          <w:tblHeader/>
        </w:trPr>
        <w:tc>
          <w:tcPr>
            <w:tcW w:w="3573" w:type="dxa"/>
            <w:shd w:val="clear" w:color="auto" w:fill="E8E8E8"/>
            <w:vAlign w:val="center"/>
          </w:tcPr>
          <w:p w:rsidR="00A155D0" w:rsidRPr="008800AC" w:rsidRDefault="00E40ED3" w:rsidP="008800AC">
            <w:pPr>
              <w:spacing w:line="360" w:lineRule="auto"/>
              <w:jc w:val="center"/>
            </w:pPr>
            <w:r w:rsidRPr="008800AC">
              <w:rPr>
                <w:b/>
                <w:bCs/>
                <w:color w:val="000000"/>
              </w:rPr>
              <w:t>Variable</w:t>
            </w:r>
          </w:p>
        </w:tc>
        <w:tc>
          <w:tcPr>
            <w:tcW w:w="1637" w:type="dxa"/>
            <w:shd w:val="clear" w:color="auto" w:fill="E8E8E8"/>
            <w:vAlign w:val="center"/>
          </w:tcPr>
          <w:p w:rsidR="00A155D0" w:rsidRPr="008800AC" w:rsidRDefault="00E40ED3" w:rsidP="008800AC">
            <w:pPr>
              <w:spacing w:line="360" w:lineRule="auto"/>
              <w:jc w:val="center"/>
            </w:pPr>
            <w:r w:rsidRPr="008800AC">
              <w:rPr>
                <w:b/>
                <w:bCs/>
                <w:color w:val="000000"/>
              </w:rPr>
              <w:t>Adjusted OR</w:t>
            </w:r>
          </w:p>
        </w:tc>
        <w:tc>
          <w:tcPr>
            <w:tcW w:w="1637" w:type="dxa"/>
            <w:shd w:val="clear" w:color="auto" w:fill="E8E8E8"/>
            <w:vAlign w:val="center"/>
          </w:tcPr>
          <w:p w:rsidR="00A155D0" w:rsidRPr="008800AC" w:rsidRDefault="00E40ED3" w:rsidP="008800AC">
            <w:pPr>
              <w:spacing w:line="360" w:lineRule="auto"/>
              <w:jc w:val="center"/>
            </w:pPr>
            <w:r w:rsidRPr="008800AC">
              <w:rPr>
                <w:b/>
                <w:bCs/>
                <w:color w:val="000000"/>
              </w:rPr>
              <w:t>95% CI</w:t>
            </w:r>
          </w:p>
        </w:tc>
        <w:tc>
          <w:tcPr>
            <w:tcW w:w="1489" w:type="dxa"/>
            <w:shd w:val="clear" w:color="auto" w:fill="E8E8E8"/>
            <w:vAlign w:val="center"/>
          </w:tcPr>
          <w:p w:rsidR="00A155D0" w:rsidRPr="008800AC" w:rsidRDefault="00E40ED3" w:rsidP="008800AC">
            <w:pPr>
              <w:spacing w:line="360" w:lineRule="auto"/>
              <w:jc w:val="center"/>
            </w:pPr>
            <w:r w:rsidRPr="008800AC">
              <w:rPr>
                <w:b/>
                <w:bCs/>
                <w:color w:val="000000"/>
              </w:rPr>
              <w:t>P-value</w:t>
            </w:r>
          </w:p>
        </w:tc>
      </w:tr>
      <w:tr w:rsidR="00A155D0" w:rsidRPr="008800AC" w:rsidTr="008800AC">
        <w:trPr>
          <w:trHeight w:val="398"/>
        </w:trPr>
        <w:tc>
          <w:tcPr>
            <w:tcW w:w="3573" w:type="dxa"/>
            <w:vAlign w:val="center"/>
          </w:tcPr>
          <w:p w:rsidR="00A155D0" w:rsidRPr="008800AC" w:rsidRDefault="00E40ED3" w:rsidP="008800AC">
            <w:pPr>
              <w:spacing w:line="360" w:lineRule="auto"/>
              <w:jc w:val="center"/>
            </w:pPr>
            <w:r w:rsidRPr="008800AC">
              <w:rPr>
                <w:color w:val="000000"/>
              </w:rPr>
              <w:t>Family history of thyroid disease</w:t>
            </w:r>
          </w:p>
        </w:tc>
        <w:tc>
          <w:tcPr>
            <w:tcW w:w="1637" w:type="dxa"/>
            <w:vAlign w:val="center"/>
          </w:tcPr>
          <w:p w:rsidR="00A155D0" w:rsidRPr="008800AC" w:rsidRDefault="00E40ED3" w:rsidP="008800AC">
            <w:pPr>
              <w:spacing w:line="360" w:lineRule="auto"/>
              <w:jc w:val="center"/>
            </w:pPr>
            <w:r w:rsidRPr="008800AC">
              <w:rPr>
                <w:color w:val="000000"/>
              </w:rPr>
              <w:t>2.68</w:t>
            </w:r>
          </w:p>
        </w:tc>
        <w:tc>
          <w:tcPr>
            <w:tcW w:w="1637" w:type="dxa"/>
            <w:vAlign w:val="center"/>
          </w:tcPr>
          <w:p w:rsidR="00A155D0" w:rsidRPr="008800AC" w:rsidRDefault="00E40ED3" w:rsidP="008800AC">
            <w:pPr>
              <w:spacing w:line="360" w:lineRule="auto"/>
              <w:jc w:val="center"/>
            </w:pPr>
            <w:r w:rsidRPr="008800AC">
              <w:rPr>
                <w:color w:val="000000"/>
              </w:rPr>
              <w:t>1.28 – 5.61</w:t>
            </w:r>
          </w:p>
        </w:tc>
        <w:tc>
          <w:tcPr>
            <w:tcW w:w="1489" w:type="dxa"/>
            <w:vAlign w:val="center"/>
          </w:tcPr>
          <w:p w:rsidR="00A155D0" w:rsidRPr="008800AC" w:rsidRDefault="00E40ED3" w:rsidP="008800AC">
            <w:pPr>
              <w:spacing w:line="360" w:lineRule="auto"/>
              <w:jc w:val="center"/>
            </w:pPr>
            <w:r w:rsidRPr="008800AC">
              <w:rPr>
                <w:color w:val="000000"/>
              </w:rPr>
              <w:t>0.009</w:t>
            </w:r>
          </w:p>
        </w:tc>
      </w:tr>
      <w:tr w:rsidR="00A155D0" w:rsidRPr="008800AC" w:rsidTr="008800AC">
        <w:trPr>
          <w:trHeight w:val="387"/>
        </w:trPr>
        <w:tc>
          <w:tcPr>
            <w:tcW w:w="3573" w:type="dxa"/>
            <w:vAlign w:val="center"/>
          </w:tcPr>
          <w:p w:rsidR="00A155D0" w:rsidRPr="008800AC" w:rsidRDefault="00E40ED3" w:rsidP="008800AC">
            <w:pPr>
              <w:spacing w:line="360" w:lineRule="auto"/>
              <w:jc w:val="center"/>
            </w:pPr>
            <w:r w:rsidRPr="008800AC">
              <w:rPr>
                <w:color w:val="000000"/>
              </w:rPr>
              <w:t>Diabetes duration &gt;10 years</w:t>
            </w:r>
          </w:p>
        </w:tc>
        <w:tc>
          <w:tcPr>
            <w:tcW w:w="1637" w:type="dxa"/>
            <w:vAlign w:val="center"/>
          </w:tcPr>
          <w:p w:rsidR="00A155D0" w:rsidRPr="008800AC" w:rsidRDefault="00E40ED3" w:rsidP="008800AC">
            <w:pPr>
              <w:spacing w:line="360" w:lineRule="auto"/>
              <w:jc w:val="center"/>
            </w:pPr>
            <w:r w:rsidRPr="008800AC">
              <w:rPr>
                <w:color w:val="000000"/>
              </w:rPr>
              <w:t>2.19</w:t>
            </w:r>
          </w:p>
        </w:tc>
        <w:tc>
          <w:tcPr>
            <w:tcW w:w="1637" w:type="dxa"/>
            <w:vAlign w:val="center"/>
          </w:tcPr>
          <w:p w:rsidR="00A155D0" w:rsidRPr="008800AC" w:rsidRDefault="00E40ED3" w:rsidP="008800AC">
            <w:pPr>
              <w:spacing w:line="360" w:lineRule="auto"/>
              <w:jc w:val="center"/>
            </w:pPr>
            <w:r w:rsidRPr="008800AC">
              <w:rPr>
                <w:color w:val="000000"/>
              </w:rPr>
              <w:t>1.15 – 4.17</w:t>
            </w:r>
          </w:p>
        </w:tc>
        <w:tc>
          <w:tcPr>
            <w:tcW w:w="1489" w:type="dxa"/>
            <w:vAlign w:val="center"/>
          </w:tcPr>
          <w:p w:rsidR="00A155D0" w:rsidRPr="008800AC" w:rsidRDefault="00E40ED3" w:rsidP="008800AC">
            <w:pPr>
              <w:spacing w:line="360" w:lineRule="auto"/>
              <w:jc w:val="center"/>
            </w:pPr>
            <w:r w:rsidRPr="008800AC">
              <w:rPr>
                <w:color w:val="000000"/>
              </w:rPr>
              <w:t>0.017</w:t>
            </w:r>
          </w:p>
        </w:tc>
      </w:tr>
      <w:tr w:rsidR="00A155D0" w:rsidRPr="008800AC" w:rsidTr="008800AC">
        <w:trPr>
          <w:trHeight w:val="387"/>
        </w:trPr>
        <w:tc>
          <w:tcPr>
            <w:tcW w:w="3573" w:type="dxa"/>
            <w:vAlign w:val="center"/>
          </w:tcPr>
          <w:p w:rsidR="00A155D0" w:rsidRPr="008800AC" w:rsidRDefault="00E40ED3" w:rsidP="008800AC">
            <w:pPr>
              <w:spacing w:line="360" w:lineRule="auto"/>
              <w:jc w:val="center"/>
            </w:pPr>
            <w:r w:rsidRPr="008800AC">
              <w:rPr>
                <w:color w:val="000000"/>
              </w:rPr>
              <w:t>HbA1c ≥9%</w:t>
            </w:r>
          </w:p>
        </w:tc>
        <w:tc>
          <w:tcPr>
            <w:tcW w:w="1637" w:type="dxa"/>
            <w:vAlign w:val="center"/>
          </w:tcPr>
          <w:p w:rsidR="00A155D0" w:rsidRPr="008800AC" w:rsidRDefault="00E40ED3" w:rsidP="008800AC">
            <w:pPr>
              <w:spacing w:line="360" w:lineRule="auto"/>
              <w:jc w:val="center"/>
            </w:pPr>
            <w:r w:rsidRPr="008800AC">
              <w:rPr>
                <w:color w:val="000000"/>
              </w:rPr>
              <w:t>1.87</w:t>
            </w:r>
          </w:p>
        </w:tc>
        <w:tc>
          <w:tcPr>
            <w:tcW w:w="1637" w:type="dxa"/>
            <w:vAlign w:val="center"/>
          </w:tcPr>
          <w:p w:rsidR="00A155D0" w:rsidRPr="008800AC" w:rsidRDefault="00E40ED3" w:rsidP="008800AC">
            <w:pPr>
              <w:spacing w:line="360" w:lineRule="auto"/>
              <w:jc w:val="center"/>
            </w:pPr>
            <w:r w:rsidRPr="008800AC">
              <w:rPr>
                <w:color w:val="000000"/>
              </w:rPr>
              <w:t>0.96 – 3.65</w:t>
            </w:r>
          </w:p>
        </w:tc>
        <w:tc>
          <w:tcPr>
            <w:tcW w:w="1489" w:type="dxa"/>
            <w:vAlign w:val="center"/>
          </w:tcPr>
          <w:p w:rsidR="00A155D0" w:rsidRPr="008800AC" w:rsidRDefault="00E40ED3" w:rsidP="008800AC">
            <w:pPr>
              <w:spacing w:line="360" w:lineRule="auto"/>
              <w:jc w:val="center"/>
            </w:pPr>
            <w:r w:rsidRPr="008800AC">
              <w:rPr>
                <w:color w:val="000000"/>
              </w:rPr>
              <w:t>0.066</w:t>
            </w:r>
          </w:p>
        </w:tc>
      </w:tr>
    </w:tbl>
    <w:p w:rsidR="00A155D0" w:rsidRPr="008800AC" w:rsidRDefault="00A155D0" w:rsidP="008800AC">
      <w:pPr>
        <w:spacing w:line="360" w:lineRule="auto"/>
        <w:jc w:val="both"/>
      </w:pPr>
    </w:p>
    <w:p w:rsidR="00A155D0" w:rsidRPr="008800AC" w:rsidRDefault="00E40ED3" w:rsidP="008800AC">
      <w:pPr>
        <w:spacing w:line="360" w:lineRule="auto"/>
        <w:jc w:val="both"/>
      </w:pPr>
      <w:r w:rsidRPr="008800AC">
        <w:rPr>
          <w:noProof/>
          <w:lang w:eastAsia="en-IN"/>
        </w:rPr>
        <w:drawing>
          <wp:inline distT="0" distB="0" distL="0" distR="0" wp14:anchorId="7C902169" wp14:editId="405EA5CA">
            <wp:extent cx="2906702" cy="2180026"/>
            <wp:effectExtent l="0" t="0" r="0" b="0"/>
            <wp:docPr id="736636379" name="Picture 736636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cstate="print"/>
                    <a:srcRect/>
                    <a:stretch>
                      <a:fillRect/>
                    </a:stretch>
                  </pic:blipFill>
                  <pic:spPr bwMode="auto">
                    <a:xfrm>
                      <a:off x="0" y="0"/>
                      <a:ext cx="2904862" cy="2178646"/>
                    </a:xfrm>
                    <a:prstGeom prst="rect">
                      <a:avLst/>
                    </a:prstGeom>
                  </pic:spPr>
                </pic:pic>
              </a:graphicData>
            </a:graphic>
          </wp:inline>
        </w:drawing>
      </w:r>
    </w:p>
    <w:p w:rsidR="00A155D0" w:rsidRPr="008800AC" w:rsidRDefault="00E40ED3" w:rsidP="008800AC">
      <w:pPr>
        <w:spacing w:line="360" w:lineRule="auto"/>
        <w:jc w:val="both"/>
      </w:pPr>
      <w:r w:rsidRPr="008800AC">
        <w:rPr>
          <w:color w:val="000000"/>
        </w:rPr>
        <w:t>Figure 5: Schematic illustration of proposed mechanisms linking type 2 diabetes and thyroid dysfunction.</w:t>
      </w:r>
    </w:p>
    <w:p w:rsidR="00A155D0" w:rsidRPr="008800AC" w:rsidRDefault="00E40ED3" w:rsidP="008800AC">
      <w:pPr>
        <w:pStyle w:val="Heading1"/>
        <w:spacing w:line="360" w:lineRule="auto"/>
        <w:jc w:val="both"/>
        <w:rPr>
          <w:sz w:val="20"/>
          <w:szCs w:val="20"/>
        </w:rPr>
      </w:pPr>
      <w:r w:rsidRPr="008800AC">
        <w:rPr>
          <w:b/>
          <w:bCs/>
          <w:color w:val="000000"/>
          <w:sz w:val="20"/>
          <w:szCs w:val="20"/>
        </w:rPr>
        <w:t>Discussion</w:t>
      </w:r>
    </w:p>
    <w:p w:rsidR="00A155D0" w:rsidRPr="008800AC" w:rsidRDefault="00E40ED3" w:rsidP="008800AC">
      <w:pPr>
        <w:spacing w:line="360" w:lineRule="auto"/>
        <w:jc w:val="both"/>
      </w:pPr>
      <w:r w:rsidRPr="008800AC">
        <w:rPr>
          <w:color w:val="000000"/>
        </w:rPr>
        <w:t>The prevalence of thyroid dysfunction observed in this study (20.8%) is somewhat higher than, though broadly consistent with, the range reported in earlier screening studies of diabetic populations. Perros and colleagues, in a large screening study of diabetic outpatients, reported a prevalence of 13.4%, while Smithson reported a comparatively lower prevalence in a community-based diabetic population, illustrating the recognised variability in reported prevalence across different diabetic populations and screening protocols.</w:t>
      </w:r>
      <w:r w:rsidRPr="008800AC">
        <w:rPr>
          <w:color w:val="000000"/>
          <w:vertAlign w:val="superscript"/>
        </w:rPr>
        <w:t>1,6</w:t>
      </w:r>
      <w:r w:rsidRPr="008800AC">
        <w:rPr>
          <w:color w:val="000000"/>
        </w:rPr>
        <w:t xml:space="preserve"> The predominance of subclinical hypothyroidism observed in this study is consistent with the broader thyroid epidemiology literature, including the Whickham survey and its follow-up, both of which identified hypothyroidism, and particularly its subclinical form, as the most common pattern of thyroid dysfunction in the general population, with an even higher relative burden typically observed in diabetic cohorts.</w:t>
      </w:r>
      <w:r w:rsidRPr="008800AC">
        <w:rPr>
          <w:color w:val="000000"/>
          <w:vertAlign w:val="superscript"/>
        </w:rPr>
        <w:t>2,3</w:t>
      </w:r>
    </w:p>
    <w:p w:rsidR="00A155D0" w:rsidRPr="008800AC" w:rsidRDefault="00E40ED3" w:rsidP="008800AC">
      <w:pPr>
        <w:spacing w:line="360" w:lineRule="auto"/>
        <w:jc w:val="both"/>
      </w:pPr>
      <w:r w:rsidRPr="008800AC">
        <w:rPr>
          <w:color w:val="000000"/>
        </w:rPr>
        <w:t>The graded relationship observed between diabetes duration and thyroid dysfunction prevalence in this study is consistent with the concept of cumulative autoimmune and metabolic burden over the course of long-standing diabetes, and parallels findings from the Fremantle Diabetes Study, which similarly documented progression of subclinical hypothyroidism over time in women with type 2 diabetes.</w:t>
      </w:r>
      <w:r w:rsidRPr="008800AC">
        <w:rPr>
          <w:color w:val="000000"/>
          <w:vertAlign w:val="superscript"/>
        </w:rPr>
        <w:t>10</w:t>
      </w:r>
      <w:r w:rsidRPr="008800AC">
        <w:rPr>
          <w:color w:val="000000"/>
        </w:rPr>
        <w:t xml:space="preserve"> The independent association observed between family history of thyroid disease and thyroid dysfunction in this study reinforces the substantial genetic and autoimmune contribution to thyroid disease risk, a relationship well established since the classic description of coexisting autoimmune endocrinopathies by Nerup and Binder.</w:t>
      </w:r>
      <w:r w:rsidRPr="008800AC">
        <w:rPr>
          <w:color w:val="000000"/>
          <w:vertAlign w:val="superscript"/>
        </w:rPr>
        <w:t>13</w:t>
      </w:r>
    </w:p>
    <w:p w:rsidR="00A155D0" w:rsidRPr="008800AC" w:rsidRDefault="00E40ED3" w:rsidP="008800AC">
      <w:pPr>
        <w:spacing w:line="360" w:lineRule="auto"/>
        <w:jc w:val="both"/>
      </w:pPr>
      <w:r w:rsidRPr="008800AC">
        <w:rPr>
          <w:color w:val="000000"/>
        </w:rPr>
        <w:t>The borderline independent association observed between poor glycaemic control and thyroid dysfunction after multivariate adjustment is consistent with proposed mechanisms linking insulin resistance and hyperglycaemia to altered hypothalamic-pituitary-thyroid axis regulation, though the modest strength of this association after adjustment for other factors suggests that glycaemic control may play a more modest, or partly mediating, role compared with the stronger independent contributions of family history and disease duration.</w:t>
      </w:r>
      <w:r w:rsidRPr="008800AC">
        <w:rPr>
          <w:color w:val="000000"/>
          <w:vertAlign w:val="superscript"/>
        </w:rPr>
        <w:t>13,14</w:t>
      </w:r>
      <w:r w:rsidRPr="008800AC">
        <w:rPr>
          <w:color w:val="000000"/>
        </w:rPr>
        <w:t xml:space="preserve"> Taken together, these findings support the recommendation, first articulated by Perros and colleagues and reinforced by subsequent longitudinal data on thyrotropin trajectories, that thyroid function screening should be incorporated as a routine component of diabetes care, particularly in patients with long-standing disease or a family history of thyroid disorders.</w:t>
      </w:r>
      <w:r w:rsidRPr="008800AC">
        <w:rPr>
          <w:color w:val="000000"/>
          <w:vertAlign w:val="superscript"/>
        </w:rPr>
        <w:t>1,12</w:t>
      </w:r>
    </w:p>
    <w:p w:rsidR="00A155D0" w:rsidRPr="008800AC" w:rsidRDefault="00E40ED3" w:rsidP="008800AC">
      <w:pPr>
        <w:pStyle w:val="Heading1"/>
        <w:spacing w:line="360" w:lineRule="auto"/>
        <w:jc w:val="both"/>
        <w:rPr>
          <w:sz w:val="20"/>
          <w:szCs w:val="20"/>
        </w:rPr>
      </w:pPr>
      <w:r w:rsidRPr="008800AC">
        <w:rPr>
          <w:b/>
          <w:bCs/>
          <w:color w:val="000000"/>
          <w:sz w:val="20"/>
          <w:szCs w:val="20"/>
        </w:rPr>
        <w:t>Strengths and Limitations</w:t>
      </w:r>
    </w:p>
    <w:p w:rsidR="00A155D0" w:rsidRPr="008800AC" w:rsidRDefault="00E40ED3" w:rsidP="008800AC">
      <w:pPr>
        <w:spacing w:line="360" w:lineRule="auto"/>
        <w:jc w:val="both"/>
      </w:pPr>
      <w:r w:rsidRPr="008800AC">
        <w:rPr>
          <w:color w:val="000000"/>
        </w:rPr>
        <w:t>This study's strengths include direct biochemical measurement of both TSH and free T4 in all participants, enabling comprehensive classification of thyroid status, and a sample size adequate to detect clinically meaningful associations. Limitations include the single-centre, hospital-based, cross-sectional design, which limits generalisability and precludes causal inference; the absence of thyroid autoantibody testing, which would have allowed better characterisation of the autoimmune contribution to observed hypothyroidism; and reliance on a single thyroid function measurement, which cannot exclude transient or subsequently resolving abnormalities.</w:t>
      </w:r>
    </w:p>
    <w:p w:rsidR="00A155D0" w:rsidRPr="008800AC" w:rsidRDefault="00E40ED3" w:rsidP="008800AC">
      <w:pPr>
        <w:pStyle w:val="Heading1"/>
        <w:spacing w:line="360" w:lineRule="auto"/>
        <w:jc w:val="both"/>
        <w:rPr>
          <w:sz w:val="20"/>
          <w:szCs w:val="20"/>
        </w:rPr>
      </w:pPr>
      <w:r w:rsidRPr="008800AC">
        <w:rPr>
          <w:b/>
          <w:bCs/>
          <w:color w:val="000000"/>
          <w:sz w:val="20"/>
          <w:szCs w:val="20"/>
        </w:rPr>
        <w:t>Conclusion</w:t>
      </w:r>
    </w:p>
    <w:p w:rsidR="00A155D0" w:rsidRPr="008800AC" w:rsidRDefault="00E40ED3" w:rsidP="008800AC">
      <w:pPr>
        <w:spacing w:line="360" w:lineRule="auto"/>
        <w:jc w:val="both"/>
      </w:pPr>
      <w:r w:rsidRPr="008800AC">
        <w:rPr>
          <w:color w:val="000000"/>
        </w:rPr>
        <w:t>Thyroid dysfunction, predominantly subclinical hypothyroidism, is common among patients with type 2 diabetes mellitus attending this tertiary care hospital, with prevalence increasing significantly with diabetes duration and family history of thyroid disease. These findings support incorporating routine thyroid function screening into standard diabetes care, particularly for patients with long-standing disease or a family history of thyroid disorders.</w:t>
      </w:r>
    </w:p>
    <w:p w:rsidR="008800AC" w:rsidRDefault="008800AC" w:rsidP="008800AC">
      <w:pPr>
        <w:pStyle w:val="Heading1"/>
        <w:spacing w:line="360" w:lineRule="auto"/>
        <w:jc w:val="both"/>
        <w:rPr>
          <w:b/>
          <w:bCs/>
          <w:color w:val="000000"/>
          <w:sz w:val="20"/>
          <w:szCs w:val="20"/>
        </w:rPr>
      </w:pPr>
    </w:p>
    <w:p w:rsidR="00A155D0" w:rsidRPr="008800AC" w:rsidRDefault="00E40ED3" w:rsidP="008800AC">
      <w:pPr>
        <w:pStyle w:val="Heading1"/>
        <w:spacing w:line="360" w:lineRule="auto"/>
        <w:jc w:val="both"/>
        <w:rPr>
          <w:sz w:val="20"/>
          <w:szCs w:val="20"/>
        </w:rPr>
      </w:pPr>
      <w:r w:rsidRPr="008800AC">
        <w:rPr>
          <w:b/>
          <w:bCs/>
          <w:color w:val="000000"/>
          <w:sz w:val="20"/>
          <w:szCs w:val="20"/>
        </w:rPr>
        <w:t>References</w:t>
      </w:r>
    </w:p>
    <w:p w:rsidR="00A155D0" w:rsidRPr="008800AC" w:rsidRDefault="00E40ED3" w:rsidP="008800AC">
      <w:pPr>
        <w:spacing w:line="360" w:lineRule="auto"/>
        <w:ind w:left="400" w:hanging="400"/>
        <w:jc w:val="both"/>
      </w:pPr>
      <w:r w:rsidRPr="008800AC">
        <w:rPr>
          <w:color w:val="000000"/>
        </w:rPr>
        <w:t>1. Perros P, McCrimmon RJ, Shaw G, Frier BM. Frequency of thyroid dysfunction in diabetic patients: value of annual screening. Diabet Med. 1995;12(7):622-7.</w:t>
      </w:r>
    </w:p>
    <w:p w:rsidR="00A155D0" w:rsidRPr="008800AC" w:rsidRDefault="00E40ED3" w:rsidP="008800AC">
      <w:pPr>
        <w:spacing w:line="360" w:lineRule="auto"/>
        <w:ind w:left="400" w:hanging="400"/>
        <w:jc w:val="both"/>
      </w:pPr>
      <w:r w:rsidRPr="008800AC">
        <w:rPr>
          <w:color w:val="000000"/>
        </w:rPr>
        <w:t>2. Tunbridge WMG, Evered DC, Hall R, Appleton D, Brewis M, Clark F, et al. The spectrum of thyroid disease in a community: the Whickham survey. Clin Endocrinol (Oxf). 1977;7(6):481-93.</w:t>
      </w:r>
    </w:p>
    <w:p w:rsidR="00A155D0" w:rsidRPr="008800AC" w:rsidRDefault="00E40ED3" w:rsidP="008800AC">
      <w:pPr>
        <w:spacing w:line="360" w:lineRule="auto"/>
        <w:ind w:left="400" w:hanging="400"/>
        <w:jc w:val="both"/>
      </w:pPr>
      <w:r w:rsidRPr="008800AC">
        <w:rPr>
          <w:color w:val="000000"/>
        </w:rPr>
        <w:t>3. Vanderpump MP, Tunbridge WM, French JM, Appleton D, Bates D, Clark F, et al. The incidence of thyroid disorders in the community: a twenty-year follow-up of the Whickham Survey. Clin Endocrinol (Oxf). 1995;43(1):55-68.</w:t>
      </w:r>
    </w:p>
    <w:p w:rsidR="00A155D0" w:rsidRPr="008800AC" w:rsidRDefault="00E40ED3" w:rsidP="008800AC">
      <w:pPr>
        <w:spacing w:line="360" w:lineRule="auto"/>
        <w:ind w:left="400" w:hanging="400"/>
        <w:jc w:val="both"/>
      </w:pPr>
      <w:r w:rsidRPr="008800AC">
        <w:rPr>
          <w:color w:val="000000"/>
        </w:rPr>
        <w:t>4. Canaris GJ, Manowitz NR, Mayor G, Ridgway EC. The Colorado thyroid disease prevalence study. Arch Intern Med. 2000;160(4):526-34.</w:t>
      </w:r>
    </w:p>
    <w:p w:rsidR="00A155D0" w:rsidRPr="008800AC" w:rsidRDefault="00E40ED3" w:rsidP="008800AC">
      <w:pPr>
        <w:spacing w:line="360" w:lineRule="auto"/>
        <w:ind w:left="400" w:hanging="400"/>
        <w:jc w:val="both"/>
      </w:pPr>
      <w:r w:rsidRPr="008800AC">
        <w:rPr>
          <w:color w:val="000000"/>
        </w:rPr>
        <w:t>5. Hollowell JG, Staehling NW, Flanders WD, Hannon WH, Gunter EW, Spencer CA, Braverman LE. Serum TSH, T4, and thyroid antibodies in the United States population (1988 to 1994): National Health and Nutrition Examination Survey (NHANES III). J Clin Endocrinol Metab. 2002;87(2):489-99.</w:t>
      </w:r>
    </w:p>
    <w:p w:rsidR="00A155D0" w:rsidRPr="008800AC" w:rsidRDefault="00E40ED3" w:rsidP="008800AC">
      <w:pPr>
        <w:spacing w:line="360" w:lineRule="auto"/>
        <w:ind w:left="400" w:hanging="400"/>
        <w:jc w:val="both"/>
      </w:pPr>
      <w:r w:rsidRPr="008800AC">
        <w:rPr>
          <w:color w:val="000000"/>
        </w:rPr>
        <w:t>6. Smithson MJ. Screening for thyroid dysfunction in a community population of diabetic patients. Diabet Med. 1998;15(2):148-50.</w:t>
      </w:r>
    </w:p>
    <w:p w:rsidR="00A155D0" w:rsidRPr="008800AC" w:rsidRDefault="00E40ED3" w:rsidP="008800AC">
      <w:pPr>
        <w:spacing w:line="360" w:lineRule="auto"/>
        <w:ind w:left="400" w:hanging="400"/>
        <w:jc w:val="both"/>
      </w:pPr>
      <w:r w:rsidRPr="008800AC">
        <w:rPr>
          <w:color w:val="000000"/>
        </w:rPr>
        <w:t>7. Gray RS, Irvine WJ, Clarke BF. Screening for thyroid dysfunction in diabetics. Br Med J. 1979;2(6202):1439.</w:t>
      </w:r>
    </w:p>
    <w:p w:rsidR="00A155D0" w:rsidRPr="008800AC" w:rsidRDefault="00E40ED3" w:rsidP="008800AC">
      <w:pPr>
        <w:spacing w:line="360" w:lineRule="auto"/>
        <w:ind w:left="400" w:hanging="400"/>
        <w:jc w:val="both"/>
      </w:pPr>
      <w:r w:rsidRPr="008800AC">
        <w:rPr>
          <w:color w:val="000000"/>
        </w:rPr>
        <w:t>8. Feely J, Isles TE. Screening for thyroid dysfunction in diabetics. Br Med J. 1979;1(6179):1678.</w:t>
      </w:r>
    </w:p>
    <w:p w:rsidR="00A155D0" w:rsidRPr="008800AC" w:rsidRDefault="00E40ED3" w:rsidP="008800AC">
      <w:pPr>
        <w:spacing w:line="360" w:lineRule="auto"/>
        <w:ind w:left="400" w:hanging="400"/>
        <w:jc w:val="both"/>
      </w:pPr>
      <w:r w:rsidRPr="008800AC">
        <w:rPr>
          <w:color w:val="000000"/>
        </w:rPr>
        <w:t>9. Celani MF, Bonati ME, Stucci N. Prevalence of abnormal thyrotropin concentrations measured by a sensitive assay in patients with type 2 diabetes mellitus. Diabetes Res. 1994;27(1):15-25.</w:t>
      </w:r>
    </w:p>
    <w:p w:rsidR="00A155D0" w:rsidRPr="008800AC" w:rsidRDefault="00E40ED3" w:rsidP="008800AC">
      <w:pPr>
        <w:spacing w:line="360" w:lineRule="auto"/>
        <w:ind w:left="400" w:hanging="400"/>
        <w:jc w:val="both"/>
      </w:pPr>
      <w:r w:rsidRPr="008800AC">
        <w:rPr>
          <w:color w:val="000000"/>
        </w:rPr>
        <w:t>10. Chubb SA, Davis WA, Inman Z, Davis TM. Prevalence and progression of subclinical hypothyroidism in women with type 2 diabetes: the Fremantle Diabetes Study. Clin Endocrinol (Oxf). 2005;62(4):480-6.</w:t>
      </w:r>
    </w:p>
    <w:p w:rsidR="00A155D0" w:rsidRPr="008800AC" w:rsidRDefault="00E40ED3" w:rsidP="008800AC">
      <w:pPr>
        <w:spacing w:line="360" w:lineRule="auto"/>
        <w:ind w:left="400" w:hanging="400"/>
        <w:jc w:val="both"/>
      </w:pPr>
      <w:r w:rsidRPr="008800AC">
        <w:rPr>
          <w:color w:val="000000"/>
        </w:rPr>
        <w:t>11. Radaideh AR, Nusier MK, Amari FL, Bateiha AE, El-Khateeb MS, Naser AS, Ajlouni KM. Thyroid dysfunction in patients with type 2 diabetes mellitus in Jordan. Saudi Med J. 2004;25(8):1046-50.</w:t>
      </w:r>
    </w:p>
    <w:p w:rsidR="00A155D0" w:rsidRPr="008800AC" w:rsidRDefault="00E40ED3" w:rsidP="008800AC">
      <w:pPr>
        <w:spacing w:line="360" w:lineRule="auto"/>
        <w:ind w:left="400" w:hanging="400"/>
        <w:jc w:val="both"/>
      </w:pPr>
      <w:r w:rsidRPr="008800AC">
        <w:rPr>
          <w:color w:val="000000"/>
        </w:rPr>
        <w:t>12. Warren RE, Perros P, Nyirenda MJ, Frier BM. Serum thyrotropin is a better predictor of future thyroid dysfunction than thyroid autoantibody status in biochemically euthyroid patients with diabetes: implications for screening. Thyroid. 2004;14(10):853-7.</w:t>
      </w:r>
    </w:p>
    <w:p w:rsidR="00A155D0" w:rsidRPr="008800AC" w:rsidRDefault="00E40ED3" w:rsidP="008800AC">
      <w:pPr>
        <w:spacing w:line="360" w:lineRule="auto"/>
        <w:ind w:left="400" w:hanging="400"/>
        <w:jc w:val="both"/>
      </w:pPr>
      <w:r w:rsidRPr="008800AC">
        <w:rPr>
          <w:color w:val="000000"/>
        </w:rPr>
        <w:t>13. Nerup J, Binder C. Thyroid, gastric and adrenal auto-immunity in diabetes mellitus. Acta Endocrinol (Copenh). 1973;72(2):279-86.</w:t>
      </w:r>
    </w:p>
    <w:p w:rsidR="00A155D0" w:rsidRPr="008800AC" w:rsidRDefault="00E40ED3" w:rsidP="008800AC">
      <w:pPr>
        <w:spacing w:line="360" w:lineRule="auto"/>
        <w:ind w:left="400" w:hanging="400"/>
        <w:jc w:val="both"/>
      </w:pPr>
      <w:r w:rsidRPr="008800AC">
        <w:rPr>
          <w:color w:val="000000"/>
        </w:rPr>
        <w:t>14. Bilous RW, Tunbridge WMG. The epidemiology of hypothyroidism--an update. Bailliere's Clin Endocrinol Metab. 1988;2(3):531-40.</w:t>
      </w:r>
    </w:p>
    <w:p w:rsidR="00A155D0" w:rsidRPr="008800AC" w:rsidRDefault="00E40ED3" w:rsidP="008800AC">
      <w:pPr>
        <w:spacing w:line="360" w:lineRule="auto"/>
        <w:ind w:left="400" w:hanging="400"/>
        <w:jc w:val="both"/>
      </w:pPr>
      <w:r w:rsidRPr="008800AC">
        <w:rPr>
          <w:color w:val="000000"/>
        </w:rPr>
        <w:t>15. Mouradian M, Abourizk N. Diabetes mellitus and thyroid disease. Diabetes Care. 1983;6(5):512-20.</w:t>
      </w:r>
    </w:p>
    <w:p w:rsidR="00A155D0" w:rsidRPr="008800AC" w:rsidRDefault="00E40ED3" w:rsidP="008800AC">
      <w:pPr>
        <w:spacing w:line="360" w:lineRule="auto"/>
        <w:ind w:left="400" w:hanging="400"/>
        <w:jc w:val="both"/>
      </w:pPr>
      <w:r w:rsidRPr="008800AC">
        <w:rPr>
          <w:color w:val="000000"/>
        </w:rPr>
        <w:t>16. Wild S, Roglic G, Green A, Sicree R, King H. Global prevalence of diabetes: estimates for the year 2000 and projections for 2030. Diabetes Care. 2004;27(5):1047-53.</w:t>
      </w:r>
    </w:p>
    <w:p w:rsidR="00A155D0" w:rsidRPr="008800AC" w:rsidRDefault="00E40ED3" w:rsidP="008800AC">
      <w:pPr>
        <w:spacing w:line="360" w:lineRule="auto"/>
        <w:ind w:left="400" w:hanging="400"/>
        <w:jc w:val="both"/>
      </w:pPr>
      <w:r w:rsidRPr="008800AC">
        <w:rPr>
          <w:color w:val="000000"/>
        </w:rPr>
        <w:t>17. UK Prospective Diabetes Study (UKPDS) Group. Intensive blood-glucose control with sulphonylureas or insulin compared with conventional treatment in patients with type 2 diabetes (UKPDS 33). Lancet. 1998;352(9131):837-53.</w:t>
      </w:r>
    </w:p>
    <w:p w:rsidR="00A155D0" w:rsidRPr="008800AC" w:rsidRDefault="00E40ED3" w:rsidP="008800AC">
      <w:pPr>
        <w:spacing w:line="360" w:lineRule="auto"/>
        <w:ind w:left="400" w:hanging="400"/>
        <w:jc w:val="both"/>
      </w:pPr>
      <w:r w:rsidRPr="008800AC">
        <w:rPr>
          <w:color w:val="000000"/>
        </w:rPr>
        <w:t>18. Parle JV, Franklyn JA, Cross KW, Jones SC, Sheppard MC. Prevalence and follow up of abnormal thyrotropin (TSH) concentrations in the elderly in the United Kingdom. Clin Endocrinol (Oxf). 1991;34(1):77-83.</w:t>
      </w:r>
    </w:p>
    <w:p w:rsidR="00A155D0" w:rsidRPr="008800AC" w:rsidRDefault="00E40ED3" w:rsidP="008800AC">
      <w:pPr>
        <w:spacing w:line="360" w:lineRule="auto"/>
        <w:ind w:left="400" w:hanging="400"/>
        <w:jc w:val="both"/>
      </w:pPr>
      <w:r w:rsidRPr="008800AC">
        <w:rPr>
          <w:color w:val="000000"/>
        </w:rPr>
        <w:t>19. Fisher DA. Effectiveness of newborn screening programs for congenital hypothyroidism: prevalence of missed cases. Pediatr Clin North Am. 1987;34(4):881-90.</w:t>
      </w:r>
    </w:p>
    <w:p w:rsidR="00A155D0" w:rsidRPr="008800AC" w:rsidRDefault="00E40ED3" w:rsidP="008800AC">
      <w:pPr>
        <w:spacing w:line="360" w:lineRule="auto"/>
        <w:ind w:left="400" w:hanging="400"/>
        <w:jc w:val="both"/>
      </w:pPr>
      <w:r w:rsidRPr="008800AC">
        <w:rPr>
          <w:color w:val="000000"/>
        </w:rPr>
        <w:t>20. Rae P, Farrar J, Beckett G, Toft A. Assessment of thyroid status in elderly people. BMJ. 1993;307(6897):177-80.</w:t>
      </w:r>
    </w:p>
    <w:sectPr w:rsidR="00A155D0" w:rsidRPr="008800AC" w:rsidSect="008800AC">
      <w:headerReference w:type="default" r:id="rId13"/>
      <w:footerReference w:type="default" r:id="rId14"/>
      <w:pgSz w:w="11906" w:h="16838"/>
      <w:pgMar w:top="1440" w:right="1440" w:bottom="1440" w:left="1440" w:header="708" w:footer="708" w:gutter="0"/>
      <w:pgNumType w:start="36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D03" w:rsidRDefault="004C6D03" w:rsidP="008800AC">
      <w:r>
        <w:separator/>
      </w:r>
    </w:p>
  </w:endnote>
  <w:endnote w:type="continuationSeparator" w:id="0">
    <w:p w:rsidR="004C6D03" w:rsidRDefault="004C6D03" w:rsidP="00880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1"/>
    <w:family w:val="roman"/>
    <w:notTrueType/>
    <w:pitch w:val="variable"/>
    <w:sig w:usb0="00040000" w:usb1="00000000" w:usb2="00000000" w:usb3="00000000" w:csb0="00000000"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387491"/>
      <w:docPartObj>
        <w:docPartGallery w:val="Page Numbers (Bottom of Page)"/>
        <w:docPartUnique/>
      </w:docPartObj>
    </w:sdtPr>
    <w:sdtEndPr>
      <w:rPr>
        <w:noProof/>
      </w:rPr>
    </w:sdtEndPr>
    <w:sdtContent>
      <w:p w:rsidR="008800AC" w:rsidRDefault="008800AC">
        <w:pPr>
          <w:pStyle w:val="Footer"/>
          <w:jc w:val="right"/>
        </w:pPr>
        <w:r>
          <w:fldChar w:fldCharType="begin"/>
        </w:r>
        <w:r>
          <w:instrText xml:space="preserve"> PAGE   \* MERGEFORMAT </w:instrText>
        </w:r>
        <w:r>
          <w:fldChar w:fldCharType="separate"/>
        </w:r>
        <w:r w:rsidR="004C6D03">
          <w:rPr>
            <w:noProof/>
          </w:rPr>
          <w:t>368</w:t>
        </w:r>
        <w:r>
          <w:rPr>
            <w:noProof/>
          </w:rPr>
          <w:fldChar w:fldCharType="end"/>
        </w:r>
      </w:p>
    </w:sdtContent>
  </w:sdt>
  <w:p w:rsidR="008800AC" w:rsidRPr="008800AC" w:rsidRDefault="008800AC" w:rsidP="008800AC">
    <w:pPr>
      <w:tabs>
        <w:tab w:val="center" w:pos="4513"/>
        <w:tab w:val="right" w:pos="9026"/>
      </w:tabs>
      <w:jc w:val="center"/>
      <w:rPr>
        <w:rFonts w:ascii="Calibri" w:hAnsi="Calibri" w:cs="Latha"/>
        <w:sz w:val="22"/>
        <w:szCs w:val="22"/>
        <w:lang w:val="en-US" w:eastAsia="en-IN" w:bidi="ta-IN"/>
      </w:rPr>
    </w:pPr>
    <w:r w:rsidRPr="008800AC">
      <w:rPr>
        <w:rFonts w:ascii="Calibri" w:hAnsi="Calibri" w:cs="Latha"/>
        <w:sz w:val="22"/>
        <w:szCs w:val="22"/>
        <w:lang w:val="en-US" w:eastAsia="en-IN" w:bidi="ta-IN"/>
      </w:rPr>
      <w:t>www.ijbamr.com</w:t>
    </w:r>
  </w:p>
  <w:p w:rsidR="008800AC" w:rsidRDefault="00880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D03" w:rsidRDefault="004C6D03" w:rsidP="008800AC">
      <w:r>
        <w:separator/>
      </w:r>
    </w:p>
  </w:footnote>
  <w:footnote w:type="continuationSeparator" w:id="0">
    <w:p w:rsidR="004C6D03" w:rsidRDefault="004C6D03" w:rsidP="008800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0AC" w:rsidRPr="008800AC" w:rsidRDefault="008800AC" w:rsidP="008800AC">
    <w:pPr>
      <w:tabs>
        <w:tab w:val="center" w:pos="4513"/>
        <w:tab w:val="right" w:pos="9026"/>
      </w:tabs>
      <w:jc w:val="center"/>
      <w:rPr>
        <w:lang w:val="en-US"/>
      </w:rPr>
    </w:pPr>
    <w:r w:rsidRPr="008800AC">
      <w:rPr>
        <w:lang w:val="en-US"/>
      </w:rPr>
      <w:t>Indian Journal of Basic &amp; Applied Medical Research; December 2011: Issue-1, Vol.-1, P. 36</w:t>
    </w:r>
    <w:r>
      <w:rPr>
        <w:lang w:val="en-US"/>
      </w:rPr>
      <w:t>8 - 375</w:t>
    </w:r>
  </w:p>
  <w:p w:rsidR="008800AC" w:rsidRDefault="008800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A6501"/>
    <w:multiLevelType w:val="hybridMultilevel"/>
    <w:tmpl w:val="54860B38"/>
    <w:lvl w:ilvl="0" w:tplc="CF00EE10">
      <w:start w:val="1"/>
      <w:numFmt w:val="bullet"/>
      <w:lvlText w:val="●"/>
      <w:lvlJc w:val="left"/>
      <w:pPr>
        <w:ind w:left="720" w:hanging="360"/>
      </w:pPr>
    </w:lvl>
    <w:lvl w:ilvl="1" w:tplc="9252F422">
      <w:start w:val="1"/>
      <w:numFmt w:val="bullet"/>
      <w:lvlText w:val="○"/>
      <w:lvlJc w:val="left"/>
      <w:pPr>
        <w:ind w:left="1440" w:hanging="360"/>
      </w:pPr>
    </w:lvl>
    <w:lvl w:ilvl="2" w:tplc="536E08B4">
      <w:start w:val="1"/>
      <w:numFmt w:val="bullet"/>
      <w:lvlText w:val="■"/>
      <w:lvlJc w:val="left"/>
      <w:pPr>
        <w:ind w:left="2160" w:hanging="360"/>
      </w:pPr>
    </w:lvl>
    <w:lvl w:ilvl="3" w:tplc="35206EF8">
      <w:start w:val="1"/>
      <w:numFmt w:val="bullet"/>
      <w:lvlText w:val="●"/>
      <w:lvlJc w:val="left"/>
      <w:pPr>
        <w:ind w:left="2880" w:hanging="360"/>
      </w:pPr>
    </w:lvl>
    <w:lvl w:ilvl="4" w:tplc="B9547A28">
      <w:start w:val="1"/>
      <w:numFmt w:val="bullet"/>
      <w:lvlText w:val="○"/>
      <w:lvlJc w:val="left"/>
      <w:pPr>
        <w:ind w:left="3600" w:hanging="360"/>
      </w:pPr>
    </w:lvl>
    <w:lvl w:ilvl="5" w:tplc="C980B48A">
      <w:start w:val="1"/>
      <w:numFmt w:val="bullet"/>
      <w:lvlText w:val="■"/>
      <w:lvlJc w:val="left"/>
      <w:pPr>
        <w:ind w:left="4320" w:hanging="360"/>
      </w:pPr>
    </w:lvl>
    <w:lvl w:ilvl="6" w:tplc="95928E86">
      <w:start w:val="1"/>
      <w:numFmt w:val="bullet"/>
      <w:lvlText w:val="●"/>
      <w:lvlJc w:val="left"/>
      <w:pPr>
        <w:ind w:left="5040" w:hanging="360"/>
      </w:pPr>
    </w:lvl>
    <w:lvl w:ilvl="7" w:tplc="13F2A4A6">
      <w:start w:val="1"/>
      <w:numFmt w:val="bullet"/>
      <w:lvlText w:val="●"/>
      <w:lvlJc w:val="left"/>
      <w:pPr>
        <w:ind w:left="5760" w:hanging="360"/>
      </w:pPr>
    </w:lvl>
    <w:lvl w:ilvl="8" w:tplc="F13653D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A155D0"/>
    <w:rsid w:val="001761B1"/>
    <w:rsid w:val="00267BCC"/>
    <w:rsid w:val="0029604C"/>
    <w:rsid w:val="00425C03"/>
    <w:rsid w:val="004C6D03"/>
    <w:rsid w:val="004E597D"/>
    <w:rsid w:val="006234BF"/>
    <w:rsid w:val="008800AC"/>
    <w:rsid w:val="00A155D0"/>
    <w:rsid w:val="00A72CC9"/>
    <w:rsid w:val="00B52142"/>
    <w:rsid w:val="00C31F6D"/>
    <w:rsid w:val="00CA7017"/>
    <w:rsid w:val="00D75F27"/>
    <w:rsid w:val="00E40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142"/>
  </w:style>
  <w:style w:type="paragraph" w:styleId="Heading1">
    <w:name w:val="heading 1"/>
    <w:uiPriority w:val="9"/>
    <w:qFormat/>
    <w:rsid w:val="00B52142"/>
    <w:pPr>
      <w:outlineLvl w:val="0"/>
    </w:pPr>
    <w:rPr>
      <w:color w:val="2E74B5"/>
      <w:sz w:val="32"/>
      <w:szCs w:val="32"/>
    </w:rPr>
  </w:style>
  <w:style w:type="paragraph" w:styleId="Heading2">
    <w:name w:val="heading 2"/>
    <w:uiPriority w:val="9"/>
    <w:unhideWhenUsed/>
    <w:qFormat/>
    <w:rsid w:val="00B52142"/>
    <w:pPr>
      <w:outlineLvl w:val="1"/>
    </w:pPr>
    <w:rPr>
      <w:color w:val="2E74B5"/>
      <w:sz w:val="26"/>
      <w:szCs w:val="26"/>
    </w:rPr>
  </w:style>
  <w:style w:type="paragraph" w:styleId="Heading3">
    <w:name w:val="heading 3"/>
    <w:uiPriority w:val="9"/>
    <w:semiHidden/>
    <w:unhideWhenUsed/>
    <w:qFormat/>
    <w:rsid w:val="00B52142"/>
    <w:pPr>
      <w:outlineLvl w:val="2"/>
    </w:pPr>
    <w:rPr>
      <w:color w:val="1F4D78"/>
      <w:sz w:val="24"/>
      <w:szCs w:val="24"/>
    </w:rPr>
  </w:style>
  <w:style w:type="paragraph" w:styleId="Heading4">
    <w:name w:val="heading 4"/>
    <w:uiPriority w:val="9"/>
    <w:semiHidden/>
    <w:unhideWhenUsed/>
    <w:qFormat/>
    <w:rsid w:val="00B52142"/>
    <w:pPr>
      <w:outlineLvl w:val="3"/>
    </w:pPr>
    <w:rPr>
      <w:i/>
      <w:iCs/>
      <w:color w:val="2E74B5"/>
    </w:rPr>
  </w:style>
  <w:style w:type="paragraph" w:styleId="Heading5">
    <w:name w:val="heading 5"/>
    <w:uiPriority w:val="9"/>
    <w:semiHidden/>
    <w:unhideWhenUsed/>
    <w:qFormat/>
    <w:rsid w:val="00B52142"/>
    <w:pPr>
      <w:outlineLvl w:val="4"/>
    </w:pPr>
    <w:rPr>
      <w:color w:val="2E74B5"/>
    </w:rPr>
  </w:style>
  <w:style w:type="paragraph" w:styleId="Heading6">
    <w:name w:val="heading 6"/>
    <w:uiPriority w:val="9"/>
    <w:semiHidden/>
    <w:unhideWhenUsed/>
    <w:qFormat/>
    <w:rsid w:val="00B52142"/>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B52142"/>
    <w:rPr>
      <w:sz w:val="56"/>
      <w:szCs w:val="56"/>
    </w:rPr>
  </w:style>
  <w:style w:type="paragraph" w:customStyle="1" w:styleId="Strong1">
    <w:name w:val="Strong1"/>
    <w:qFormat/>
    <w:rsid w:val="00B52142"/>
    <w:rPr>
      <w:b/>
      <w:bCs/>
    </w:rPr>
  </w:style>
  <w:style w:type="paragraph" w:styleId="ListParagraph">
    <w:name w:val="List Paragraph"/>
    <w:qFormat/>
    <w:rsid w:val="00B52142"/>
  </w:style>
  <w:style w:type="character" w:styleId="Hyperlink">
    <w:name w:val="Hyperlink"/>
    <w:uiPriority w:val="99"/>
    <w:unhideWhenUsed/>
    <w:rsid w:val="00B52142"/>
    <w:rPr>
      <w:color w:val="0563C1"/>
      <w:u w:val="single"/>
    </w:rPr>
  </w:style>
  <w:style w:type="character" w:styleId="FootnoteReference">
    <w:name w:val="footnote reference"/>
    <w:uiPriority w:val="99"/>
    <w:semiHidden/>
    <w:unhideWhenUsed/>
    <w:rsid w:val="00B52142"/>
    <w:rPr>
      <w:vertAlign w:val="superscript"/>
    </w:rPr>
  </w:style>
  <w:style w:type="paragraph" w:styleId="FootnoteText">
    <w:name w:val="footnote text"/>
    <w:link w:val="FootnoteTextChar"/>
    <w:uiPriority w:val="99"/>
    <w:semiHidden/>
    <w:unhideWhenUsed/>
    <w:rsid w:val="00B52142"/>
  </w:style>
  <w:style w:type="character" w:customStyle="1" w:styleId="FootnoteTextChar">
    <w:name w:val="Footnote Text Char"/>
    <w:link w:val="FootnoteText"/>
    <w:uiPriority w:val="99"/>
    <w:semiHidden/>
    <w:unhideWhenUsed/>
    <w:rsid w:val="00B52142"/>
    <w:rPr>
      <w:sz w:val="20"/>
      <w:szCs w:val="20"/>
    </w:rPr>
  </w:style>
  <w:style w:type="character" w:styleId="EndnoteReference">
    <w:name w:val="endnote reference"/>
    <w:uiPriority w:val="99"/>
    <w:semiHidden/>
    <w:unhideWhenUsed/>
    <w:rsid w:val="00B52142"/>
    <w:rPr>
      <w:vertAlign w:val="superscript"/>
    </w:rPr>
  </w:style>
  <w:style w:type="paragraph" w:styleId="EndnoteText">
    <w:name w:val="endnote text"/>
    <w:link w:val="EndnoteTextChar"/>
    <w:uiPriority w:val="99"/>
    <w:semiHidden/>
    <w:unhideWhenUsed/>
    <w:rsid w:val="00B52142"/>
  </w:style>
  <w:style w:type="character" w:customStyle="1" w:styleId="EndnoteTextChar">
    <w:name w:val="Endnote Text Char"/>
    <w:link w:val="EndnoteText"/>
    <w:uiPriority w:val="99"/>
    <w:semiHidden/>
    <w:unhideWhenUsed/>
    <w:rsid w:val="00B52142"/>
    <w:rPr>
      <w:sz w:val="20"/>
      <w:szCs w:val="20"/>
    </w:rPr>
  </w:style>
  <w:style w:type="paragraph" w:styleId="BalloonText">
    <w:name w:val="Balloon Text"/>
    <w:basedOn w:val="Normal"/>
    <w:link w:val="BalloonTextChar"/>
    <w:uiPriority w:val="99"/>
    <w:semiHidden/>
    <w:unhideWhenUsed/>
    <w:rsid w:val="001761B1"/>
    <w:rPr>
      <w:rFonts w:ascii="Tahoma" w:hAnsi="Tahoma" w:cs="Tahoma"/>
      <w:sz w:val="16"/>
      <w:szCs w:val="16"/>
    </w:rPr>
  </w:style>
  <w:style w:type="character" w:customStyle="1" w:styleId="BalloonTextChar">
    <w:name w:val="Balloon Text Char"/>
    <w:basedOn w:val="DefaultParagraphFont"/>
    <w:link w:val="BalloonText"/>
    <w:uiPriority w:val="99"/>
    <w:semiHidden/>
    <w:rsid w:val="001761B1"/>
    <w:rPr>
      <w:rFonts w:ascii="Tahoma" w:hAnsi="Tahoma" w:cs="Tahoma"/>
      <w:sz w:val="16"/>
      <w:szCs w:val="16"/>
    </w:rPr>
  </w:style>
  <w:style w:type="paragraph" w:styleId="Header">
    <w:name w:val="header"/>
    <w:basedOn w:val="Normal"/>
    <w:link w:val="HeaderChar"/>
    <w:uiPriority w:val="99"/>
    <w:unhideWhenUsed/>
    <w:rsid w:val="008800AC"/>
    <w:pPr>
      <w:tabs>
        <w:tab w:val="center" w:pos="4513"/>
        <w:tab w:val="right" w:pos="9026"/>
      </w:tabs>
    </w:pPr>
  </w:style>
  <w:style w:type="character" w:customStyle="1" w:styleId="HeaderChar">
    <w:name w:val="Header Char"/>
    <w:basedOn w:val="DefaultParagraphFont"/>
    <w:link w:val="Header"/>
    <w:uiPriority w:val="99"/>
    <w:rsid w:val="008800AC"/>
  </w:style>
  <w:style w:type="paragraph" w:styleId="Footer">
    <w:name w:val="footer"/>
    <w:basedOn w:val="Normal"/>
    <w:link w:val="FooterChar"/>
    <w:uiPriority w:val="99"/>
    <w:unhideWhenUsed/>
    <w:rsid w:val="008800AC"/>
    <w:pPr>
      <w:tabs>
        <w:tab w:val="center" w:pos="4513"/>
        <w:tab w:val="right" w:pos="9026"/>
      </w:tabs>
    </w:pPr>
  </w:style>
  <w:style w:type="character" w:customStyle="1" w:styleId="FooterChar">
    <w:name w:val="Footer Char"/>
    <w:basedOn w:val="DefaultParagraphFont"/>
    <w:link w:val="Footer"/>
    <w:uiPriority w:val="99"/>
    <w:rsid w:val="008800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202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2505</Words>
  <Characters>14281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RDRL</cp:lastModifiedBy>
  <cp:revision>7</cp:revision>
  <cp:lastPrinted>2026-07-23T16:24:00Z</cp:lastPrinted>
  <dcterms:created xsi:type="dcterms:W3CDTF">2026-07-23T05:14:00Z</dcterms:created>
  <dcterms:modified xsi:type="dcterms:W3CDTF">2026-07-23T16:25:00Z</dcterms:modified>
</cp:coreProperties>
</file>