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70459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sz w:val="23"/>
          <w:szCs w:val="23"/>
        </w:rPr>
      </w:pPr>
      <w:r w:rsidRPr="005517B8">
        <w:rPr>
          <w:rFonts w:ascii="Calibri" w:hAnsi="Calibri" w:cs="Calibri"/>
          <w:sz w:val="24"/>
          <w:szCs w:val="24"/>
        </w:rPr>
        <w:t xml:space="preserve"> </w:t>
      </w:r>
      <w:r w:rsidRPr="005517B8">
        <w:rPr>
          <w:rFonts w:ascii="Cambria" w:hAnsi="Cambria" w:cs="Cambria"/>
          <w:b/>
          <w:bCs/>
          <w:sz w:val="23"/>
          <w:szCs w:val="23"/>
        </w:rPr>
        <w:t>Original article: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5517B8">
        <w:rPr>
          <w:rFonts w:ascii="Cambria" w:hAnsi="Cambria" w:cs="Cambria"/>
          <w:b/>
          <w:bCs/>
          <w:sz w:val="23"/>
          <w:szCs w:val="23"/>
        </w:rPr>
        <w:t xml:space="preserve"> </w:t>
      </w:r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 xml:space="preserve">Comparative Evaluation of </w:t>
      </w:r>
      <w:proofErr w:type="spellStart"/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>Blumgart</w:t>
      </w:r>
      <w:proofErr w:type="spellEnd"/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 xml:space="preserve"> and Conventional Duct-to-Mucosa </w:t>
      </w:r>
      <w:proofErr w:type="spellStart"/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>Pancreaticojejunostomy</w:t>
      </w:r>
      <w:proofErr w:type="spellEnd"/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 xml:space="preserve"> Following </w:t>
      </w:r>
      <w:proofErr w:type="spellStart"/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>Pancreaticoduodenectomy</w:t>
      </w:r>
      <w:proofErr w:type="spellEnd"/>
      <w:r w:rsidRPr="005517B8">
        <w:rPr>
          <w:rFonts w:ascii="Cambria" w:hAnsi="Cambria" w:cs="Cambria"/>
          <w:b/>
          <w:bCs/>
          <w:color w:val="1F487C"/>
          <w:sz w:val="28"/>
          <w:szCs w:val="28"/>
        </w:rPr>
        <w:t xml:space="preserve">: A Prospective Randomized Study </w:t>
      </w:r>
    </w:p>
    <w:p w:rsidR="00D70459" w:rsidRDefault="00D70459" w:rsidP="005517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0"/>
          <w:szCs w:val="20"/>
        </w:rPr>
      </w:pP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3"/>
          <w:szCs w:val="13"/>
        </w:rPr>
      </w:pPr>
      <w:bookmarkStart w:id="0" w:name="_GoBack"/>
      <w:bookmarkEnd w:id="0"/>
      <w:r w:rsidRPr="005517B8">
        <w:rPr>
          <w:rFonts w:ascii="Cambria" w:hAnsi="Cambria" w:cs="Cambria"/>
          <w:b/>
          <w:bCs/>
          <w:color w:val="000000"/>
          <w:sz w:val="20"/>
          <w:szCs w:val="20"/>
        </w:rPr>
        <w:t>Ajay Sharma</w:t>
      </w:r>
      <w:r w:rsidRPr="005517B8">
        <w:rPr>
          <w:rFonts w:ascii="Cambria" w:hAnsi="Cambria" w:cs="Cambria"/>
          <w:b/>
          <w:bCs/>
          <w:color w:val="000000"/>
          <w:sz w:val="13"/>
          <w:szCs w:val="13"/>
        </w:rPr>
        <w:t>1</w:t>
      </w:r>
      <w:r w:rsidRPr="005517B8">
        <w:rPr>
          <w:rFonts w:ascii="Cambria" w:hAnsi="Cambria" w:cs="Cambria"/>
          <w:b/>
          <w:bCs/>
          <w:color w:val="000000"/>
          <w:sz w:val="20"/>
          <w:szCs w:val="20"/>
        </w:rPr>
        <w:t>, Vikrant</w:t>
      </w:r>
      <w:r w:rsidRPr="005517B8">
        <w:rPr>
          <w:rFonts w:ascii="Cambria" w:hAnsi="Cambria" w:cs="Cambria"/>
          <w:b/>
          <w:bCs/>
          <w:color w:val="000000"/>
          <w:sz w:val="13"/>
          <w:szCs w:val="13"/>
        </w:rPr>
        <w:t>2</w:t>
      </w:r>
      <w:r w:rsidRPr="005517B8">
        <w:rPr>
          <w:rFonts w:ascii="Cambria" w:hAnsi="Cambria" w:cs="Cambria"/>
          <w:b/>
          <w:bCs/>
          <w:color w:val="000000"/>
          <w:sz w:val="20"/>
          <w:szCs w:val="20"/>
        </w:rPr>
        <w:t xml:space="preserve">, </w:t>
      </w:r>
      <w:proofErr w:type="spellStart"/>
      <w:r w:rsidRPr="005517B8">
        <w:rPr>
          <w:rFonts w:ascii="Cambria" w:hAnsi="Cambria" w:cs="Cambria"/>
          <w:b/>
          <w:bCs/>
          <w:color w:val="000000"/>
          <w:sz w:val="20"/>
          <w:szCs w:val="20"/>
        </w:rPr>
        <w:t>Varun</w:t>
      </w:r>
      <w:proofErr w:type="spellEnd"/>
      <w:r w:rsidRPr="005517B8">
        <w:rPr>
          <w:rFonts w:ascii="Cambria" w:hAnsi="Cambria" w:cs="Cambria"/>
          <w:b/>
          <w:bCs/>
          <w:color w:val="000000"/>
          <w:sz w:val="20"/>
          <w:szCs w:val="20"/>
        </w:rPr>
        <w:t xml:space="preserve"> Bajaj</w:t>
      </w:r>
      <w:r w:rsidRPr="005517B8">
        <w:rPr>
          <w:rFonts w:ascii="Cambria" w:hAnsi="Cambria" w:cs="Cambria"/>
          <w:b/>
          <w:bCs/>
          <w:color w:val="000000"/>
          <w:sz w:val="13"/>
          <w:szCs w:val="13"/>
        </w:rPr>
        <w:t xml:space="preserve">3 </w:t>
      </w:r>
    </w:p>
    <w:p w:rsid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2"/>
          <w:szCs w:val="12"/>
        </w:rPr>
      </w:pP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Cambria" w:hAnsi="Cambria" w:cs="Cambria"/>
          <w:color w:val="000000"/>
          <w:sz w:val="12"/>
          <w:szCs w:val="12"/>
        </w:rPr>
        <w:t>1</w:t>
      </w:r>
      <w:r w:rsidRPr="005517B8">
        <w:rPr>
          <w:rFonts w:ascii="Cambria" w:hAnsi="Cambria" w:cs="Cambria"/>
          <w:color w:val="000000"/>
          <w:sz w:val="18"/>
          <w:szCs w:val="18"/>
        </w:rPr>
        <w:t xml:space="preserve">Assistant Professor, Department of Gastrointestinal Surgery, S.M.S. Medical College and Hospital, Jaipur, Rajasthan, India.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Cambria" w:hAnsi="Cambria" w:cs="Cambria"/>
          <w:color w:val="000000"/>
          <w:sz w:val="12"/>
          <w:szCs w:val="12"/>
        </w:rPr>
        <w:t>2,3</w:t>
      </w:r>
      <w:r w:rsidRPr="005517B8">
        <w:rPr>
          <w:rFonts w:ascii="Cambria" w:hAnsi="Cambria" w:cs="Cambria"/>
          <w:color w:val="000000"/>
          <w:sz w:val="18"/>
          <w:szCs w:val="18"/>
        </w:rPr>
        <w:t xml:space="preserve">Senior Resident, Department of Gastrointestinal Surgery, S.M.S. Medical College and Hospital, Jaipur, Rajasthan, India.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Cambria" w:hAnsi="Cambria" w:cs="Cambria"/>
          <w:color w:val="000000"/>
          <w:sz w:val="18"/>
          <w:szCs w:val="18"/>
        </w:rPr>
        <w:t xml:space="preserve">Corresponding Author: </w:t>
      </w:r>
      <w:proofErr w:type="spellStart"/>
      <w:r w:rsidRPr="005517B8">
        <w:rPr>
          <w:rFonts w:ascii="Cambria" w:hAnsi="Cambria" w:cs="Cambria"/>
          <w:color w:val="000000"/>
          <w:sz w:val="18"/>
          <w:szCs w:val="18"/>
        </w:rPr>
        <w:t>Dr.</w:t>
      </w:r>
      <w:proofErr w:type="spellEnd"/>
      <w:r w:rsidRPr="005517B8">
        <w:rPr>
          <w:rFonts w:ascii="Cambria" w:hAnsi="Cambria" w:cs="Cambria"/>
          <w:color w:val="000000"/>
          <w:sz w:val="18"/>
          <w:szCs w:val="18"/>
        </w:rPr>
        <w:t xml:space="preserve"> Ajay Sharma, Assistant Professor, Department of Gastrointestinal Surgery, S.M.S. Medical College and Hospital, Jaipur, Rajasthan, India.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Cambria" w:hAnsi="Cambria" w:cs="Cambria"/>
          <w:color w:val="000000"/>
          <w:sz w:val="18"/>
          <w:szCs w:val="18"/>
        </w:rPr>
        <w:t xml:space="preserve">Date of submission: 08 May 2014, Date of acceptance: 22 June 2014 </w:t>
      </w:r>
    </w:p>
    <w:p w:rsid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517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Abstract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Background: </w:t>
      </w:r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Postoperative pancreatic fistula (POPF) remains one of the most important complications after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pancreaticoduodenectomy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and contributes substantially to postoperative morbidity. The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technique has been introduced to improve the integrity of pancreatic anastomosis and may reduce the occurrence of clinically significant pancreatic fistula compared with the conventional duct-to-mucosa reconstruction.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Methods: </w:t>
      </w:r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A prospective randomized comparative study was conducted over </w:t>
      </w:r>
      <w:proofErr w:type="gram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an</w:t>
      </w:r>
      <w:proofErr w:type="gram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12-month period in the Department of Gastrointestinal Surgery at SMS Hospital, Jaipur. Forty patients undergoing elective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pancreaticoduodenectomy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were randomly allocated to undergo either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(n = 20) or conventional duct-to-mucosa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(n = 20). The primary endpoint was the development of clinically relevant postoperative pancreatic fistula (ISGPS Grade B/C). Secondary endpoints included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construction time, operative duration, postoperative drain amylase levels, </w:t>
      </w:r>
      <w:proofErr w:type="gram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duration</w:t>
      </w:r>
      <w:proofErr w:type="gram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of drain placement, postoperative complications, hospital stay, and overall morbidity.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Results: </w:t>
      </w:r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Baseline demographic characteristics, disease profiles, and intraoperative variables were similar in both groups.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construction was completed significantly faster using the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technique (31.8 ± 6.4 vs. 38.5 ± 7.2 minutes; P = 0.004). Patients in the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group also demonstrated significantly lower postoperative day 3 drain amylase levels, shorter drain duration, and reduced postoperative hospital stay. Although clinically relevant postoperative pancreatic fistula occurred less frequently following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reconstruction (10% vs. 30%), the difference was not statistically significant (P = 0.12). Overall postoperative morbidity was numerically lower in the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group. </w:t>
      </w:r>
    </w:p>
    <w:p w:rsidR="005517B8" w:rsidRPr="005517B8" w:rsidRDefault="005517B8" w:rsidP="005517B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5517B8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Conclusion: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represents a safe reconstructive option following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pancreaticoduodenectomy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and is associated with improved perioperative recovery. The technique demonstrated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favorable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trends toward reducing clinically relevant pancreatic fistula while significantly shortening anastomotic construction time, drain duration. </w:t>
      </w:r>
    </w:p>
    <w:p w:rsidR="00833315" w:rsidRDefault="005517B8" w:rsidP="005517B8">
      <w:pPr>
        <w:jc w:val="both"/>
      </w:pPr>
      <w:r w:rsidRPr="005517B8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Key words: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Pancreaticoduodenectomy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;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Blumgart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; Duct-To-Mucosa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Pancreaticojejunostomy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; Postoperative Pancreatic Fistula; Pancreatic Reconstruction;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Periampullary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517B8">
        <w:rPr>
          <w:rFonts w:ascii="Times New Roman" w:hAnsi="Times New Roman" w:cs="Times New Roman"/>
          <w:color w:val="000000"/>
          <w:sz w:val="18"/>
          <w:szCs w:val="18"/>
        </w:rPr>
        <w:t>Tumors</w:t>
      </w:r>
      <w:proofErr w:type="spellEnd"/>
      <w:r w:rsidRPr="005517B8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sectPr w:rsidR="00833315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5B6" w:rsidRDefault="001735B6" w:rsidP="005517B8">
      <w:pPr>
        <w:spacing w:after="0" w:line="240" w:lineRule="auto"/>
      </w:pPr>
      <w:r>
        <w:separator/>
      </w:r>
    </w:p>
  </w:endnote>
  <w:endnote w:type="continuationSeparator" w:id="0">
    <w:p w:rsidR="001735B6" w:rsidRDefault="001735B6" w:rsidP="0055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5B6" w:rsidRDefault="001735B6" w:rsidP="005517B8">
      <w:pPr>
        <w:spacing w:after="0" w:line="240" w:lineRule="auto"/>
      </w:pPr>
      <w:r>
        <w:separator/>
      </w:r>
    </w:p>
  </w:footnote>
  <w:footnote w:type="continuationSeparator" w:id="0">
    <w:p w:rsidR="001735B6" w:rsidRDefault="001735B6" w:rsidP="00551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7B8" w:rsidRDefault="005517B8">
    <w:pPr>
      <w:pStyle w:val="Header"/>
    </w:pPr>
  </w:p>
  <w:p w:rsidR="005517B8" w:rsidRPr="005517B8" w:rsidRDefault="005517B8" w:rsidP="005517B8">
    <w:pPr>
      <w:pStyle w:val="Default"/>
      <w:rPr>
        <w:sz w:val="18"/>
        <w:szCs w:val="18"/>
      </w:rPr>
    </w:pPr>
  </w:p>
  <w:p w:rsidR="005517B8" w:rsidRPr="005517B8" w:rsidRDefault="005517B8" w:rsidP="005517B8">
    <w:pPr>
      <w:pStyle w:val="Default"/>
      <w:jc w:val="center"/>
      <w:rPr>
        <w:sz w:val="18"/>
        <w:szCs w:val="18"/>
      </w:rPr>
    </w:pPr>
    <w:r w:rsidRPr="005517B8">
      <w:rPr>
        <w:sz w:val="18"/>
        <w:szCs w:val="18"/>
      </w:rPr>
      <w:t>Indian Journal of Basic &amp; Applied Medical Research; June 2014</w:t>
    </w:r>
    <w:r>
      <w:rPr>
        <w:sz w:val="18"/>
        <w:szCs w:val="18"/>
      </w:rPr>
      <w:t>: Vol.-3, Issue- 3, P. 554-</w:t>
    </w:r>
    <w:proofErr w:type="gramStart"/>
    <w:r>
      <w:rPr>
        <w:sz w:val="18"/>
        <w:szCs w:val="18"/>
      </w:rPr>
      <w:t xml:space="preserve">567  </w:t>
    </w:r>
    <w:r w:rsidRPr="005517B8">
      <w:rPr>
        <w:rFonts w:ascii="Calibri" w:hAnsi="Calibri" w:cs="Calibri"/>
        <w:color w:val="auto"/>
        <w:sz w:val="18"/>
        <w:szCs w:val="18"/>
      </w:rPr>
      <w:t>554</w:t>
    </w:r>
    <w:proofErr w:type="gramEnd"/>
  </w:p>
  <w:p w:rsidR="005517B8" w:rsidRDefault="005517B8" w:rsidP="005517B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B8"/>
    <w:rsid w:val="001735B6"/>
    <w:rsid w:val="005517B8"/>
    <w:rsid w:val="00833315"/>
    <w:rsid w:val="00D7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7B8"/>
  </w:style>
  <w:style w:type="paragraph" w:styleId="Footer">
    <w:name w:val="footer"/>
    <w:basedOn w:val="Normal"/>
    <w:link w:val="FooterChar"/>
    <w:uiPriority w:val="99"/>
    <w:unhideWhenUsed/>
    <w:rsid w:val="0055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7B8"/>
  </w:style>
  <w:style w:type="paragraph" w:styleId="BalloonText">
    <w:name w:val="Balloon Text"/>
    <w:basedOn w:val="Normal"/>
    <w:link w:val="BalloonTextChar"/>
    <w:uiPriority w:val="99"/>
    <w:semiHidden/>
    <w:unhideWhenUsed/>
    <w:rsid w:val="0055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7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1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7B8"/>
  </w:style>
  <w:style w:type="paragraph" w:styleId="Footer">
    <w:name w:val="footer"/>
    <w:basedOn w:val="Normal"/>
    <w:link w:val="FooterChar"/>
    <w:uiPriority w:val="99"/>
    <w:unhideWhenUsed/>
    <w:rsid w:val="0055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7B8"/>
  </w:style>
  <w:style w:type="paragraph" w:styleId="BalloonText">
    <w:name w:val="Balloon Text"/>
    <w:basedOn w:val="Normal"/>
    <w:link w:val="BalloonTextChar"/>
    <w:uiPriority w:val="99"/>
    <w:semiHidden/>
    <w:unhideWhenUsed/>
    <w:rsid w:val="0055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7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1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RDRL</dc:creator>
  <cp:lastModifiedBy>RDRL</cp:lastModifiedBy>
  <cp:revision>3</cp:revision>
  <dcterms:created xsi:type="dcterms:W3CDTF">2026-08-12T09:14:00Z</dcterms:created>
  <dcterms:modified xsi:type="dcterms:W3CDTF">2026-08-12T09:16:00Z</dcterms:modified>
</cp:coreProperties>
</file>