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3A683" w14:textId="77777777" w:rsidR="00C65397" w:rsidRPr="00624DB3" w:rsidRDefault="00C65397" w:rsidP="00624DB3">
      <w:pPr>
        <w:spacing w:after="0" w:line="360" w:lineRule="auto"/>
        <w:outlineLvl w:val="0"/>
        <w:rPr>
          <w:rFonts w:asciiTheme="majorHAnsi" w:eastAsia="Times New Roman" w:hAnsiTheme="majorHAnsi" w:cs="Times New Roman"/>
          <w:b/>
          <w:bCs/>
          <w:i/>
          <w:iCs/>
          <w:kern w:val="36"/>
          <w:sz w:val="24"/>
          <w:szCs w:val="24"/>
          <w:lang w:eastAsia="en-IN"/>
        </w:rPr>
      </w:pPr>
      <w:r w:rsidRPr="00624DB3">
        <w:rPr>
          <w:rFonts w:asciiTheme="majorHAnsi" w:eastAsia="Times New Roman" w:hAnsiTheme="majorHAnsi" w:cs="Times New Roman"/>
          <w:b/>
          <w:bCs/>
          <w:i/>
          <w:iCs/>
          <w:kern w:val="36"/>
          <w:sz w:val="24"/>
          <w:szCs w:val="24"/>
          <w:highlight w:val="lightGray"/>
          <w:lang w:eastAsia="en-IN"/>
        </w:rPr>
        <w:t>Original article</w:t>
      </w:r>
    </w:p>
    <w:p w14:paraId="71A7ABC1" w14:textId="77777777" w:rsidR="00C65397" w:rsidRPr="00624DB3" w:rsidRDefault="00C65397" w:rsidP="00624DB3">
      <w:pPr>
        <w:spacing w:after="0" w:line="360" w:lineRule="auto"/>
        <w:outlineLvl w:val="0"/>
        <w:rPr>
          <w:rFonts w:asciiTheme="majorHAnsi" w:eastAsia="Times New Roman" w:hAnsiTheme="majorHAnsi" w:cs="Times New Roman"/>
          <w:b/>
          <w:bCs/>
          <w:i/>
          <w:iCs/>
          <w:color w:val="0070C0"/>
          <w:kern w:val="36"/>
          <w:sz w:val="28"/>
          <w:szCs w:val="28"/>
          <w:lang w:eastAsia="en-IN"/>
        </w:rPr>
      </w:pPr>
      <w:r w:rsidRPr="00624DB3">
        <w:rPr>
          <w:rFonts w:asciiTheme="majorHAnsi" w:eastAsia="Times New Roman" w:hAnsiTheme="majorHAnsi" w:cs="Times New Roman"/>
          <w:b/>
          <w:bCs/>
          <w:i/>
          <w:iCs/>
          <w:color w:val="0070C0"/>
          <w:kern w:val="36"/>
          <w:sz w:val="28"/>
          <w:szCs w:val="28"/>
          <w:lang w:eastAsia="en-IN"/>
        </w:rPr>
        <w:t xml:space="preserve">Comparative Study of Transcatheter Versus Surgical Closure in </w:t>
      </w:r>
      <w:proofErr w:type="spellStart"/>
      <w:r w:rsidRPr="00624DB3">
        <w:rPr>
          <w:rFonts w:asciiTheme="majorHAnsi" w:eastAsia="Times New Roman" w:hAnsiTheme="majorHAnsi" w:cs="Times New Roman"/>
          <w:b/>
          <w:bCs/>
          <w:i/>
          <w:iCs/>
          <w:color w:val="0070C0"/>
          <w:kern w:val="36"/>
          <w:sz w:val="28"/>
          <w:szCs w:val="28"/>
          <w:lang w:eastAsia="en-IN"/>
        </w:rPr>
        <w:t>Acyanotic</w:t>
      </w:r>
      <w:proofErr w:type="spellEnd"/>
      <w:r w:rsidRPr="00624DB3">
        <w:rPr>
          <w:rFonts w:asciiTheme="majorHAnsi" w:eastAsia="Times New Roman" w:hAnsiTheme="majorHAnsi" w:cs="Times New Roman"/>
          <w:b/>
          <w:bCs/>
          <w:i/>
          <w:iCs/>
          <w:color w:val="0070C0"/>
          <w:kern w:val="36"/>
          <w:sz w:val="28"/>
          <w:szCs w:val="28"/>
          <w:lang w:eastAsia="en-IN"/>
        </w:rPr>
        <w:t xml:space="preserve"> Congenital Heart Defects: Short- and Mid-Term Outcomes</w:t>
      </w:r>
    </w:p>
    <w:p w14:paraId="2F671435" w14:textId="6DDF92E8" w:rsidR="005957EF" w:rsidRPr="00624DB3" w:rsidRDefault="005957EF" w:rsidP="00624DB3">
      <w:pPr>
        <w:spacing w:after="0" w:line="360" w:lineRule="auto"/>
        <w:outlineLvl w:val="1"/>
        <w:rPr>
          <w:rFonts w:asciiTheme="majorHAnsi" w:eastAsia="Times New Roman" w:hAnsiTheme="majorHAnsi" w:cs="Times New Roman"/>
          <w:b/>
          <w:bCs/>
          <w:i/>
          <w:iCs/>
          <w:sz w:val="20"/>
          <w:szCs w:val="20"/>
          <w:lang w:eastAsia="en-IN"/>
        </w:rPr>
      </w:pPr>
      <w:r w:rsidRPr="00624DB3">
        <w:rPr>
          <w:rFonts w:asciiTheme="majorHAnsi" w:eastAsia="Times New Roman" w:hAnsiTheme="majorHAnsi" w:cs="Times New Roman"/>
          <w:b/>
          <w:bCs/>
          <w:i/>
          <w:iCs/>
          <w:sz w:val="20"/>
          <w:szCs w:val="20"/>
          <w:vertAlign w:val="superscript"/>
          <w:lang w:eastAsia="en-IN"/>
        </w:rPr>
        <w:t>1</w:t>
      </w:r>
      <w:r w:rsidRPr="00624DB3">
        <w:rPr>
          <w:rFonts w:asciiTheme="majorHAnsi" w:eastAsia="Times New Roman" w:hAnsiTheme="majorHAnsi" w:cs="Times New Roman"/>
          <w:b/>
          <w:bCs/>
          <w:i/>
          <w:iCs/>
          <w:sz w:val="20"/>
          <w:szCs w:val="20"/>
          <w:lang w:eastAsia="en-IN"/>
        </w:rPr>
        <w:t xml:space="preserve">Dr Pratyush Kashyap </w:t>
      </w:r>
      <w:proofErr w:type="gramStart"/>
      <w:r w:rsidRPr="00624DB3">
        <w:rPr>
          <w:rFonts w:asciiTheme="majorHAnsi" w:eastAsia="Times New Roman" w:hAnsiTheme="majorHAnsi" w:cs="Times New Roman"/>
          <w:b/>
          <w:bCs/>
          <w:i/>
          <w:iCs/>
          <w:sz w:val="20"/>
          <w:szCs w:val="20"/>
          <w:lang w:eastAsia="en-IN"/>
        </w:rPr>
        <w:t>Panda ,</w:t>
      </w:r>
      <w:proofErr w:type="gramEnd"/>
      <w:r w:rsidRPr="00624DB3">
        <w:rPr>
          <w:rFonts w:asciiTheme="majorHAnsi" w:eastAsia="Times New Roman" w:hAnsiTheme="majorHAnsi" w:cs="Times New Roman"/>
          <w:b/>
          <w:bCs/>
          <w:i/>
          <w:iCs/>
          <w:sz w:val="20"/>
          <w:szCs w:val="20"/>
          <w:lang w:eastAsia="en-IN"/>
        </w:rPr>
        <w:t xml:space="preserve"> </w:t>
      </w:r>
      <w:r w:rsidRPr="00624DB3">
        <w:rPr>
          <w:rFonts w:asciiTheme="majorHAnsi" w:eastAsia="Times New Roman" w:hAnsiTheme="majorHAnsi" w:cs="Times New Roman"/>
          <w:b/>
          <w:bCs/>
          <w:i/>
          <w:iCs/>
          <w:sz w:val="20"/>
          <w:szCs w:val="20"/>
          <w:vertAlign w:val="superscript"/>
          <w:lang w:eastAsia="en-IN"/>
        </w:rPr>
        <w:t>2</w:t>
      </w:r>
      <w:r w:rsidRPr="00624DB3">
        <w:rPr>
          <w:rFonts w:asciiTheme="majorHAnsi" w:eastAsia="Times New Roman" w:hAnsiTheme="majorHAnsi" w:cs="Times New Roman"/>
          <w:b/>
          <w:bCs/>
          <w:i/>
          <w:iCs/>
          <w:sz w:val="20"/>
          <w:szCs w:val="20"/>
          <w:lang w:eastAsia="en-IN"/>
        </w:rPr>
        <w:t>Prof Dr Sayeed Hussain Ehtesham Naqvi</w:t>
      </w:r>
    </w:p>
    <w:p w14:paraId="7B9E93F0" w14:textId="207EF1B9" w:rsidR="005957EF" w:rsidRPr="00624DB3" w:rsidRDefault="005957EF" w:rsidP="00624DB3">
      <w:pPr>
        <w:spacing w:after="0" w:line="360" w:lineRule="auto"/>
        <w:outlineLvl w:val="1"/>
        <w:rPr>
          <w:rFonts w:asciiTheme="majorHAnsi" w:eastAsia="Times New Roman" w:hAnsiTheme="majorHAnsi" w:cs="Times New Roman"/>
          <w:i/>
          <w:iCs/>
          <w:sz w:val="20"/>
          <w:szCs w:val="20"/>
          <w:lang w:eastAsia="en-IN"/>
        </w:rPr>
      </w:pPr>
    </w:p>
    <w:p w14:paraId="0D9E6B6E" w14:textId="7361F66A" w:rsidR="005957EF" w:rsidRPr="00624DB3" w:rsidRDefault="00624DB3" w:rsidP="00624DB3">
      <w:pPr>
        <w:spacing w:after="0" w:line="360" w:lineRule="auto"/>
        <w:outlineLvl w:val="1"/>
        <w:rPr>
          <w:rFonts w:asciiTheme="majorHAnsi" w:eastAsia="Times New Roman" w:hAnsiTheme="majorHAnsi" w:cs="Times New Roman"/>
          <w:i/>
          <w:iCs/>
          <w:sz w:val="18"/>
          <w:szCs w:val="18"/>
          <w:lang w:eastAsia="en-IN"/>
        </w:rPr>
      </w:pPr>
      <w:r w:rsidRPr="00624DB3">
        <w:rPr>
          <w:rFonts w:asciiTheme="majorHAnsi" w:eastAsia="Times New Roman" w:hAnsiTheme="majorHAnsi" w:cs="Times New Roman"/>
          <w:i/>
          <w:iCs/>
          <w:sz w:val="18"/>
          <w:szCs w:val="18"/>
          <w:vertAlign w:val="superscript"/>
          <w:lang w:eastAsia="en-IN"/>
        </w:rPr>
        <w:t>1</w:t>
      </w:r>
      <w:r w:rsidR="005957EF" w:rsidRPr="00624DB3">
        <w:rPr>
          <w:rFonts w:asciiTheme="majorHAnsi" w:eastAsia="Times New Roman" w:hAnsiTheme="majorHAnsi" w:cs="Times New Roman"/>
          <w:i/>
          <w:iCs/>
          <w:sz w:val="18"/>
          <w:szCs w:val="18"/>
          <w:lang w:eastAsia="en-IN"/>
        </w:rPr>
        <w:t xml:space="preserve">Senior Resident, Department of CTVS, GB Pant Hospital, New Delhi </w:t>
      </w:r>
    </w:p>
    <w:p w14:paraId="118C1D93" w14:textId="2E5ECBBB" w:rsidR="005957EF" w:rsidRPr="00624DB3" w:rsidRDefault="00624DB3" w:rsidP="00624DB3">
      <w:pPr>
        <w:spacing w:after="0" w:line="360" w:lineRule="auto"/>
        <w:outlineLvl w:val="1"/>
        <w:rPr>
          <w:rFonts w:asciiTheme="majorHAnsi" w:eastAsia="Times New Roman" w:hAnsiTheme="majorHAnsi" w:cs="Times New Roman"/>
          <w:i/>
          <w:iCs/>
          <w:sz w:val="18"/>
          <w:szCs w:val="18"/>
          <w:lang w:eastAsia="en-IN"/>
        </w:rPr>
      </w:pPr>
      <w:r w:rsidRPr="00624DB3">
        <w:rPr>
          <w:rFonts w:asciiTheme="majorHAnsi" w:eastAsia="Times New Roman" w:hAnsiTheme="majorHAnsi" w:cs="Times New Roman"/>
          <w:i/>
          <w:iCs/>
          <w:sz w:val="18"/>
          <w:szCs w:val="18"/>
          <w:vertAlign w:val="superscript"/>
          <w:lang w:eastAsia="en-IN"/>
        </w:rPr>
        <w:t>2</w:t>
      </w:r>
      <w:r w:rsidRPr="00624DB3">
        <w:rPr>
          <w:rFonts w:asciiTheme="majorHAnsi" w:eastAsia="Times New Roman" w:hAnsiTheme="majorHAnsi" w:cs="Times New Roman"/>
          <w:i/>
          <w:iCs/>
          <w:sz w:val="18"/>
          <w:szCs w:val="18"/>
          <w:lang w:eastAsia="en-IN"/>
        </w:rPr>
        <w:t>Professor, Department</w:t>
      </w:r>
      <w:r w:rsidR="005957EF" w:rsidRPr="00624DB3">
        <w:rPr>
          <w:rFonts w:asciiTheme="majorHAnsi" w:eastAsia="Times New Roman" w:hAnsiTheme="majorHAnsi" w:cs="Times New Roman"/>
          <w:i/>
          <w:iCs/>
          <w:sz w:val="18"/>
          <w:szCs w:val="18"/>
          <w:lang w:eastAsia="en-IN"/>
        </w:rPr>
        <w:t xml:space="preserve"> of CTVS, GB Pant Hospital, New Delhi </w:t>
      </w:r>
    </w:p>
    <w:p w14:paraId="4757563C" w14:textId="77777777" w:rsidR="005957EF" w:rsidRPr="00624DB3" w:rsidRDefault="005957EF" w:rsidP="00624DB3">
      <w:pPr>
        <w:spacing w:after="0" w:line="360" w:lineRule="auto"/>
        <w:outlineLvl w:val="1"/>
        <w:rPr>
          <w:rFonts w:asciiTheme="majorHAnsi" w:eastAsia="Times New Roman" w:hAnsiTheme="majorHAnsi" w:cs="Times New Roman"/>
          <w:i/>
          <w:iCs/>
          <w:sz w:val="18"/>
          <w:szCs w:val="18"/>
          <w:lang w:eastAsia="en-IN"/>
        </w:rPr>
      </w:pPr>
      <w:r w:rsidRPr="00624DB3">
        <w:rPr>
          <w:rFonts w:asciiTheme="majorHAnsi" w:eastAsia="Times New Roman" w:hAnsiTheme="majorHAnsi" w:cs="Times New Roman"/>
          <w:i/>
          <w:iCs/>
          <w:sz w:val="18"/>
          <w:szCs w:val="18"/>
          <w:lang w:eastAsia="en-IN"/>
        </w:rPr>
        <w:t>Corresponding author*</w:t>
      </w:r>
    </w:p>
    <w:p w14:paraId="7C9420B9" w14:textId="77777777" w:rsidR="005957EF" w:rsidRPr="00624DB3" w:rsidRDefault="005957EF" w:rsidP="00624DB3">
      <w:pPr>
        <w:spacing w:after="0" w:line="360" w:lineRule="auto"/>
        <w:jc w:val="both"/>
        <w:outlineLvl w:val="1"/>
        <w:rPr>
          <w:rFonts w:asciiTheme="majorHAnsi" w:eastAsia="Times New Roman" w:hAnsiTheme="majorHAnsi" w:cs="Times New Roman"/>
          <w:i/>
          <w:iCs/>
          <w:sz w:val="20"/>
          <w:szCs w:val="20"/>
          <w:lang w:eastAsia="en-IN"/>
        </w:rPr>
      </w:pPr>
    </w:p>
    <w:p w14:paraId="4C6E1DB0" w14:textId="5E24EAB3" w:rsidR="00C65397" w:rsidRPr="00624DB3" w:rsidRDefault="00C65397" w:rsidP="00624DB3">
      <w:pPr>
        <w:spacing w:after="0" w:line="360" w:lineRule="auto"/>
        <w:jc w:val="both"/>
        <w:outlineLvl w:val="0"/>
        <w:rPr>
          <w:rFonts w:asciiTheme="majorHAnsi" w:eastAsia="Times New Roman" w:hAnsiTheme="majorHAnsi" w:cs="Times New Roman"/>
          <w:b/>
          <w:bCs/>
          <w:i/>
          <w:iCs/>
          <w:kern w:val="36"/>
          <w:sz w:val="20"/>
          <w:szCs w:val="20"/>
          <w:lang w:eastAsia="en-IN"/>
        </w:rPr>
      </w:pPr>
      <w:r w:rsidRPr="00624DB3">
        <w:rPr>
          <w:rFonts w:asciiTheme="majorHAnsi" w:eastAsia="Times New Roman" w:hAnsiTheme="majorHAnsi" w:cs="Times New Roman"/>
          <w:b/>
          <w:bCs/>
          <w:i/>
          <w:iCs/>
          <w:kern w:val="36"/>
          <w:sz w:val="20"/>
          <w:szCs w:val="20"/>
          <w:lang w:eastAsia="en-IN"/>
        </w:rPr>
        <w:t xml:space="preserve">Abstract </w:t>
      </w:r>
    </w:p>
    <w:p w14:paraId="3775CA32" w14:textId="77777777" w:rsidR="00C65397" w:rsidRPr="00624DB3" w:rsidRDefault="00C65397" w:rsidP="00624DB3">
      <w:pPr>
        <w:spacing w:after="0" w:line="360" w:lineRule="auto"/>
        <w:jc w:val="both"/>
        <w:outlineLvl w:val="1"/>
        <w:rPr>
          <w:rFonts w:asciiTheme="majorHAnsi" w:eastAsia="Times New Roman" w:hAnsiTheme="majorHAnsi" w:cs="Times New Roman"/>
          <w:i/>
          <w:iCs/>
          <w:sz w:val="18"/>
          <w:szCs w:val="18"/>
          <w:lang w:eastAsia="en-IN"/>
        </w:rPr>
      </w:pPr>
      <w:r w:rsidRPr="00624DB3">
        <w:rPr>
          <w:rFonts w:asciiTheme="majorHAnsi" w:eastAsia="Times New Roman" w:hAnsiTheme="majorHAnsi" w:cs="Times New Roman"/>
          <w:b/>
          <w:bCs/>
          <w:i/>
          <w:iCs/>
          <w:sz w:val="18"/>
          <w:szCs w:val="18"/>
          <w:lang w:eastAsia="en-IN"/>
        </w:rPr>
        <w:t xml:space="preserve">Background- </w:t>
      </w:r>
      <w:proofErr w:type="spellStart"/>
      <w:r w:rsidRPr="00624DB3">
        <w:rPr>
          <w:rFonts w:asciiTheme="majorHAnsi" w:eastAsia="Times New Roman" w:hAnsiTheme="majorHAnsi" w:cs="Times New Roman"/>
          <w:i/>
          <w:iCs/>
          <w:sz w:val="18"/>
          <w:szCs w:val="18"/>
          <w:lang w:eastAsia="en-IN"/>
        </w:rPr>
        <w:t>Acyanotic</w:t>
      </w:r>
      <w:proofErr w:type="spellEnd"/>
      <w:r w:rsidRPr="00624DB3">
        <w:rPr>
          <w:rFonts w:asciiTheme="majorHAnsi" w:eastAsia="Times New Roman" w:hAnsiTheme="majorHAnsi" w:cs="Times New Roman"/>
          <w:i/>
          <w:iCs/>
          <w:sz w:val="18"/>
          <w:szCs w:val="18"/>
          <w:lang w:eastAsia="en-IN"/>
        </w:rPr>
        <w:t xml:space="preserve"> congenital heart defects (ACHDs), particularly atrial septal defect (ASD), ventricular septal defect (VSD), and patent ductus arteriosus (PDA), are among the most common congenital cardiac anomalies requiring intervention. Advances in transcatheter device technology have provided a minimally invasive alternative to conventional surgical repair for appropriately selected patients. </w:t>
      </w:r>
    </w:p>
    <w:p w14:paraId="3CDAB129" w14:textId="77777777" w:rsidR="00C65397" w:rsidRPr="00624DB3" w:rsidRDefault="00C65397" w:rsidP="00624DB3">
      <w:pPr>
        <w:spacing w:after="0" w:line="360" w:lineRule="auto"/>
        <w:jc w:val="both"/>
        <w:outlineLvl w:val="1"/>
        <w:rPr>
          <w:rFonts w:asciiTheme="majorHAnsi" w:eastAsia="Times New Roman" w:hAnsiTheme="majorHAnsi" w:cs="Times New Roman"/>
          <w:b/>
          <w:bCs/>
          <w:i/>
          <w:iCs/>
          <w:sz w:val="18"/>
          <w:szCs w:val="18"/>
          <w:lang w:eastAsia="en-IN"/>
        </w:rPr>
      </w:pPr>
      <w:r w:rsidRPr="00624DB3">
        <w:rPr>
          <w:rFonts w:asciiTheme="majorHAnsi" w:eastAsia="Times New Roman" w:hAnsiTheme="majorHAnsi" w:cs="Times New Roman"/>
          <w:b/>
          <w:bCs/>
          <w:i/>
          <w:iCs/>
          <w:sz w:val="18"/>
          <w:szCs w:val="18"/>
          <w:lang w:eastAsia="en-IN"/>
        </w:rPr>
        <w:t xml:space="preserve">Methods- </w:t>
      </w:r>
      <w:r w:rsidRPr="00624DB3">
        <w:rPr>
          <w:rFonts w:asciiTheme="majorHAnsi" w:eastAsia="Times New Roman" w:hAnsiTheme="majorHAnsi" w:cs="Times New Roman"/>
          <w:i/>
          <w:iCs/>
          <w:sz w:val="18"/>
          <w:szCs w:val="18"/>
          <w:lang w:eastAsia="en-IN"/>
        </w:rPr>
        <w:t xml:space="preserve">A prospective comparative observational study was conducted over one year in a tertiary cardiac </w:t>
      </w:r>
      <w:proofErr w:type="spellStart"/>
      <w:r w:rsidRPr="00624DB3">
        <w:rPr>
          <w:rFonts w:asciiTheme="majorHAnsi" w:eastAsia="Times New Roman" w:hAnsiTheme="majorHAnsi" w:cs="Times New Roman"/>
          <w:i/>
          <w:iCs/>
          <w:sz w:val="18"/>
          <w:szCs w:val="18"/>
          <w:lang w:eastAsia="en-IN"/>
        </w:rPr>
        <w:t>center</w:t>
      </w:r>
      <w:proofErr w:type="spellEnd"/>
      <w:r w:rsidRPr="00624DB3">
        <w:rPr>
          <w:rFonts w:asciiTheme="majorHAnsi" w:eastAsia="Times New Roman" w:hAnsiTheme="majorHAnsi" w:cs="Times New Roman"/>
          <w:i/>
          <w:iCs/>
          <w:sz w:val="18"/>
          <w:szCs w:val="18"/>
          <w:lang w:eastAsia="en-IN"/>
        </w:rPr>
        <w:t xml:space="preserve">. Forty-two patients with ASD, VSD, or PDA requiring intervention were enrolled. Twenty-one underwent transcatheter device closure and twenty-one underwent surgical closure. Demographic variables, procedural characteristics, perioperative complications, hospital stay, echocardiographic findings, and six-month outcomes were </w:t>
      </w:r>
      <w:proofErr w:type="spellStart"/>
      <w:r w:rsidRPr="00624DB3">
        <w:rPr>
          <w:rFonts w:asciiTheme="majorHAnsi" w:eastAsia="Times New Roman" w:hAnsiTheme="majorHAnsi" w:cs="Times New Roman"/>
          <w:i/>
          <w:iCs/>
          <w:sz w:val="18"/>
          <w:szCs w:val="18"/>
          <w:lang w:eastAsia="en-IN"/>
        </w:rPr>
        <w:t>analyzed</w:t>
      </w:r>
      <w:proofErr w:type="spellEnd"/>
      <w:r w:rsidRPr="00624DB3">
        <w:rPr>
          <w:rFonts w:asciiTheme="majorHAnsi" w:eastAsia="Times New Roman" w:hAnsiTheme="majorHAnsi" w:cs="Times New Roman"/>
          <w:i/>
          <w:iCs/>
          <w:sz w:val="18"/>
          <w:szCs w:val="18"/>
          <w:lang w:eastAsia="en-IN"/>
        </w:rPr>
        <w:t xml:space="preserve"> using appropriate statistical tests.</w:t>
      </w:r>
    </w:p>
    <w:p w14:paraId="2CCB594C" w14:textId="77777777" w:rsidR="00C65397" w:rsidRPr="00624DB3" w:rsidRDefault="00C65397" w:rsidP="00624DB3">
      <w:pPr>
        <w:spacing w:after="0" w:line="360" w:lineRule="auto"/>
        <w:jc w:val="both"/>
        <w:outlineLvl w:val="1"/>
        <w:rPr>
          <w:rFonts w:asciiTheme="majorHAnsi" w:eastAsia="Times New Roman" w:hAnsiTheme="majorHAnsi" w:cs="Times New Roman"/>
          <w:b/>
          <w:bCs/>
          <w:i/>
          <w:iCs/>
          <w:sz w:val="18"/>
          <w:szCs w:val="18"/>
          <w:lang w:eastAsia="en-IN"/>
        </w:rPr>
      </w:pPr>
      <w:r w:rsidRPr="00624DB3">
        <w:rPr>
          <w:rFonts w:asciiTheme="majorHAnsi" w:eastAsia="Times New Roman" w:hAnsiTheme="majorHAnsi" w:cs="Times New Roman"/>
          <w:b/>
          <w:bCs/>
          <w:i/>
          <w:iCs/>
          <w:sz w:val="18"/>
          <w:szCs w:val="18"/>
          <w:lang w:eastAsia="en-IN"/>
        </w:rPr>
        <w:t xml:space="preserve">Results- </w:t>
      </w:r>
      <w:r w:rsidRPr="00624DB3">
        <w:rPr>
          <w:rFonts w:asciiTheme="majorHAnsi" w:eastAsia="Times New Roman" w:hAnsiTheme="majorHAnsi" w:cs="Times New Roman"/>
          <w:i/>
          <w:iCs/>
          <w:sz w:val="18"/>
          <w:szCs w:val="18"/>
          <w:lang w:eastAsia="en-IN"/>
        </w:rPr>
        <w:t>Procedural success exceeded 95% in both groups. The transcatheter group demonstrated significantly shorter procedure duration, ICU stay, hospital stay, earlier ambulation, and fewer postoperative complications. Residual shunt and re-intervention rates were comparable between groups, while six-month echocardiographic outcomes showed complete defect closure in the majority of patients.</w:t>
      </w:r>
    </w:p>
    <w:p w14:paraId="102D8590" w14:textId="77777777" w:rsidR="00C65397" w:rsidRPr="00624DB3" w:rsidRDefault="00C65397" w:rsidP="00624DB3">
      <w:pPr>
        <w:spacing w:after="0" w:line="360" w:lineRule="auto"/>
        <w:jc w:val="both"/>
        <w:outlineLvl w:val="1"/>
        <w:rPr>
          <w:rFonts w:asciiTheme="majorHAnsi" w:eastAsia="Times New Roman" w:hAnsiTheme="majorHAnsi" w:cs="Times New Roman"/>
          <w:b/>
          <w:bCs/>
          <w:i/>
          <w:iCs/>
          <w:sz w:val="18"/>
          <w:szCs w:val="18"/>
          <w:lang w:eastAsia="en-IN"/>
        </w:rPr>
      </w:pPr>
      <w:r w:rsidRPr="00624DB3">
        <w:rPr>
          <w:rFonts w:asciiTheme="majorHAnsi" w:eastAsia="Times New Roman" w:hAnsiTheme="majorHAnsi" w:cs="Times New Roman"/>
          <w:b/>
          <w:bCs/>
          <w:i/>
          <w:iCs/>
          <w:sz w:val="18"/>
          <w:szCs w:val="18"/>
          <w:lang w:eastAsia="en-IN"/>
        </w:rPr>
        <w:t xml:space="preserve">Conclusion- </w:t>
      </w:r>
      <w:r w:rsidRPr="00624DB3">
        <w:rPr>
          <w:rFonts w:asciiTheme="majorHAnsi" w:eastAsia="Times New Roman" w:hAnsiTheme="majorHAnsi" w:cs="Times New Roman"/>
          <w:i/>
          <w:iCs/>
          <w:sz w:val="18"/>
          <w:szCs w:val="18"/>
          <w:lang w:eastAsia="en-IN"/>
        </w:rPr>
        <w:t xml:space="preserve">Transcatheter closure offers excellent safety and efficacy with faster recovery and lower perioperative morbidity in appropriately selected patients, whereas surgical closure remains an effective treatment for anatomically unsuitable or complex defects. Both modalities achieve </w:t>
      </w:r>
      <w:proofErr w:type="spellStart"/>
      <w:r w:rsidRPr="00624DB3">
        <w:rPr>
          <w:rFonts w:asciiTheme="majorHAnsi" w:eastAsia="Times New Roman" w:hAnsiTheme="majorHAnsi" w:cs="Times New Roman"/>
          <w:i/>
          <w:iCs/>
          <w:sz w:val="18"/>
          <w:szCs w:val="18"/>
          <w:lang w:eastAsia="en-IN"/>
        </w:rPr>
        <w:t>favorable</w:t>
      </w:r>
      <w:proofErr w:type="spellEnd"/>
      <w:r w:rsidRPr="00624DB3">
        <w:rPr>
          <w:rFonts w:asciiTheme="majorHAnsi" w:eastAsia="Times New Roman" w:hAnsiTheme="majorHAnsi" w:cs="Times New Roman"/>
          <w:i/>
          <w:iCs/>
          <w:sz w:val="18"/>
          <w:szCs w:val="18"/>
          <w:lang w:eastAsia="en-IN"/>
        </w:rPr>
        <w:t xml:space="preserve"> mid-term outcomes when patient selection is individualized. </w:t>
      </w:r>
    </w:p>
    <w:p w14:paraId="3D69ADB2" w14:textId="77777777" w:rsidR="00C65397" w:rsidRPr="00624DB3" w:rsidRDefault="00C65397" w:rsidP="00624DB3">
      <w:pPr>
        <w:spacing w:after="0" w:line="360" w:lineRule="auto"/>
        <w:jc w:val="both"/>
        <w:rPr>
          <w:rFonts w:asciiTheme="majorHAnsi" w:eastAsia="Times New Roman" w:hAnsiTheme="majorHAnsi" w:cs="Times New Roman"/>
          <w:i/>
          <w:iCs/>
          <w:sz w:val="18"/>
          <w:szCs w:val="18"/>
          <w:lang w:eastAsia="en-IN"/>
        </w:rPr>
      </w:pPr>
      <w:r w:rsidRPr="00624DB3">
        <w:rPr>
          <w:rFonts w:asciiTheme="majorHAnsi" w:eastAsia="Times New Roman" w:hAnsiTheme="majorHAnsi" w:cs="Times New Roman"/>
          <w:b/>
          <w:bCs/>
          <w:i/>
          <w:iCs/>
          <w:sz w:val="18"/>
          <w:szCs w:val="18"/>
          <w:lang w:eastAsia="en-IN"/>
        </w:rPr>
        <w:t>Keywords:</w:t>
      </w:r>
      <w:r w:rsidRPr="00624DB3">
        <w:rPr>
          <w:rFonts w:asciiTheme="majorHAnsi" w:eastAsia="Times New Roman" w:hAnsiTheme="majorHAnsi" w:cs="Times New Roman"/>
          <w:i/>
          <w:iCs/>
          <w:sz w:val="18"/>
          <w:szCs w:val="18"/>
          <w:lang w:eastAsia="en-IN"/>
        </w:rPr>
        <w:t xml:space="preserve"> </w:t>
      </w:r>
      <w:proofErr w:type="spellStart"/>
      <w:r w:rsidRPr="00624DB3">
        <w:rPr>
          <w:rFonts w:asciiTheme="majorHAnsi" w:eastAsia="Times New Roman" w:hAnsiTheme="majorHAnsi" w:cs="Times New Roman"/>
          <w:i/>
          <w:iCs/>
          <w:sz w:val="18"/>
          <w:szCs w:val="18"/>
          <w:lang w:eastAsia="en-IN"/>
        </w:rPr>
        <w:t>Acyanotic</w:t>
      </w:r>
      <w:proofErr w:type="spellEnd"/>
      <w:r w:rsidRPr="00624DB3">
        <w:rPr>
          <w:rFonts w:asciiTheme="majorHAnsi" w:eastAsia="Times New Roman" w:hAnsiTheme="majorHAnsi" w:cs="Times New Roman"/>
          <w:i/>
          <w:iCs/>
          <w:sz w:val="18"/>
          <w:szCs w:val="18"/>
          <w:lang w:eastAsia="en-IN"/>
        </w:rPr>
        <w:t xml:space="preserve"> congenital heart disease; Transcatheter closure; Surgical closure</w:t>
      </w:r>
    </w:p>
    <w:p w14:paraId="1A394AFA"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p>
    <w:p w14:paraId="22FE0CF9" w14:textId="77777777" w:rsidR="00C65397" w:rsidRPr="00624DB3" w:rsidRDefault="00C65397" w:rsidP="00624DB3">
      <w:pPr>
        <w:spacing w:after="0" w:line="360" w:lineRule="auto"/>
        <w:jc w:val="both"/>
        <w:outlineLvl w:val="0"/>
        <w:rPr>
          <w:rFonts w:ascii="Times New Roman" w:eastAsia="Times New Roman" w:hAnsi="Times New Roman" w:cs="Times New Roman"/>
          <w:b/>
          <w:bCs/>
          <w:kern w:val="36"/>
          <w:sz w:val="20"/>
          <w:szCs w:val="20"/>
          <w:lang w:eastAsia="en-IN"/>
        </w:rPr>
      </w:pPr>
      <w:r w:rsidRPr="00624DB3">
        <w:rPr>
          <w:rFonts w:ascii="Times New Roman" w:eastAsia="Times New Roman" w:hAnsi="Times New Roman" w:cs="Times New Roman"/>
          <w:b/>
          <w:bCs/>
          <w:kern w:val="36"/>
          <w:sz w:val="20"/>
          <w:szCs w:val="20"/>
          <w:lang w:eastAsia="en-IN"/>
        </w:rPr>
        <w:t xml:space="preserve">Introduction </w:t>
      </w:r>
    </w:p>
    <w:p w14:paraId="0744701F"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Congenital heart disease represents the most common congenital anomaly worldwide, with </w:t>
      </w:r>
      <w:proofErr w:type="spellStart"/>
      <w:r w:rsidRPr="00624DB3">
        <w:rPr>
          <w:rFonts w:ascii="Times New Roman" w:eastAsia="Times New Roman" w:hAnsi="Times New Roman" w:cs="Times New Roman"/>
          <w:sz w:val="20"/>
          <w:szCs w:val="20"/>
          <w:lang w:eastAsia="en-IN"/>
        </w:rPr>
        <w:t>acyanotic</w:t>
      </w:r>
      <w:proofErr w:type="spellEnd"/>
      <w:r w:rsidRPr="00624DB3">
        <w:rPr>
          <w:rFonts w:ascii="Times New Roman" w:eastAsia="Times New Roman" w:hAnsi="Times New Roman" w:cs="Times New Roman"/>
          <w:sz w:val="20"/>
          <w:szCs w:val="20"/>
          <w:lang w:eastAsia="en-IN"/>
        </w:rPr>
        <w:t xml:space="preserve"> lesions accounting for nearly three-fourths of all congenital cardiac defects. (1) Atrial septal defect (ASD), ventricular septal defect (VSD), and patent ductus arteriosus (PDA) frequently require intervention because persistent left-to-right shunting may result in pulmonary hypertension, ventricular </w:t>
      </w:r>
      <w:proofErr w:type="spellStart"/>
      <w:r w:rsidRPr="00624DB3">
        <w:rPr>
          <w:rFonts w:ascii="Times New Roman" w:eastAsia="Times New Roman" w:hAnsi="Times New Roman" w:cs="Times New Roman"/>
          <w:sz w:val="20"/>
          <w:szCs w:val="20"/>
          <w:lang w:eastAsia="en-IN"/>
        </w:rPr>
        <w:t>remodeling</w:t>
      </w:r>
      <w:proofErr w:type="spellEnd"/>
      <w:r w:rsidRPr="00624DB3">
        <w:rPr>
          <w:rFonts w:ascii="Times New Roman" w:eastAsia="Times New Roman" w:hAnsi="Times New Roman" w:cs="Times New Roman"/>
          <w:sz w:val="20"/>
          <w:szCs w:val="20"/>
          <w:lang w:eastAsia="en-IN"/>
        </w:rPr>
        <w:t xml:space="preserve">, arrhythmias, heart failure, infective endocarditis, and reduced quality of life. Surgical repair has traditionally been considered the gold standard, providing excellent long-term outcomes. However, continuous advances in catheter-based devices have established transcatheter closure as an effective minimally invasive alternative for selected patients. Contemporary evidence and recent international guidelines recommend transcatheter closure for anatomically suitable secundum ASDs and many PDAs because of reduced procedural morbidity, shorter hospitalization, and faster recovery while maintaining excellent efficacy. (2,3,4) Surgery remains indispensable for complex anatomy, large defects, deficient rims, associated anomalies, or failed device closure. (5) </w:t>
      </w:r>
    </w:p>
    <w:p w14:paraId="678E098F" w14:textId="77777777" w:rsidR="00C65397" w:rsidRPr="00624DB3" w:rsidRDefault="00C65397" w:rsidP="00624DB3">
      <w:pPr>
        <w:spacing w:after="0" w:line="360" w:lineRule="auto"/>
        <w:jc w:val="both"/>
        <w:outlineLvl w:val="0"/>
        <w:rPr>
          <w:rFonts w:ascii="Times New Roman" w:eastAsia="Times New Roman" w:hAnsi="Times New Roman" w:cs="Times New Roman"/>
          <w:b/>
          <w:bCs/>
          <w:kern w:val="36"/>
          <w:sz w:val="20"/>
          <w:szCs w:val="20"/>
          <w:lang w:eastAsia="en-IN"/>
        </w:rPr>
      </w:pPr>
      <w:r w:rsidRPr="00624DB3">
        <w:rPr>
          <w:rFonts w:ascii="Times New Roman" w:eastAsia="Times New Roman" w:hAnsi="Times New Roman" w:cs="Times New Roman"/>
          <w:b/>
          <w:bCs/>
          <w:kern w:val="36"/>
          <w:sz w:val="20"/>
          <w:szCs w:val="20"/>
          <w:lang w:eastAsia="en-IN"/>
        </w:rPr>
        <w:lastRenderedPageBreak/>
        <w:t>Materials and Methods</w:t>
      </w:r>
    </w:p>
    <w:p w14:paraId="4F11AAE9"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This prospective comparative observational study was conducted in the Departments of Cardiovascular and Thoracic Surgery and Cardiology of a tertiary care teaching hospital over a period of one year. A total of 42 consecutive patients who fulfilled the eligibility criteria were enrolled during the study period. The participants were allocated into two groups based on the treatment modality received: </w:t>
      </w:r>
      <w:r w:rsidRPr="00624DB3">
        <w:rPr>
          <w:rFonts w:ascii="Times New Roman" w:eastAsia="Times New Roman" w:hAnsi="Times New Roman" w:cs="Times New Roman"/>
          <w:b/>
          <w:bCs/>
          <w:sz w:val="20"/>
          <w:szCs w:val="20"/>
          <w:lang w:eastAsia="en-IN"/>
        </w:rPr>
        <w:t>Group A</w:t>
      </w:r>
      <w:r w:rsidRPr="00624DB3">
        <w:rPr>
          <w:rFonts w:ascii="Times New Roman" w:eastAsia="Times New Roman" w:hAnsi="Times New Roman" w:cs="Times New Roman"/>
          <w:sz w:val="20"/>
          <w:szCs w:val="20"/>
          <w:lang w:eastAsia="en-IN"/>
        </w:rPr>
        <w:t xml:space="preserve"> comprised 21 patients who underwent transcatheter device closure, while </w:t>
      </w:r>
      <w:r w:rsidRPr="00624DB3">
        <w:rPr>
          <w:rFonts w:ascii="Times New Roman" w:eastAsia="Times New Roman" w:hAnsi="Times New Roman" w:cs="Times New Roman"/>
          <w:b/>
          <w:bCs/>
          <w:sz w:val="20"/>
          <w:szCs w:val="20"/>
          <w:lang w:eastAsia="en-IN"/>
        </w:rPr>
        <w:t>Group B</w:t>
      </w:r>
      <w:r w:rsidRPr="00624DB3">
        <w:rPr>
          <w:rFonts w:ascii="Times New Roman" w:eastAsia="Times New Roman" w:hAnsi="Times New Roman" w:cs="Times New Roman"/>
          <w:sz w:val="20"/>
          <w:szCs w:val="20"/>
          <w:lang w:eastAsia="en-IN"/>
        </w:rPr>
        <w:t xml:space="preserve"> included 21 patients who underwent conventional surgical closure. The sample size was determined according to the institutional surgical workload and feasibility of recruitment during the study period. Patients aged 5 years and above with a confirmed diagnosis of atrial septal defect (ASD), ventricular septal defect (VSD), or patent ductus arteriosus (PDA) requiring intervention and having a hemodynamically significant left-to-right shunt were included after obtaining written informed consent. Patients with cyanotic congenital heart disease, Eisenmenger syndrome, active infective endocarditis, severe pulmonary vascular disease unsuitable for closure, previous cardiac surgery, associated complex congenital cardiac anomalies, or those unwilling to participate were excluded from the study.</w:t>
      </w:r>
    </w:p>
    <w:p w14:paraId="73D67F10"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Baseline demographic, clinical, electrocardiographic, and echocardiographic characteristics were recorded for all enrolled patients before intervention. The preoperative variables included age, gender, body weight, body surface area, diagnosis, defect size, New York Heart Association (NYHA) functional class, oxygen saturation, pulmonary artery pressure, left ventricular ejection fraction, ECG findings, and detailed echocardiographic measurements. During the intervention, intraoperative data including the type of procedure performed, procedure duration, fluoroscopy time for the transcatheter group, cardiopulmonary bypass time and aortic cross-clamp time for the surgical group, estimated blood loss, blood transfusion requirement, device size, patch material used during surgical closure, and immediate procedural success were documented. All procedures were performed according to standard institutional protocols by experienced cardiologists and cardiothoracic surgeons.</w:t>
      </w:r>
    </w:p>
    <w:p w14:paraId="06D58187"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Following intervention, patients were monitored throughout their hospital stay for assessment of early postoperative outcomes. Primary outcome measures included procedural success, duration of intensive care unit stay, total hospital stay, major postoperative complications, and mortality. Secondary outcome measures included arrhythmias, residual shunt, device embolization, wound infection, pleural effusion, pericardial effusion, blood transfusion requirement, need for re-intervention, six-month echocardiographic evidence of complete defect closure, and improvement in NYHA functional class. </w:t>
      </w:r>
    </w:p>
    <w:p w14:paraId="47D6BD22" w14:textId="77777777" w:rsidR="00C65397" w:rsidRPr="00624DB3" w:rsidRDefault="00C65397" w:rsidP="00624DB3">
      <w:pPr>
        <w:spacing w:after="0" w:line="360" w:lineRule="auto"/>
        <w:jc w:val="both"/>
        <w:outlineLvl w:val="0"/>
        <w:rPr>
          <w:rFonts w:ascii="Times New Roman" w:eastAsia="Times New Roman" w:hAnsi="Times New Roman" w:cs="Times New Roman"/>
          <w:b/>
          <w:bCs/>
          <w:kern w:val="36"/>
          <w:sz w:val="20"/>
          <w:szCs w:val="20"/>
          <w:lang w:eastAsia="en-IN"/>
        </w:rPr>
      </w:pPr>
      <w:r w:rsidRPr="00624DB3">
        <w:rPr>
          <w:rFonts w:ascii="Times New Roman" w:eastAsia="Times New Roman" w:hAnsi="Times New Roman" w:cs="Times New Roman"/>
          <w:b/>
          <w:bCs/>
          <w:kern w:val="36"/>
          <w:sz w:val="20"/>
          <w:szCs w:val="20"/>
          <w:lang w:eastAsia="en-IN"/>
        </w:rPr>
        <w:t>Results</w:t>
      </w:r>
    </w:p>
    <w:p w14:paraId="142297D2" w14:textId="77777777" w:rsidR="00C65397" w:rsidRPr="00624DB3" w:rsidRDefault="00C65397" w:rsidP="00624DB3">
      <w:pPr>
        <w:spacing w:after="0" w:line="360" w:lineRule="auto"/>
        <w:jc w:val="both"/>
        <w:outlineLvl w:val="1"/>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Table 1. Baseline Demographic and Clinical Characteristics</w:t>
      </w:r>
    </w:p>
    <w:tbl>
      <w:tblPr>
        <w:tblStyle w:val="TableGrid"/>
        <w:tblW w:w="0" w:type="auto"/>
        <w:tblLook w:val="04A0" w:firstRow="1" w:lastRow="0" w:firstColumn="1" w:lastColumn="0" w:noHBand="0" w:noVBand="1"/>
      </w:tblPr>
      <w:tblGrid>
        <w:gridCol w:w="3133"/>
        <w:gridCol w:w="2036"/>
        <w:gridCol w:w="1536"/>
        <w:gridCol w:w="844"/>
      </w:tblGrid>
      <w:tr w:rsidR="00C65397" w:rsidRPr="00624DB3" w14:paraId="1DB1DA95" w14:textId="77777777" w:rsidTr="00C65397">
        <w:tc>
          <w:tcPr>
            <w:tcW w:w="0" w:type="auto"/>
            <w:hideMark/>
          </w:tcPr>
          <w:p w14:paraId="0E271E4C"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Variable</w:t>
            </w:r>
          </w:p>
        </w:tc>
        <w:tc>
          <w:tcPr>
            <w:tcW w:w="0" w:type="auto"/>
            <w:hideMark/>
          </w:tcPr>
          <w:p w14:paraId="0DC1F645"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Transcatheter (n=21)</w:t>
            </w:r>
          </w:p>
        </w:tc>
        <w:tc>
          <w:tcPr>
            <w:tcW w:w="0" w:type="auto"/>
            <w:hideMark/>
          </w:tcPr>
          <w:p w14:paraId="6511726E"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Surgical (n=21)</w:t>
            </w:r>
          </w:p>
        </w:tc>
        <w:tc>
          <w:tcPr>
            <w:tcW w:w="0" w:type="auto"/>
            <w:hideMark/>
          </w:tcPr>
          <w:p w14:paraId="695FDD18"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P value</w:t>
            </w:r>
          </w:p>
        </w:tc>
      </w:tr>
      <w:tr w:rsidR="00C65397" w:rsidRPr="00624DB3" w14:paraId="403B8F66" w14:textId="77777777" w:rsidTr="00C65397">
        <w:tc>
          <w:tcPr>
            <w:tcW w:w="0" w:type="auto"/>
            <w:hideMark/>
          </w:tcPr>
          <w:p w14:paraId="4B1B3914"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Age (years)</w:t>
            </w:r>
          </w:p>
        </w:tc>
        <w:tc>
          <w:tcPr>
            <w:tcW w:w="0" w:type="auto"/>
            <w:hideMark/>
          </w:tcPr>
          <w:p w14:paraId="6E69A1E2"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18.9 ± 10.4</w:t>
            </w:r>
          </w:p>
        </w:tc>
        <w:tc>
          <w:tcPr>
            <w:tcW w:w="0" w:type="auto"/>
            <w:hideMark/>
          </w:tcPr>
          <w:p w14:paraId="6574515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20.8 ± 11.1</w:t>
            </w:r>
          </w:p>
        </w:tc>
        <w:tc>
          <w:tcPr>
            <w:tcW w:w="0" w:type="auto"/>
            <w:hideMark/>
          </w:tcPr>
          <w:p w14:paraId="3A61425C"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0.58</w:t>
            </w:r>
          </w:p>
        </w:tc>
      </w:tr>
      <w:tr w:rsidR="00C65397" w:rsidRPr="00624DB3" w14:paraId="30AD6657" w14:textId="77777777" w:rsidTr="00C65397">
        <w:tc>
          <w:tcPr>
            <w:tcW w:w="0" w:type="auto"/>
            <w:hideMark/>
          </w:tcPr>
          <w:p w14:paraId="47F91CF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Male</w:t>
            </w:r>
          </w:p>
        </w:tc>
        <w:tc>
          <w:tcPr>
            <w:tcW w:w="0" w:type="auto"/>
            <w:hideMark/>
          </w:tcPr>
          <w:p w14:paraId="3AD7F7B5"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10 (47.6%)</w:t>
            </w:r>
          </w:p>
        </w:tc>
        <w:tc>
          <w:tcPr>
            <w:tcW w:w="0" w:type="auto"/>
            <w:hideMark/>
          </w:tcPr>
          <w:p w14:paraId="0A46B067"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11 (52.4%)</w:t>
            </w:r>
          </w:p>
        </w:tc>
        <w:tc>
          <w:tcPr>
            <w:tcW w:w="0" w:type="auto"/>
            <w:hideMark/>
          </w:tcPr>
          <w:p w14:paraId="54EA0422"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0.76</w:t>
            </w:r>
          </w:p>
        </w:tc>
      </w:tr>
      <w:tr w:rsidR="00C65397" w:rsidRPr="00624DB3" w14:paraId="3C0A122E" w14:textId="77777777" w:rsidTr="00C65397">
        <w:tc>
          <w:tcPr>
            <w:tcW w:w="0" w:type="auto"/>
            <w:hideMark/>
          </w:tcPr>
          <w:p w14:paraId="073BF738"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Female</w:t>
            </w:r>
          </w:p>
        </w:tc>
        <w:tc>
          <w:tcPr>
            <w:tcW w:w="0" w:type="auto"/>
            <w:hideMark/>
          </w:tcPr>
          <w:p w14:paraId="2287CA2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11 (52.4%)</w:t>
            </w:r>
          </w:p>
        </w:tc>
        <w:tc>
          <w:tcPr>
            <w:tcW w:w="0" w:type="auto"/>
            <w:hideMark/>
          </w:tcPr>
          <w:p w14:paraId="4E6222F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10 (47.6%)</w:t>
            </w:r>
          </w:p>
        </w:tc>
        <w:tc>
          <w:tcPr>
            <w:tcW w:w="0" w:type="auto"/>
            <w:hideMark/>
          </w:tcPr>
          <w:p w14:paraId="25E4227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0.76</w:t>
            </w:r>
          </w:p>
        </w:tc>
      </w:tr>
      <w:tr w:rsidR="00C65397" w:rsidRPr="00624DB3" w14:paraId="6E4169F2" w14:textId="77777777" w:rsidTr="00C65397">
        <w:tc>
          <w:tcPr>
            <w:tcW w:w="0" w:type="auto"/>
            <w:hideMark/>
          </w:tcPr>
          <w:p w14:paraId="6968535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Body Weight (kg)</w:t>
            </w:r>
          </w:p>
        </w:tc>
        <w:tc>
          <w:tcPr>
            <w:tcW w:w="0" w:type="auto"/>
            <w:hideMark/>
          </w:tcPr>
          <w:p w14:paraId="62520845"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44.5 ± 16.8</w:t>
            </w:r>
          </w:p>
        </w:tc>
        <w:tc>
          <w:tcPr>
            <w:tcW w:w="0" w:type="auto"/>
            <w:hideMark/>
          </w:tcPr>
          <w:p w14:paraId="00142CD7"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46.1 ± 15.9</w:t>
            </w:r>
          </w:p>
        </w:tc>
        <w:tc>
          <w:tcPr>
            <w:tcW w:w="0" w:type="auto"/>
            <w:hideMark/>
          </w:tcPr>
          <w:p w14:paraId="2108EB8E"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0.72</w:t>
            </w:r>
          </w:p>
        </w:tc>
      </w:tr>
      <w:tr w:rsidR="00C65397" w:rsidRPr="00624DB3" w14:paraId="5FEE5AE1" w14:textId="77777777" w:rsidTr="00C65397">
        <w:tc>
          <w:tcPr>
            <w:tcW w:w="0" w:type="auto"/>
            <w:hideMark/>
          </w:tcPr>
          <w:p w14:paraId="5E8A5BB4"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ASD</w:t>
            </w:r>
          </w:p>
        </w:tc>
        <w:tc>
          <w:tcPr>
            <w:tcW w:w="0" w:type="auto"/>
            <w:hideMark/>
          </w:tcPr>
          <w:p w14:paraId="7CECECB7"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13 (61.9%)</w:t>
            </w:r>
          </w:p>
        </w:tc>
        <w:tc>
          <w:tcPr>
            <w:tcW w:w="0" w:type="auto"/>
            <w:hideMark/>
          </w:tcPr>
          <w:p w14:paraId="2842310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12 (57.1%)</w:t>
            </w:r>
          </w:p>
        </w:tc>
        <w:tc>
          <w:tcPr>
            <w:tcW w:w="0" w:type="auto"/>
            <w:hideMark/>
          </w:tcPr>
          <w:p w14:paraId="0E5EA50B"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0.74</w:t>
            </w:r>
          </w:p>
        </w:tc>
      </w:tr>
      <w:tr w:rsidR="00C65397" w:rsidRPr="00624DB3" w14:paraId="7260FF88" w14:textId="77777777" w:rsidTr="00C65397">
        <w:tc>
          <w:tcPr>
            <w:tcW w:w="0" w:type="auto"/>
            <w:hideMark/>
          </w:tcPr>
          <w:p w14:paraId="5621594E"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VSD</w:t>
            </w:r>
          </w:p>
        </w:tc>
        <w:tc>
          <w:tcPr>
            <w:tcW w:w="0" w:type="auto"/>
            <w:hideMark/>
          </w:tcPr>
          <w:p w14:paraId="586BF0E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4 (19.0%)</w:t>
            </w:r>
          </w:p>
        </w:tc>
        <w:tc>
          <w:tcPr>
            <w:tcW w:w="0" w:type="auto"/>
            <w:hideMark/>
          </w:tcPr>
          <w:p w14:paraId="4006D45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5 (23.8%)</w:t>
            </w:r>
          </w:p>
        </w:tc>
        <w:tc>
          <w:tcPr>
            <w:tcW w:w="0" w:type="auto"/>
            <w:hideMark/>
          </w:tcPr>
          <w:p w14:paraId="610E084B"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0.70</w:t>
            </w:r>
          </w:p>
        </w:tc>
      </w:tr>
      <w:tr w:rsidR="00C65397" w:rsidRPr="00624DB3" w14:paraId="25D5D5D0" w14:textId="77777777" w:rsidTr="00C65397">
        <w:tc>
          <w:tcPr>
            <w:tcW w:w="0" w:type="auto"/>
            <w:hideMark/>
          </w:tcPr>
          <w:p w14:paraId="0E37FFE4"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PDA</w:t>
            </w:r>
          </w:p>
        </w:tc>
        <w:tc>
          <w:tcPr>
            <w:tcW w:w="0" w:type="auto"/>
            <w:hideMark/>
          </w:tcPr>
          <w:p w14:paraId="15608E7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4 (19.0%)</w:t>
            </w:r>
          </w:p>
        </w:tc>
        <w:tc>
          <w:tcPr>
            <w:tcW w:w="0" w:type="auto"/>
            <w:hideMark/>
          </w:tcPr>
          <w:p w14:paraId="3447483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4 (19.0%)</w:t>
            </w:r>
          </w:p>
        </w:tc>
        <w:tc>
          <w:tcPr>
            <w:tcW w:w="0" w:type="auto"/>
            <w:hideMark/>
          </w:tcPr>
          <w:p w14:paraId="2DAB75E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1.00</w:t>
            </w:r>
          </w:p>
        </w:tc>
      </w:tr>
      <w:tr w:rsidR="00C65397" w:rsidRPr="00624DB3" w14:paraId="72D4C2C4" w14:textId="77777777" w:rsidTr="00C65397">
        <w:tc>
          <w:tcPr>
            <w:tcW w:w="0" w:type="auto"/>
            <w:hideMark/>
          </w:tcPr>
          <w:p w14:paraId="17785253"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lastRenderedPageBreak/>
              <w:t>Defect Size (mm)</w:t>
            </w:r>
          </w:p>
        </w:tc>
        <w:tc>
          <w:tcPr>
            <w:tcW w:w="0" w:type="auto"/>
            <w:hideMark/>
          </w:tcPr>
          <w:p w14:paraId="7DFAF1B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17.8 ± 5.2</w:t>
            </w:r>
          </w:p>
        </w:tc>
        <w:tc>
          <w:tcPr>
            <w:tcW w:w="0" w:type="auto"/>
            <w:hideMark/>
          </w:tcPr>
          <w:p w14:paraId="1F19240D"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18.5 ± 4.8</w:t>
            </w:r>
          </w:p>
        </w:tc>
        <w:tc>
          <w:tcPr>
            <w:tcW w:w="0" w:type="auto"/>
            <w:hideMark/>
          </w:tcPr>
          <w:p w14:paraId="2288BD59"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0.64</w:t>
            </w:r>
          </w:p>
        </w:tc>
      </w:tr>
      <w:tr w:rsidR="00C65397" w:rsidRPr="00624DB3" w14:paraId="37A97DEB" w14:textId="77777777" w:rsidTr="00C65397">
        <w:tc>
          <w:tcPr>
            <w:tcW w:w="0" w:type="auto"/>
            <w:hideMark/>
          </w:tcPr>
          <w:p w14:paraId="6740C553"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LVEF (%)</w:t>
            </w:r>
          </w:p>
        </w:tc>
        <w:tc>
          <w:tcPr>
            <w:tcW w:w="0" w:type="auto"/>
            <w:hideMark/>
          </w:tcPr>
          <w:p w14:paraId="3ADEDF3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60.8 ± 4.5</w:t>
            </w:r>
          </w:p>
        </w:tc>
        <w:tc>
          <w:tcPr>
            <w:tcW w:w="0" w:type="auto"/>
            <w:hideMark/>
          </w:tcPr>
          <w:p w14:paraId="13250CB5"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59.9 ± 4.2</w:t>
            </w:r>
          </w:p>
        </w:tc>
        <w:tc>
          <w:tcPr>
            <w:tcW w:w="0" w:type="auto"/>
            <w:hideMark/>
          </w:tcPr>
          <w:p w14:paraId="0F652E2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0.51</w:t>
            </w:r>
          </w:p>
        </w:tc>
      </w:tr>
      <w:tr w:rsidR="00C65397" w:rsidRPr="00624DB3" w14:paraId="1225E6A1" w14:textId="77777777" w:rsidTr="00C65397">
        <w:tc>
          <w:tcPr>
            <w:tcW w:w="0" w:type="auto"/>
            <w:hideMark/>
          </w:tcPr>
          <w:p w14:paraId="7C5066BA"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Pulmonary Artery Pressure (mmHg)</w:t>
            </w:r>
          </w:p>
        </w:tc>
        <w:tc>
          <w:tcPr>
            <w:tcW w:w="0" w:type="auto"/>
            <w:hideMark/>
          </w:tcPr>
          <w:p w14:paraId="3381DCEA"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34.7 ± 7.5</w:t>
            </w:r>
          </w:p>
        </w:tc>
        <w:tc>
          <w:tcPr>
            <w:tcW w:w="0" w:type="auto"/>
            <w:hideMark/>
          </w:tcPr>
          <w:p w14:paraId="1804D3DA"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35.5 ± 8.2</w:t>
            </w:r>
          </w:p>
        </w:tc>
        <w:tc>
          <w:tcPr>
            <w:tcW w:w="0" w:type="auto"/>
            <w:hideMark/>
          </w:tcPr>
          <w:p w14:paraId="0C4019AE"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0.73</w:t>
            </w:r>
          </w:p>
        </w:tc>
      </w:tr>
    </w:tbl>
    <w:p w14:paraId="530D6DBA"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br/>
        <w:t>Both groups were statistically comparable at baseline, minimizing selection bias and allowing meaningful comparison of outcomes</w:t>
      </w:r>
    </w:p>
    <w:p w14:paraId="62584443" w14:textId="77777777" w:rsidR="00C65397" w:rsidRPr="00624DB3" w:rsidRDefault="00C65397" w:rsidP="00624DB3">
      <w:pPr>
        <w:spacing w:after="0" w:line="360" w:lineRule="auto"/>
        <w:jc w:val="both"/>
        <w:outlineLvl w:val="1"/>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Table 2. Procedural Characteristics</w:t>
      </w:r>
    </w:p>
    <w:tbl>
      <w:tblPr>
        <w:tblStyle w:val="TableGrid"/>
        <w:tblW w:w="0" w:type="auto"/>
        <w:tblLook w:val="04A0" w:firstRow="1" w:lastRow="0" w:firstColumn="1" w:lastColumn="0" w:noHBand="0" w:noVBand="1"/>
      </w:tblPr>
      <w:tblGrid>
        <w:gridCol w:w="2605"/>
        <w:gridCol w:w="1427"/>
        <w:gridCol w:w="1226"/>
        <w:gridCol w:w="879"/>
      </w:tblGrid>
      <w:tr w:rsidR="00C65397" w:rsidRPr="00624DB3" w14:paraId="034AB27E" w14:textId="77777777" w:rsidTr="00C65397">
        <w:tc>
          <w:tcPr>
            <w:tcW w:w="0" w:type="auto"/>
            <w:hideMark/>
          </w:tcPr>
          <w:p w14:paraId="6F3FACC8"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Variable</w:t>
            </w:r>
          </w:p>
        </w:tc>
        <w:tc>
          <w:tcPr>
            <w:tcW w:w="0" w:type="auto"/>
            <w:hideMark/>
          </w:tcPr>
          <w:p w14:paraId="78D46AD1"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Transcatheter</w:t>
            </w:r>
          </w:p>
        </w:tc>
        <w:tc>
          <w:tcPr>
            <w:tcW w:w="0" w:type="auto"/>
            <w:hideMark/>
          </w:tcPr>
          <w:p w14:paraId="0812BF01"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Surgical</w:t>
            </w:r>
          </w:p>
        </w:tc>
        <w:tc>
          <w:tcPr>
            <w:tcW w:w="0" w:type="auto"/>
            <w:hideMark/>
          </w:tcPr>
          <w:p w14:paraId="52362C34"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P value</w:t>
            </w:r>
          </w:p>
        </w:tc>
      </w:tr>
      <w:tr w:rsidR="00C65397" w:rsidRPr="00624DB3" w14:paraId="36B30376" w14:textId="77777777" w:rsidTr="00C65397">
        <w:tc>
          <w:tcPr>
            <w:tcW w:w="0" w:type="auto"/>
            <w:hideMark/>
          </w:tcPr>
          <w:p w14:paraId="63AE38F4"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Procedure Duration (minutes)</w:t>
            </w:r>
          </w:p>
        </w:tc>
        <w:tc>
          <w:tcPr>
            <w:tcW w:w="0" w:type="auto"/>
            <w:hideMark/>
          </w:tcPr>
          <w:p w14:paraId="2DCBD6CA"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62.4 ± 18.5</w:t>
            </w:r>
          </w:p>
        </w:tc>
        <w:tc>
          <w:tcPr>
            <w:tcW w:w="0" w:type="auto"/>
            <w:hideMark/>
          </w:tcPr>
          <w:p w14:paraId="7FFBCE4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168.5 ± 36.4</w:t>
            </w:r>
          </w:p>
        </w:tc>
        <w:tc>
          <w:tcPr>
            <w:tcW w:w="0" w:type="auto"/>
            <w:hideMark/>
          </w:tcPr>
          <w:p w14:paraId="7A269F1D"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&lt;0.001*</w:t>
            </w:r>
          </w:p>
        </w:tc>
      </w:tr>
      <w:tr w:rsidR="00C65397" w:rsidRPr="00624DB3" w14:paraId="463598A9" w14:textId="77777777" w:rsidTr="00C65397">
        <w:tc>
          <w:tcPr>
            <w:tcW w:w="0" w:type="auto"/>
            <w:hideMark/>
          </w:tcPr>
          <w:p w14:paraId="0C989D5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ICU Stay (days)</w:t>
            </w:r>
          </w:p>
        </w:tc>
        <w:tc>
          <w:tcPr>
            <w:tcW w:w="0" w:type="auto"/>
            <w:hideMark/>
          </w:tcPr>
          <w:p w14:paraId="55D7B89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0.9 ± 0.4</w:t>
            </w:r>
          </w:p>
        </w:tc>
        <w:tc>
          <w:tcPr>
            <w:tcW w:w="0" w:type="auto"/>
            <w:hideMark/>
          </w:tcPr>
          <w:p w14:paraId="4FD0567C"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2.8 ± 0.8</w:t>
            </w:r>
          </w:p>
        </w:tc>
        <w:tc>
          <w:tcPr>
            <w:tcW w:w="0" w:type="auto"/>
            <w:hideMark/>
          </w:tcPr>
          <w:p w14:paraId="0692BBA7"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&lt;0.001*</w:t>
            </w:r>
          </w:p>
        </w:tc>
      </w:tr>
      <w:tr w:rsidR="00C65397" w:rsidRPr="00624DB3" w14:paraId="698538EA" w14:textId="77777777" w:rsidTr="00C65397">
        <w:tc>
          <w:tcPr>
            <w:tcW w:w="0" w:type="auto"/>
            <w:hideMark/>
          </w:tcPr>
          <w:p w14:paraId="112E5E9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Hospital Stay (days)</w:t>
            </w:r>
          </w:p>
        </w:tc>
        <w:tc>
          <w:tcPr>
            <w:tcW w:w="0" w:type="auto"/>
            <w:hideMark/>
          </w:tcPr>
          <w:p w14:paraId="3AEEABFB"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2.3 ± 0.8</w:t>
            </w:r>
          </w:p>
        </w:tc>
        <w:tc>
          <w:tcPr>
            <w:tcW w:w="0" w:type="auto"/>
            <w:hideMark/>
          </w:tcPr>
          <w:p w14:paraId="714884B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7.6 ± 1.6</w:t>
            </w:r>
          </w:p>
        </w:tc>
        <w:tc>
          <w:tcPr>
            <w:tcW w:w="0" w:type="auto"/>
            <w:hideMark/>
          </w:tcPr>
          <w:p w14:paraId="061833BB"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&lt;0.001*</w:t>
            </w:r>
          </w:p>
        </w:tc>
      </w:tr>
      <w:tr w:rsidR="00C65397" w:rsidRPr="00624DB3" w14:paraId="11718F92" w14:textId="77777777" w:rsidTr="00C65397">
        <w:tc>
          <w:tcPr>
            <w:tcW w:w="0" w:type="auto"/>
            <w:hideMark/>
          </w:tcPr>
          <w:p w14:paraId="36E55AC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Blood Transfusion</w:t>
            </w:r>
          </w:p>
        </w:tc>
        <w:tc>
          <w:tcPr>
            <w:tcW w:w="0" w:type="auto"/>
            <w:hideMark/>
          </w:tcPr>
          <w:p w14:paraId="17D7474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 (0%)</w:t>
            </w:r>
          </w:p>
        </w:tc>
        <w:tc>
          <w:tcPr>
            <w:tcW w:w="0" w:type="auto"/>
            <w:hideMark/>
          </w:tcPr>
          <w:p w14:paraId="38D5316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14 (66.7%)</w:t>
            </w:r>
          </w:p>
        </w:tc>
        <w:tc>
          <w:tcPr>
            <w:tcW w:w="0" w:type="auto"/>
            <w:hideMark/>
          </w:tcPr>
          <w:p w14:paraId="65D40285"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&lt;0.001*</w:t>
            </w:r>
          </w:p>
        </w:tc>
      </w:tr>
      <w:tr w:rsidR="00C65397" w:rsidRPr="00624DB3" w14:paraId="1DB79C4B" w14:textId="77777777" w:rsidTr="00C65397">
        <w:tc>
          <w:tcPr>
            <w:tcW w:w="0" w:type="auto"/>
            <w:hideMark/>
          </w:tcPr>
          <w:p w14:paraId="4C9D930E"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Procedure Success</w:t>
            </w:r>
          </w:p>
        </w:tc>
        <w:tc>
          <w:tcPr>
            <w:tcW w:w="0" w:type="auto"/>
            <w:hideMark/>
          </w:tcPr>
          <w:p w14:paraId="541F50B5"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21 (100%)</w:t>
            </w:r>
          </w:p>
        </w:tc>
        <w:tc>
          <w:tcPr>
            <w:tcW w:w="0" w:type="auto"/>
            <w:hideMark/>
          </w:tcPr>
          <w:p w14:paraId="50681AAD"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20 (95.2%)</w:t>
            </w:r>
          </w:p>
        </w:tc>
        <w:tc>
          <w:tcPr>
            <w:tcW w:w="0" w:type="auto"/>
            <w:hideMark/>
          </w:tcPr>
          <w:p w14:paraId="44D44068"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0.31</w:t>
            </w:r>
          </w:p>
        </w:tc>
      </w:tr>
      <w:tr w:rsidR="00C65397" w:rsidRPr="00624DB3" w14:paraId="0B64E158" w14:textId="77777777" w:rsidTr="00C65397">
        <w:tc>
          <w:tcPr>
            <w:tcW w:w="0" w:type="auto"/>
            <w:hideMark/>
          </w:tcPr>
          <w:p w14:paraId="27F399CD"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Mean Blood Loss (ml)</w:t>
            </w:r>
          </w:p>
        </w:tc>
        <w:tc>
          <w:tcPr>
            <w:tcW w:w="0" w:type="auto"/>
            <w:hideMark/>
          </w:tcPr>
          <w:p w14:paraId="47601BEC"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Negligible</w:t>
            </w:r>
          </w:p>
        </w:tc>
        <w:tc>
          <w:tcPr>
            <w:tcW w:w="0" w:type="auto"/>
            <w:hideMark/>
          </w:tcPr>
          <w:p w14:paraId="4D1C0D64"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315 ± 92</w:t>
            </w:r>
          </w:p>
        </w:tc>
        <w:tc>
          <w:tcPr>
            <w:tcW w:w="0" w:type="auto"/>
            <w:hideMark/>
          </w:tcPr>
          <w:p w14:paraId="483A9B4E"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&lt;0.001*</w:t>
            </w:r>
          </w:p>
        </w:tc>
      </w:tr>
      <w:tr w:rsidR="00C65397" w:rsidRPr="00624DB3" w14:paraId="56568C77" w14:textId="77777777" w:rsidTr="00C65397">
        <w:tc>
          <w:tcPr>
            <w:tcW w:w="0" w:type="auto"/>
            <w:hideMark/>
          </w:tcPr>
          <w:p w14:paraId="3825B6EC"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Ventilator Requirement</w:t>
            </w:r>
          </w:p>
        </w:tc>
        <w:tc>
          <w:tcPr>
            <w:tcW w:w="0" w:type="auto"/>
            <w:hideMark/>
          </w:tcPr>
          <w:p w14:paraId="19E7604A"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5C65C794"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21 (100%)</w:t>
            </w:r>
          </w:p>
        </w:tc>
        <w:tc>
          <w:tcPr>
            <w:tcW w:w="0" w:type="auto"/>
            <w:hideMark/>
          </w:tcPr>
          <w:p w14:paraId="47A66AA8"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&lt;0.001*</w:t>
            </w:r>
          </w:p>
        </w:tc>
      </w:tr>
    </w:tbl>
    <w:p w14:paraId="51579E7A"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*Statistically significant</w:t>
      </w:r>
    </w:p>
    <w:p w14:paraId="296781B8" w14:textId="4290583D"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Transcatheter closure significantly reduced operative time, ICU stay, hospitalization, blood loss, and transfusion requirements while maintaining excellent procedural success.</w:t>
      </w:r>
    </w:p>
    <w:p w14:paraId="1F942778" w14:textId="77777777" w:rsidR="00C65397" w:rsidRPr="00624DB3" w:rsidRDefault="00C65397" w:rsidP="00624DB3">
      <w:pPr>
        <w:spacing w:after="0" w:line="360" w:lineRule="auto"/>
        <w:jc w:val="both"/>
        <w:outlineLvl w:val="1"/>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Table 3. Early Postoperative Complications</w:t>
      </w:r>
    </w:p>
    <w:tbl>
      <w:tblPr>
        <w:tblStyle w:val="TableGrid"/>
        <w:tblW w:w="0" w:type="auto"/>
        <w:tblLook w:val="04A0" w:firstRow="1" w:lastRow="0" w:firstColumn="1" w:lastColumn="0" w:noHBand="0" w:noVBand="1"/>
      </w:tblPr>
      <w:tblGrid>
        <w:gridCol w:w="2682"/>
        <w:gridCol w:w="1972"/>
        <w:gridCol w:w="1472"/>
        <w:gridCol w:w="844"/>
      </w:tblGrid>
      <w:tr w:rsidR="00C65397" w:rsidRPr="00624DB3" w14:paraId="153316A2" w14:textId="77777777" w:rsidTr="00C65397">
        <w:tc>
          <w:tcPr>
            <w:tcW w:w="0" w:type="auto"/>
            <w:hideMark/>
          </w:tcPr>
          <w:p w14:paraId="11BAFAF8"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Complication</w:t>
            </w:r>
          </w:p>
        </w:tc>
        <w:tc>
          <w:tcPr>
            <w:tcW w:w="0" w:type="auto"/>
            <w:hideMark/>
          </w:tcPr>
          <w:p w14:paraId="4D3AB470"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Transcatheter n (%)</w:t>
            </w:r>
          </w:p>
        </w:tc>
        <w:tc>
          <w:tcPr>
            <w:tcW w:w="0" w:type="auto"/>
            <w:hideMark/>
          </w:tcPr>
          <w:p w14:paraId="60291D4E"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Surgical n (%)</w:t>
            </w:r>
          </w:p>
        </w:tc>
        <w:tc>
          <w:tcPr>
            <w:tcW w:w="0" w:type="auto"/>
            <w:hideMark/>
          </w:tcPr>
          <w:p w14:paraId="24561367"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P value</w:t>
            </w:r>
          </w:p>
        </w:tc>
      </w:tr>
      <w:tr w:rsidR="00C65397" w:rsidRPr="00624DB3" w14:paraId="6B6EB81A" w14:textId="77777777" w:rsidTr="00C65397">
        <w:tc>
          <w:tcPr>
            <w:tcW w:w="0" w:type="auto"/>
            <w:hideMark/>
          </w:tcPr>
          <w:p w14:paraId="63F811E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Arrhythmia</w:t>
            </w:r>
          </w:p>
        </w:tc>
        <w:tc>
          <w:tcPr>
            <w:tcW w:w="0" w:type="auto"/>
            <w:hideMark/>
          </w:tcPr>
          <w:p w14:paraId="3ED2B41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 (4.8%)</w:t>
            </w:r>
          </w:p>
        </w:tc>
        <w:tc>
          <w:tcPr>
            <w:tcW w:w="0" w:type="auto"/>
            <w:hideMark/>
          </w:tcPr>
          <w:p w14:paraId="3453978B"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4 (19.0%)</w:t>
            </w:r>
          </w:p>
        </w:tc>
        <w:tc>
          <w:tcPr>
            <w:tcW w:w="0" w:type="auto"/>
            <w:hideMark/>
          </w:tcPr>
          <w:p w14:paraId="05E98A63"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0.15</w:t>
            </w:r>
          </w:p>
        </w:tc>
      </w:tr>
      <w:tr w:rsidR="00C65397" w:rsidRPr="00624DB3" w14:paraId="1F542403" w14:textId="77777777" w:rsidTr="00C65397">
        <w:tc>
          <w:tcPr>
            <w:tcW w:w="0" w:type="auto"/>
            <w:hideMark/>
          </w:tcPr>
          <w:p w14:paraId="1199A9D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Residual Shunt</w:t>
            </w:r>
          </w:p>
        </w:tc>
        <w:tc>
          <w:tcPr>
            <w:tcW w:w="0" w:type="auto"/>
            <w:hideMark/>
          </w:tcPr>
          <w:p w14:paraId="4F167D3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 (4.8%)</w:t>
            </w:r>
          </w:p>
        </w:tc>
        <w:tc>
          <w:tcPr>
            <w:tcW w:w="0" w:type="auto"/>
            <w:hideMark/>
          </w:tcPr>
          <w:p w14:paraId="2CCDAEF2"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 (9.5%)</w:t>
            </w:r>
          </w:p>
        </w:tc>
        <w:tc>
          <w:tcPr>
            <w:tcW w:w="0" w:type="auto"/>
            <w:hideMark/>
          </w:tcPr>
          <w:p w14:paraId="69BD5433"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0.55</w:t>
            </w:r>
          </w:p>
        </w:tc>
      </w:tr>
      <w:tr w:rsidR="00C65397" w:rsidRPr="00624DB3" w14:paraId="61AE3AAC" w14:textId="77777777" w:rsidTr="00C65397">
        <w:tc>
          <w:tcPr>
            <w:tcW w:w="0" w:type="auto"/>
            <w:hideMark/>
          </w:tcPr>
          <w:p w14:paraId="79F647C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Wound Infection</w:t>
            </w:r>
          </w:p>
        </w:tc>
        <w:tc>
          <w:tcPr>
            <w:tcW w:w="0" w:type="auto"/>
            <w:hideMark/>
          </w:tcPr>
          <w:p w14:paraId="782B8795"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38FD62A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 (9.5%)</w:t>
            </w:r>
          </w:p>
        </w:tc>
        <w:tc>
          <w:tcPr>
            <w:tcW w:w="0" w:type="auto"/>
            <w:hideMark/>
          </w:tcPr>
          <w:p w14:paraId="6BBD8BE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0.14</w:t>
            </w:r>
          </w:p>
        </w:tc>
      </w:tr>
      <w:tr w:rsidR="00C65397" w:rsidRPr="00624DB3" w14:paraId="4A3935AB" w14:textId="77777777" w:rsidTr="00C65397">
        <w:tc>
          <w:tcPr>
            <w:tcW w:w="0" w:type="auto"/>
            <w:hideMark/>
          </w:tcPr>
          <w:p w14:paraId="740DB338"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Pleural Effusion</w:t>
            </w:r>
          </w:p>
        </w:tc>
        <w:tc>
          <w:tcPr>
            <w:tcW w:w="0" w:type="auto"/>
            <w:hideMark/>
          </w:tcPr>
          <w:p w14:paraId="4CA16A4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6776CDE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3 (14.3%)</w:t>
            </w:r>
          </w:p>
        </w:tc>
        <w:tc>
          <w:tcPr>
            <w:tcW w:w="0" w:type="auto"/>
            <w:hideMark/>
          </w:tcPr>
          <w:p w14:paraId="53C51165"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0.07</w:t>
            </w:r>
          </w:p>
        </w:tc>
      </w:tr>
      <w:tr w:rsidR="00C65397" w:rsidRPr="00624DB3" w14:paraId="21ED9EC2" w14:textId="77777777" w:rsidTr="00C65397">
        <w:tc>
          <w:tcPr>
            <w:tcW w:w="0" w:type="auto"/>
            <w:hideMark/>
          </w:tcPr>
          <w:p w14:paraId="0FCCC32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Pericardial Effusion</w:t>
            </w:r>
          </w:p>
        </w:tc>
        <w:tc>
          <w:tcPr>
            <w:tcW w:w="0" w:type="auto"/>
            <w:hideMark/>
          </w:tcPr>
          <w:p w14:paraId="3D6692F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 (4.8%)</w:t>
            </w:r>
          </w:p>
        </w:tc>
        <w:tc>
          <w:tcPr>
            <w:tcW w:w="0" w:type="auto"/>
            <w:hideMark/>
          </w:tcPr>
          <w:p w14:paraId="23200C1B"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 (9.5%)</w:t>
            </w:r>
          </w:p>
        </w:tc>
        <w:tc>
          <w:tcPr>
            <w:tcW w:w="0" w:type="auto"/>
            <w:hideMark/>
          </w:tcPr>
          <w:p w14:paraId="1F7D3882"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0.55</w:t>
            </w:r>
          </w:p>
        </w:tc>
      </w:tr>
      <w:tr w:rsidR="00C65397" w:rsidRPr="00624DB3" w14:paraId="3FBFBE9D" w14:textId="77777777" w:rsidTr="00C65397">
        <w:tc>
          <w:tcPr>
            <w:tcW w:w="0" w:type="auto"/>
            <w:hideMark/>
          </w:tcPr>
          <w:p w14:paraId="33F02F8D"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Vascular Access Complication</w:t>
            </w:r>
          </w:p>
        </w:tc>
        <w:tc>
          <w:tcPr>
            <w:tcW w:w="0" w:type="auto"/>
            <w:hideMark/>
          </w:tcPr>
          <w:p w14:paraId="205CFB1B"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 (9.5%)</w:t>
            </w:r>
          </w:p>
        </w:tc>
        <w:tc>
          <w:tcPr>
            <w:tcW w:w="0" w:type="auto"/>
            <w:hideMark/>
          </w:tcPr>
          <w:p w14:paraId="2A1A0E35"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449FC119"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0.14</w:t>
            </w:r>
          </w:p>
        </w:tc>
      </w:tr>
      <w:tr w:rsidR="00C65397" w:rsidRPr="00624DB3" w14:paraId="0C2F01A4" w14:textId="77777777" w:rsidTr="00C65397">
        <w:tc>
          <w:tcPr>
            <w:tcW w:w="0" w:type="auto"/>
            <w:hideMark/>
          </w:tcPr>
          <w:p w14:paraId="3A006168"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Device Embolization</w:t>
            </w:r>
          </w:p>
        </w:tc>
        <w:tc>
          <w:tcPr>
            <w:tcW w:w="0" w:type="auto"/>
            <w:hideMark/>
          </w:tcPr>
          <w:p w14:paraId="3BA59A7D"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5B2480BB"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w:t>
            </w:r>
          </w:p>
        </w:tc>
        <w:tc>
          <w:tcPr>
            <w:tcW w:w="0" w:type="auto"/>
            <w:hideMark/>
          </w:tcPr>
          <w:p w14:paraId="226B5F2D"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w:t>
            </w:r>
          </w:p>
        </w:tc>
      </w:tr>
      <w:tr w:rsidR="00C65397" w:rsidRPr="00624DB3" w14:paraId="7ACA8BA2" w14:textId="77777777" w:rsidTr="00C65397">
        <w:tc>
          <w:tcPr>
            <w:tcW w:w="0" w:type="auto"/>
            <w:hideMark/>
          </w:tcPr>
          <w:p w14:paraId="025E9E37"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Re-intervention</w:t>
            </w:r>
          </w:p>
        </w:tc>
        <w:tc>
          <w:tcPr>
            <w:tcW w:w="0" w:type="auto"/>
            <w:hideMark/>
          </w:tcPr>
          <w:p w14:paraId="02E848D9"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243F6E6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 (4.8%)</w:t>
            </w:r>
          </w:p>
        </w:tc>
        <w:tc>
          <w:tcPr>
            <w:tcW w:w="0" w:type="auto"/>
            <w:hideMark/>
          </w:tcPr>
          <w:p w14:paraId="307B070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0.31</w:t>
            </w:r>
          </w:p>
        </w:tc>
      </w:tr>
      <w:tr w:rsidR="00C65397" w:rsidRPr="00624DB3" w14:paraId="47C8B97F" w14:textId="77777777" w:rsidTr="00C65397">
        <w:tc>
          <w:tcPr>
            <w:tcW w:w="0" w:type="auto"/>
            <w:hideMark/>
          </w:tcPr>
          <w:p w14:paraId="475BC71A"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Mortality</w:t>
            </w:r>
          </w:p>
        </w:tc>
        <w:tc>
          <w:tcPr>
            <w:tcW w:w="0" w:type="auto"/>
            <w:hideMark/>
          </w:tcPr>
          <w:p w14:paraId="26F2170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306A0E35"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6FAFD69A"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w:t>
            </w:r>
          </w:p>
        </w:tc>
      </w:tr>
    </w:tbl>
    <w:p w14:paraId="7A81182C"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br/>
        <w:t>Overall complication rates were low in both groups. Surgical closure demonstrated a higher frequency of postoperative complications, whereas vascular access complications were limited to the transcatheter group.</w:t>
      </w:r>
    </w:p>
    <w:p w14:paraId="4589446C"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p>
    <w:p w14:paraId="3E12C790" w14:textId="77777777" w:rsidR="00C65397" w:rsidRPr="00624DB3" w:rsidRDefault="00C65397" w:rsidP="00624DB3">
      <w:pPr>
        <w:spacing w:after="0" w:line="360" w:lineRule="auto"/>
        <w:jc w:val="both"/>
        <w:outlineLvl w:val="1"/>
        <w:rPr>
          <w:rFonts w:ascii="Times New Roman" w:eastAsia="Times New Roman" w:hAnsi="Times New Roman" w:cs="Times New Roman"/>
          <w:b/>
          <w:bCs/>
          <w:sz w:val="20"/>
          <w:szCs w:val="20"/>
          <w:lang w:eastAsia="en-IN"/>
        </w:rPr>
      </w:pPr>
    </w:p>
    <w:p w14:paraId="717EC177" w14:textId="77777777" w:rsidR="00C65397" w:rsidRPr="00624DB3" w:rsidRDefault="00C65397" w:rsidP="00624DB3">
      <w:pPr>
        <w:spacing w:after="0" w:line="360" w:lineRule="auto"/>
        <w:jc w:val="both"/>
        <w:outlineLvl w:val="1"/>
        <w:rPr>
          <w:rFonts w:ascii="Times New Roman" w:eastAsia="Times New Roman" w:hAnsi="Times New Roman" w:cs="Times New Roman"/>
          <w:b/>
          <w:bCs/>
          <w:sz w:val="20"/>
          <w:szCs w:val="20"/>
          <w:lang w:eastAsia="en-IN"/>
        </w:rPr>
      </w:pPr>
    </w:p>
    <w:p w14:paraId="31BAB34B" w14:textId="77777777" w:rsidR="00DF7493" w:rsidRDefault="00DF7493" w:rsidP="00624DB3">
      <w:pPr>
        <w:spacing w:after="0" w:line="360" w:lineRule="auto"/>
        <w:jc w:val="both"/>
        <w:outlineLvl w:val="1"/>
        <w:rPr>
          <w:rFonts w:ascii="Times New Roman" w:eastAsia="Times New Roman" w:hAnsi="Times New Roman" w:cs="Times New Roman"/>
          <w:b/>
          <w:bCs/>
          <w:sz w:val="20"/>
          <w:szCs w:val="20"/>
          <w:lang w:eastAsia="en-IN"/>
        </w:rPr>
      </w:pPr>
    </w:p>
    <w:p w14:paraId="74F243EB" w14:textId="77777777" w:rsidR="00DF7493" w:rsidRDefault="00DF7493" w:rsidP="00624DB3">
      <w:pPr>
        <w:spacing w:after="0" w:line="360" w:lineRule="auto"/>
        <w:jc w:val="both"/>
        <w:outlineLvl w:val="1"/>
        <w:rPr>
          <w:rFonts w:ascii="Times New Roman" w:eastAsia="Times New Roman" w:hAnsi="Times New Roman" w:cs="Times New Roman"/>
          <w:b/>
          <w:bCs/>
          <w:sz w:val="20"/>
          <w:szCs w:val="20"/>
          <w:lang w:eastAsia="en-IN"/>
        </w:rPr>
      </w:pPr>
    </w:p>
    <w:p w14:paraId="4FA961B3" w14:textId="77777777" w:rsidR="00DF7493" w:rsidRDefault="00DF7493" w:rsidP="00624DB3">
      <w:pPr>
        <w:spacing w:after="0" w:line="360" w:lineRule="auto"/>
        <w:jc w:val="both"/>
        <w:outlineLvl w:val="1"/>
        <w:rPr>
          <w:rFonts w:ascii="Times New Roman" w:eastAsia="Times New Roman" w:hAnsi="Times New Roman" w:cs="Times New Roman"/>
          <w:b/>
          <w:bCs/>
          <w:sz w:val="20"/>
          <w:szCs w:val="20"/>
          <w:lang w:eastAsia="en-IN"/>
        </w:rPr>
      </w:pPr>
    </w:p>
    <w:p w14:paraId="53B6DB73" w14:textId="77777777" w:rsidR="00DF7493" w:rsidRDefault="00DF7493" w:rsidP="00624DB3">
      <w:pPr>
        <w:spacing w:after="0" w:line="360" w:lineRule="auto"/>
        <w:jc w:val="both"/>
        <w:outlineLvl w:val="1"/>
        <w:rPr>
          <w:rFonts w:ascii="Times New Roman" w:eastAsia="Times New Roman" w:hAnsi="Times New Roman" w:cs="Times New Roman"/>
          <w:b/>
          <w:bCs/>
          <w:sz w:val="20"/>
          <w:szCs w:val="20"/>
          <w:lang w:eastAsia="en-IN"/>
        </w:rPr>
      </w:pPr>
    </w:p>
    <w:p w14:paraId="26D0F07D" w14:textId="3015E9CB" w:rsidR="00C65397" w:rsidRPr="00624DB3" w:rsidRDefault="00C65397" w:rsidP="00624DB3">
      <w:pPr>
        <w:spacing w:after="0" w:line="360" w:lineRule="auto"/>
        <w:jc w:val="both"/>
        <w:outlineLvl w:val="1"/>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lastRenderedPageBreak/>
        <w:t>Table 4. Six-Month Follow-up Outcomes</w:t>
      </w:r>
    </w:p>
    <w:tbl>
      <w:tblPr>
        <w:tblStyle w:val="TableGrid"/>
        <w:tblW w:w="0" w:type="auto"/>
        <w:tblLook w:val="04A0" w:firstRow="1" w:lastRow="0" w:firstColumn="1" w:lastColumn="0" w:noHBand="0" w:noVBand="1"/>
      </w:tblPr>
      <w:tblGrid>
        <w:gridCol w:w="3055"/>
        <w:gridCol w:w="1427"/>
        <w:gridCol w:w="1116"/>
        <w:gridCol w:w="844"/>
      </w:tblGrid>
      <w:tr w:rsidR="00C65397" w:rsidRPr="00624DB3" w14:paraId="6188D583" w14:textId="77777777" w:rsidTr="00C65397">
        <w:tc>
          <w:tcPr>
            <w:tcW w:w="0" w:type="auto"/>
            <w:hideMark/>
          </w:tcPr>
          <w:p w14:paraId="38A6A16F"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Variable</w:t>
            </w:r>
          </w:p>
        </w:tc>
        <w:tc>
          <w:tcPr>
            <w:tcW w:w="0" w:type="auto"/>
            <w:hideMark/>
          </w:tcPr>
          <w:p w14:paraId="6B8BF7BD"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Transcatheter</w:t>
            </w:r>
          </w:p>
        </w:tc>
        <w:tc>
          <w:tcPr>
            <w:tcW w:w="0" w:type="auto"/>
            <w:hideMark/>
          </w:tcPr>
          <w:p w14:paraId="73ABF462"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Surgical</w:t>
            </w:r>
          </w:p>
        </w:tc>
        <w:tc>
          <w:tcPr>
            <w:tcW w:w="0" w:type="auto"/>
            <w:hideMark/>
          </w:tcPr>
          <w:p w14:paraId="26CB5501" w14:textId="77777777" w:rsidR="00C65397" w:rsidRPr="00624DB3" w:rsidRDefault="00C65397" w:rsidP="00624DB3">
            <w:pPr>
              <w:spacing w:line="360" w:lineRule="auto"/>
              <w:jc w:val="both"/>
              <w:rPr>
                <w:rFonts w:ascii="Times New Roman" w:eastAsia="Times New Roman" w:hAnsi="Times New Roman" w:cs="Times New Roman"/>
                <w:b/>
                <w:bCs/>
                <w:sz w:val="20"/>
                <w:szCs w:val="20"/>
                <w:lang w:eastAsia="en-IN"/>
              </w:rPr>
            </w:pPr>
            <w:r w:rsidRPr="00624DB3">
              <w:rPr>
                <w:rFonts w:ascii="Times New Roman" w:eastAsia="Times New Roman" w:hAnsi="Times New Roman" w:cs="Times New Roman"/>
                <w:b/>
                <w:bCs/>
                <w:sz w:val="20"/>
                <w:szCs w:val="20"/>
                <w:lang w:eastAsia="en-IN"/>
              </w:rPr>
              <w:t>P value</w:t>
            </w:r>
          </w:p>
        </w:tc>
      </w:tr>
      <w:tr w:rsidR="00C65397" w:rsidRPr="00624DB3" w14:paraId="557DDCBD" w14:textId="77777777" w:rsidTr="00C65397">
        <w:tc>
          <w:tcPr>
            <w:tcW w:w="0" w:type="auto"/>
            <w:hideMark/>
          </w:tcPr>
          <w:p w14:paraId="5973EDBC"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Complete Closure</w:t>
            </w:r>
          </w:p>
        </w:tc>
        <w:tc>
          <w:tcPr>
            <w:tcW w:w="0" w:type="auto"/>
            <w:hideMark/>
          </w:tcPr>
          <w:p w14:paraId="4F743BC2"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20 (95.2%)</w:t>
            </w:r>
          </w:p>
        </w:tc>
        <w:tc>
          <w:tcPr>
            <w:tcW w:w="0" w:type="auto"/>
            <w:hideMark/>
          </w:tcPr>
          <w:p w14:paraId="392561FC"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20 (95.2%)</w:t>
            </w:r>
          </w:p>
        </w:tc>
        <w:tc>
          <w:tcPr>
            <w:tcW w:w="0" w:type="auto"/>
            <w:hideMark/>
          </w:tcPr>
          <w:p w14:paraId="6A2CD89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1.00</w:t>
            </w:r>
          </w:p>
        </w:tc>
      </w:tr>
      <w:tr w:rsidR="00C65397" w:rsidRPr="00624DB3" w14:paraId="4B21C835" w14:textId="77777777" w:rsidTr="00C65397">
        <w:tc>
          <w:tcPr>
            <w:tcW w:w="0" w:type="auto"/>
            <w:hideMark/>
          </w:tcPr>
          <w:p w14:paraId="588A2E3A"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Residual Small Shunt</w:t>
            </w:r>
          </w:p>
        </w:tc>
        <w:tc>
          <w:tcPr>
            <w:tcW w:w="0" w:type="auto"/>
            <w:hideMark/>
          </w:tcPr>
          <w:p w14:paraId="481C52AB"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 (4.8%)</w:t>
            </w:r>
          </w:p>
        </w:tc>
        <w:tc>
          <w:tcPr>
            <w:tcW w:w="0" w:type="auto"/>
            <w:hideMark/>
          </w:tcPr>
          <w:p w14:paraId="019C3DAC"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 (4.8%)</w:t>
            </w:r>
          </w:p>
        </w:tc>
        <w:tc>
          <w:tcPr>
            <w:tcW w:w="0" w:type="auto"/>
            <w:hideMark/>
          </w:tcPr>
          <w:p w14:paraId="61F690E7"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1.00</w:t>
            </w:r>
          </w:p>
        </w:tc>
      </w:tr>
      <w:tr w:rsidR="00C65397" w:rsidRPr="00624DB3" w14:paraId="6AB6A480" w14:textId="77777777" w:rsidTr="00C65397">
        <w:tc>
          <w:tcPr>
            <w:tcW w:w="0" w:type="auto"/>
            <w:hideMark/>
          </w:tcPr>
          <w:p w14:paraId="6A0A79D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NYHA Class I</w:t>
            </w:r>
          </w:p>
        </w:tc>
        <w:tc>
          <w:tcPr>
            <w:tcW w:w="0" w:type="auto"/>
            <w:hideMark/>
          </w:tcPr>
          <w:p w14:paraId="2EF0E5C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21 (100%)</w:t>
            </w:r>
          </w:p>
        </w:tc>
        <w:tc>
          <w:tcPr>
            <w:tcW w:w="0" w:type="auto"/>
            <w:hideMark/>
          </w:tcPr>
          <w:p w14:paraId="6AAADCE0"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20 (95.2%)</w:t>
            </w:r>
          </w:p>
        </w:tc>
        <w:tc>
          <w:tcPr>
            <w:tcW w:w="0" w:type="auto"/>
            <w:hideMark/>
          </w:tcPr>
          <w:p w14:paraId="37E86D52"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0.31</w:t>
            </w:r>
          </w:p>
        </w:tc>
      </w:tr>
      <w:tr w:rsidR="00C65397" w:rsidRPr="00624DB3" w14:paraId="4F231412" w14:textId="77777777" w:rsidTr="00C65397">
        <w:tc>
          <w:tcPr>
            <w:tcW w:w="0" w:type="auto"/>
            <w:hideMark/>
          </w:tcPr>
          <w:p w14:paraId="7BD1A7CD"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Normal Pulmonary Artery Pressure</w:t>
            </w:r>
          </w:p>
        </w:tc>
        <w:tc>
          <w:tcPr>
            <w:tcW w:w="0" w:type="auto"/>
            <w:hideMark/>
          </w:tcPr>
          <w:p w14:paraId="351F537E"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20 (95.2%)</w:t>
            </w:r>
          </w:p>
        </w:tc>
        <w:tc>
          <w:tcPr>
            <w:tcW w:w="0" w:type="auto"/>
            <w:hideMark/>
          </w:tcPr>
          <w:p w14:paraId="0DD2D188"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19 (90.5%)</w:t>
            </w:r>
          </w:p>
        </w:tc>
        <w:tc>
          <w:tcPr>
            <w:tcW w:w="0" w:type="auto"/>
            <w:hideMark/>
          </w:tcPr>
          <w:p w14:paraId="6BBD103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0.55</w:t>
            </w:r>
          </w:p>
        </w:tc>
      </w:tr>
      <w:tr w:rsidR="00C65397" w:rsidRPr="00624DB3" w14:paraId="30560C30" w14:textId="77777777" w:rsidTr="00C65397">
        <w:tc>
          <w:tcPr>
            <w:tcW w:w="0" w:type="auto"/>
            <w:hideMark/>
          </w:tcPr>
          <w:p w14:paraId="0FC5E284"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Readmission</w:t>
            </w:r>
          </w:p>
        </w:tc>
        <w:tc>
          <w:tcPr>
            <w:tcW w:w="0" w:type="auto"/>
            <w:hideMark/>
          </w:tcPr>
          <w:p w14:paraId="358F8B9D"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5EEBDF93"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 (4.8%)</w:t>
            </w:r>
          </w:p>
        </w:tc>
        <w:tc>
          <w:tcPr>
            <w:tcW w:w="0" w:type="auto"/>
            <w:hideMark/>
          </w:tcPr>
          <w:p w14:paraId="19ECE691"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0.31</w:t>
            </w:r>
          </w:p>
        </w:tc>
      </w:tr>
      <w:tr w:rsidR="00C65397" w:rsidRPr="00624DB3" w14:paraId="7F6760FA" w14:textId="77777777" w:rsidTr="00C65397">
        <w:tc>
          <w:tcPr>
            <w:tcW w:w="0" w:type="auto"/>
            <w:hideMark/>
          </w:tcPr>
          <w:p w14:paraId="701E5A29"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Re-intervention</w:t>
            </w:r>
          </w:p>
        </w:tc>
        <w:tc>
          <w:tcPr>
            <w:tcW w:w="0" w:type="auto"/>
            <w:hideMark/>
          </w:tcPr>
          <w:p w14:paraId="5775D719"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5EC9ABD4"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1 (4.8%)</w:t>
            </w:r>
          </w:p>
        </w:tc>
        <w:tc>
          <w:tcPr>
            <w:tcW w:w="0" w:type="auto"/>
            <w:hideMark/>
          </w:tcPr>
          <w:p w14:paraId="79D1C45F"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0.31</w:t>
            </w:r>
          </w:p>
        </w:tc>
      </w:tr>
      <w:tr w:rsidR="00C65397" w:rsidRPr="00624DB3" w14:paraId="0051F7A5" w14:textId="77777777" w:rsidTr="00C65397">
        <w:tc>
          <w:tcPr>
            <w:tcW w:w="0" w:type="auto"/>
            <w:hideMark/>
          </w:tcPr>
          <w:p w14:paraId="3C004963"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Mortality</w:t>
            </w:r>
          </w:p>
        </w:tc>
        <w:tc>
          <w:tcPr>
            <w:tcW w:w="0" w:type="auto"/>
            <w:hideMark/>
          </w:tcPr>
          <w:p w14:paraId="720C2A76"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57C5E65B"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0</w:t>
            </w:r>
          </w:p>
        </w:tc>
        <w:tc>
          <w:tcPr>
            <w:tcW w:w="0" w:type="auto"/>
            <w:hideMark/>
          </w:tcPr>
          <w:p w14:paraId="5E2303B4" w14:textId="77777777" w:rsidR="00C65397" w:rsidRPr="00624DB3" w:rsidRDefault="00C65397" w:rsidP="00624DB3">
            <w:pPr>
              <w:spacing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w:t>
            </w:r>
          </w:p>
        </w:tc>
      </w:tr>
    </w:tbl>
    <w:p w14:paraId="639633F4"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br/>
        <w:t>Mid-term outcomes were excellent in both groups. Transcatheter closure achieved clinical results comparable to surgery while offering superior perioperative recovery.</w:t>
      </w:r>
    </w:p>
    <w:p w14:paraId="14540EA2" w14:textId="77777777" w:rsidR="00C65397" w:rsidRPr="00624DB3" w:rsidRDefault="00C65397" w:rsidP="00624DB3">
      <w:pPr>
        <w:spacing w:after="0" w:line="360" w:lineRule="auto"/>
        <w:jc w:val="both"/>
        <w:outlineLvl w:val="0"/>
        <w:rPr>
          <w:rFonts w:ascii="Times New Roman" w:eastAsia="Times New Roman" w:hAnsi="Times New Roman" w:cs="Times New Roman"/>
          <w:b/>
          <w:bCs/>
          <w:kern w:val="36"/>
          <w:sz w:val="20"/>
          <w:szCs w:val="20"/>
          <w:lang w:eastAsia="en-IN"/>
        </w:rPr>
      </w:pPr>
      <w:r w:rsidRPr="00624DB3">
        <w:rPr>
          <w:rFonts w:ascii="Times New Roman" w:eastAsia="Times New Roman" w:hAnsi="Times New Roman" w:cs="Times New Roman"/>
          <w:b/>
          <w:bCs/>
          <w:kern w:val="36"/>
          <w:sz w:val="20"/>
          <w:szCs w:val="20"/>
          <w:lang w:eastAsia="en-IN"/>
        </w:rPr>
        <w:t>Discussion</w:t>
      </w:r>
    </w:p>
    <w:p w14:paraId="77C2096E"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The present prospective comparative observational study evaluated the short- and mid-term outcomes of transcatheter versus surgical closure in 42 patients with </w:t>
      </w:r>
      <w:proofErr w:type="spellStart"/>
      <w:r w:rsidRPr="00624DB3">
        <w:rPr>
          <w:rFonts w:ascii="Times New Roman" w:eastAsia="Times New Roman" w:hAnsi="Times New Roman" w:cs="Times New Roman"/>
          <w:sz w:val="20"/>
          <w:szCs w:val="20"/>
          <w:lang w:eastAsia="en-IN"/>
        </w:rPr>
        <w:t>acyanotic</w:t>
      </w:r>
      <w:proofErr w:type="spellEnd"/>
      <w:r w:rsidRPr="00624DB3">
        <w:rPr>
          <w:rFonts w:ascii="Times New Roman" w:eastAsia="Times New Roman" w:hAnsi="Times New Roman" w:cs="Times New Roman"/>
          <w:sz w:val="20"/>
          <w:szCs w:val="20"/>
          <w:lang w:eastAsia="en-IN"/>
        </w:rPr>
        <w:t xml:space="preserve"> congenital heart defects. The principal findings demonstrate that both treatment modalities achieved excellent procedural success and </w:t>
      </w:r>
      <w:proofErr w:type="spellStart"/>
      <w:r w:rsidRPr="00624DB3">
        <w:rPr>
          <w:rFonts w:ascii="Times New Roman" w:eastAsia="Times New Roman" w:hAnsi="Times New Roman" w:cs="Times New Roman"/>
          <w:sz w:val="20"/>
          <w:szCs w:val="20"/>
          <w:lang w:eastAsia="en-IN"/>
        </w:rPr>
        <w:t>favorable</w:t>
      </w:r>
      <w:proofErr w:type="spellEnd"/>
      <w:r w:rsidRPr="00624DB3">
        <w:rPr>
          <w:rFonts w:ascii="Times New Roman" w:eastAsia="Times New Roman" w:hAnsi="Times New Roman" w:cs="Times New Roman"/>
          <w:sz w:val="20"/>
          <w:szCs w:val="20"/>
          <w:lang w:eastAsia="en-IN"/>
        </w:rPr>
        <w:t xml:space="preserve"> six-month clinical outcomes. However, transcatheter closure was associated with significantly shorter procedural duration, reduced intensive care and hospital stay, lower perioperative morbidity, and faster postoperative recovery compared with conventional surgical repair. These findings are consistent with contemporary international evidence and current guideline recommendations </w:t>
      </w:r>
      <w:proofErr w:type="spellStart"/>
      <w:r w:rsidRPr="00624DB3">
        <w:rPr>
          <w:rFonts w:ascii="Times New Roman" w:eastAsia="Times New Roman" w:hAnsi="Times New Roman" w:cs="Times New Roman"/>
          <w:sz w:val="20"/>
          <w:szCs w:val="20"/>
          <w:lang w:eastAsia="en-IN"/>
        </w:rPr>
        <w:t>favoring</w:t>
      </w:r>
      <w:proofErr w:type="spellEnd"/>
      <w:r w:rsidRPr="00624DB3">
        <w:rPr>
          <w:rFonts w:ascii="Times New Roman" w:eastAsia="Times New Roman" w:hAnsi="Times New Roman" w:cs="Times New Roman"/>
          <w:sz w:val="20"/>
          <w:szCs w:val="20"/>
          <w:lang w:eastAsia="en-IN"/>
        </w:rPr>
        <w:t xml:space="preserve"> transcatheter closure for anatomically suitable defects. (6,7)</w:t>
      </w:r>
    </w:p>
    <w:p w14:paraId="69F0C415"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The demographic characteristics of both study groups were comparable with respect to age, gender distribution, diagnosis, and baseline echocardiographic parameters, indicating adequate matching between the two cohorts. ASD constituted the majority of defects, followed by PDA and VSD, reflecting the epidemiological distribution reported in previous Indian and international studies. The comparable baseline profile reduced confounding and allowed meaningful comparison of postoperative outcomes. (8,9,10) </w:t>
      </w:r>
    </w:p>
    <w:p w14:paraId="549F5509"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Procedural success in the present study was 100% in the transcatheter group and 95.2% in the surgical group. Although surgical repair has historically been regarded as the gold standard because of its ability to address virtually all anatomical variations, advances in device technology, imaging guidance, and operator experience have significantly improved the success of transcatheter interventions. Current international guidelines recommend transcatheter closure as the preferred treatment for isolated secundum ASD with </w:t>
      </w:r>
      <w:proofErr w:type="spellStart"/>
      <w:r w:rsidRPr="00624DB3">
        <w:rPr>
          <w:rFonts w:ascii="Times New Roman" w:eastAsia="Times New Roman" w:hAnsi="Times New Roman" w:cs="Times New Roman"/>
          <w:sz w:val="20"/>
          <w:szCs w:val="20"/>
          <w:lang w:eastAsia="en-IN"/>
        </w:rPr>
        <w:t>favorable</w:t>
      </w:r>
      <w:proofErr w:type="spellEnd"/>
      <w:r w:rsidRPr="00624DB3">
        <w:rPr>
          <w:rFonts w:ascii="Times New Roman" w:eastAsia="Times New Roman" w:hAnsi="Times New Roman" w:cs="Times New Roman"/>
          <w:sz w:val="20"/>
          <w:szCs w:val="20"/>
          <w:lang w:eastAsia="en-IN"/>
        </w:rPr>
        <w:t xml:space="preserve"> anatomy because it provides similar efficacy with lower procedural morbidity and shorter recovery. Surgery, however, continues to play a vital role in patients with deficient rims, very large defects, sinus venosus defects, primum ASD, associated congenital anomalies, or failed device closure. (11) </w:t>
      </w:r>
    </w:p>
    <w:p w14:paraId="7F8E1A53"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One of the most significant findings of this study was the marked reduction in procedure duration, ICU stay, and total hospital stay among patients undergoing transcatheter closure. The average hospital stay was nearly one-third that of the surgical group. Similar observations have been reported in multiple comparative studies demonstrating that catheter-based interventions eliminate sternotomy, cardiopulmonary bypass, prolonged mechanical ventilation, and extensive postoperative pain, thereby facilitating rapid mobilization and early </w:t>
      </w:r>
      <w:r w:rsidRPr="00624DB3">
        <w:rPr>
          <w:rFonts w:ascii="Times New Roman" w:eastAsia="Times New Roman" w:hAnsi="Times New Roman" w:cs="Times New Roman"/>
          <w:sz w:val="20"/>
          <w:szCs w:val="20"/>
          <w:lang w:eastAsia="en-IN"/>
        </w:rPr>
        <w:lastRenderedPageBreak/>
        <w:t xml:space="preserve">discharge. These advantages also contribute to improved patient satisfaction, earlier return to normal activities, and reduced healthcare expenditure. (12) </w:t>
      </w:r>
    </w:p>
    <w:p w14:paraId="0994DD1D"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Blood transfusion was required only in patients undergoing surgery because of intraoperative blood loss associated with median sternotomy and cardiopulmonary bypass. In contrast, blood loss during transcatheter intervention was negligible. The avoidance of transfusion not only reduces hospitalization costs but also minimizes the risk of transfusion-related complications and inflammatory responses. These findings further support the minimally invasive nature of transcatheter intervention.</w:t>
      </w:r>
    </w:p>
    <w:p w14:paraId="2EF357DC" w14:textId="77777777" w:rsidR="00C65397" w:rsidRPr="00624DB3" w:rsidRDefault="00C65397" w:rsidP="00624DB3">
      <w:pPr>
        <w:spacing w:after="0" w:line="360" w:lineRule="auto"/>
        <w:jc w:val="both"/>
        <w:outlineLvl w:val="0"/>
        <w:rPr>
          <w:rFonts w:ascii="Times New Roman" w:eastAsia="Times New Roman" w:hAnsi="Times New Roman" w:cs="Times New Roman"/>
          <w:b/>
          <w:bCs/>
          <w:kern w:val="36"/>
          <w:sz w:val="20"/>
          <w:szCs w:val="20"/>
          <w:lang w:eastAsia="en-IN"/>
        </w:rPr>
      </w:pPr>
      <w:r w:rsidRPr="00624DB3">
        <w:rPr>
          <w:rFonts w:ascii="Times New Roman" w:eastAsia="Times New Roman" w:hAnsi="Times New Roman" w:cs="Times New Roman"/>
          <w:b/>
          <w:bCs/>
          <w:kern w:val="36"/>
          <w:sz w:val="20"/>
          <w:szCs w:val="20"/>
          <w:lang w:eastAsia="en-IN"/>
        </w:rPr>
        <w:t>Conclusion</w:t>
      </w:r>
    </w:p>
    <w:p w14:paraId="487E60D9"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Both transcatheter and surgical closure are highly effective treatment modalities for </w:t>
      </w:r>
      <w:proofErr w:type="spellStart"/>
      <w:r w:rsidRPr="00624DB3">
        <w:rPr>
          <w:rFonts w:ascii="Times New Roman" w:eastAsia="Times New Roman" w:hAnsi="Times New Roman" w:cs="Times New Roman"/>
          <w:sz w:val="20"/>
          <w:szCs w:val="20"/>
          <w:lang w:eastAsia="en-IN"/>
        </w:rPr>
        <w:t>acyanotic</w:t>
      </w:r>
      <w:proofErr w:type="spellEnd"/>
      <w:r w:rsidRPr="00624DB3">
        <w:rPr>
          <w:rFonts w:ascii="Times New Roman" w:eastAsia="Times New Roman" w:hAnsi="Times New Roman" w:cs="Times New Roman"/>
          <w:sz w:val="20"/>
          <w:szCs w:val="20"/>
          <w:lang w:eastAsia="en-IN"/>
        </w:rPr>
        <w:t xml:space="preserve"> congenital heart defects, providing excellent procedural success and </w:t>
      </w:r>
      <w:proofErr w:type="spellStart"/>
      <w:r w:rsidRPr="00624DB3">
        <w:rPr>
          <w:rFonts w:ascii="Times New Roman" w:eastAsia="Times New Roman" w:hAnsi="Times New Roman" w:cs="Times New Roman"/>
          <w:sz w:val="20"/>
          <w:szCs w:val="20"/>
          <w:lang w:eastAsia="en-IN"/>
        </w:rPr>
        <w:t>favorable</w:t>
      </w:r>
      <w:proofErr w:type="spellEnd"/>
      <w:r w:rsidRPr="00624DB3">
        <w:rPr>
          <w:rFonts w:ascii="Times New Roman" w:eastAsia="Times New Roman" w:hAnsi="Times New Roman" w:cs="Times New Roman"/>
          <w:sz w:val="20"/>
          <w:szCs w:val="20"/>
          <w:lang w:eastAsia="en-IN"/>
        </w:rPr>
        <w:t xml:space="preserve"> mid-term outcomes. Transcatheter closure offers significant advantages in terms of reduced procedure duration, shorter ICU and hospital stay, minimal blood loss, lower postoperative morbidity, earlier ambulation, and faster recovery while maintaining comparable efficacy to surgical repair. Surgical closure continues to be the treatment of choice for anatomically unsuitable or complex congenital heart defects requiring direct visualization and concomitant intracardiac repair. Careful patient selection based on anatomical characteristics, defect morphology, and multidisciplinary evaluation remains essential for achieving optimal clinical outcomes.</w:t>
      </w:r>
    </w:p>
    <w:p w14:paraId="33563B13" w14:textId="77777777" w:rsidR="00C65397" w:rsidRPr="00624DB3" w:rsidRDefault="00C65397" w:rsidP="00624DB3">
      <w:pPr>
        <w:spacing w:after="0" w:line="360" w:lineRule="auto"/>
        <w:jc w:val="both"/>
        <w:rPr>
          <w:rFonts w:ascii="Times New Roman" w:eastAsia="Times New Roman" w:hAnsi="Times New Roman" w:cs="Times New Roman"/>
          <w:sz w:val="20"/>
          <w:szCs w:val="20"/>
          <w:lang w:eastAsia="en-IN"/>
        </w:rPr>
      </w:pPr>
    </w:p>
    <w:p w14:paraId="0E25245E" w14:textId="77777777" w:rsidR="00C65397" w:rsidRPr="00624DB3" w:rsidRDefault="00C65397" w:rsidP="00624DB3">
      <w:pPr>
        <w:spacing w:after="0" w:line="360" w:lineRule="auto"/>
        <w:jc w:val="both"/>
        <w:outlineLvl w:val="0"/>
        <w:rPr>
          <w:rFonts w:ascii="Times New Roman" w:eastAsia="Times New Roman" w:hAnsi="Times New Roman" w:cs="Times New Roman"/>
          <w:b/>
          <w:bCs/>
          <w:kern w:val="36"/>
          <w:sz w:val="20"/>
          <w:szCs w:val="20"/>
          <w:lang w:eastAsia="en-IN"/>
        </w:rPr>
      </w:pPr>
      <w:r w:rsidRPr="00624DB3">
        <w:rPr>
          <w:rFonts w:ascii="Times New Roman" w:eastAsia="Times New Roman" w:hAnsi="Times New Roman" w:cs="Times New Roman"/>
          <w:b/>
          <w:bCs/>
          <w:kern w:val="36"/>
          <w:sz w:val="20"/>
          <w:szCs w:val="20"/>
          <w:lang w:eastAsia="en-IN"/>
        </w:rPr>
        <w:t xml:space="preserve">References </w:t>
      </w:r>
    </w:p>
    <w:p w14:paraId="41F0E32B"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Gurvitz M, Krieger EV, Fuller S, et al. 2025 ACC/AHA/HRS/ISACHD/SCAI guideline for the management of adults with congenital heart disease. J Am Coll </w:t>
      </w:r>
      <w:proofErr w:type="spellStart"/>
      <w:r w:rsidRPr="00624DB3">
        <w:rPr>
          <w:rFonts w:ascii="Times New Roman" w:eastAsia="Times New Roman" w:hAnsi="Times New Roman" w:cs="Times New Roman"/>
          <w:sz w:val="20"/>
          <w:szCs w:val="20"/>
          <w:lang w:eastAsia="en-IN"/>
        </w:rPr>
        <w:t>Cardiol</w:t>
      </w:r>
      <w:proofErr w:type="spellEnd"/>
      <w:r w:rsidRPr="00624DB3">
        <w:rPr>
          <w:rFonts w:ascii="Times New Roman" w:eastAsia="Times New Roman" w:hAnsi="Times New Roman" w:cs="Times New Roman"/>
          <w:sz w:val="20"/>
          <w:szCs w:val="20"/>
          <w:lang w:eastAsia="en-IN"/>
        </w:rPr>
        <w:t xml:space="preserve">. </w:t>
      </w:r>
      <w:proofErr w:type="gramStart"/>
      <w:r w:rsidRPr="00624DB3">
        <w:rPr>
          <w:rFonts w:ascii="Times New Roman" w:eastAsia="Times New Roman" w:hAnsi="Times New Roman" w:cs="Times New Roman"/>
          <w:sz w:val="20"/>
          <w:szCs w:val="20"/>
          <w:lang w:eastAsia="en-IN"/>
        </w:rPr>
        <w:t>2026;87:822</w:t>
      </w:r>
      <w:proofErr w:type="gramEnd"/>
      <w:r w:rsidRPr="00624DB3">
        <w:rPr>
          <w:rFonts w:ascii="Times New Roman" w:eastAsia="Times New Roman" w:hAnsi="Times New Roman" w:cs="Times New Roman"/>
          <w:sz w:val="20"/>
          <w:szCs w:val="20"/>
          <w:lang w:eastAsia="en-IN"/>
        </w:rPr>
        <w:t xml:space="preserve">-976. </w:t>
      </w:r>
    </w:p>
    <w:p w14:paraId="5147CB3A"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Baumgartner H, De Backer J, Babu-Narayan SV, et al. 2020 ESC Guidelines for the management of adult congenital heart disease. </w:t>
      </w:r>
      <w:proofErr w:type="spellStart"/>
      <w:r w:rsidRPr="00624DB3">
        <w:rPr>
          <w:rFonts w:ascii="Times New Roman" w:eastAsia="Times New Roman" w:hAnsi="Times New Roman" w:cs="Times New Roman"/>
          <w:sz w:val="20"/>
          <w:szCs w:val="20"/>
          <w:lang w:eastAsia="en-IN"/>
        </w:rPr>
        <w:t>Eur</w:t>
      </w:r>
      <w:proofErr w:type="spellEnd"/>
      <w:r w:rsidRPr="00624DB3">
        <w:rPr>
          <w:rFonts w:ascii="Times New Roman" w:eastAsia="Times New Roman" w:hAnsi="Times New Roman" w:cs="Times New Roman"/>
          <w:sz w:val="20"/>
          <w:szCs w:val="20"/>
          <w:lang w:eastAsia="en-IN"/>
        </w:rPr>
        <w:t xml:space="preserve"> Heart J. </w:t>
      </w:r>
      <w:proofErr w:type="gramStart"/>
      <w:r w:rsidRPr="00624DB3">
        <w:rPr>
          <w:rFonts w:ascii="Times New Roman" w:eastAsia="Times New Roman" w:hAnsi="Times New Roman" w:cs="Times New Roman"/>
          <w:sz w:val="20"/>
          <w:szCs w:val="20"/>
          <w:lang w:eastAsia="en-IN"/>
        </w:rPr>
        <w:t>2021;42:563</w:t>
      </w:r>
      <w:proofErr w:type="gramEnd"/>
      <w:r w:rsidRPr="00624DB3">
        <w:rPr>
          <w:rFonts w:ascii="Times New Roman" w:eastAsia="Times New Roman" w:hAnsi="Times New Roman" w:cs="Times New Roman"/>
          <w:sz w:val="20"/>
          <w:szCs w:val="20"/>
          <w:lang w:eastAsia="en-IN"/>
        </w:rPr>
        <w:t xml:space="preserve">-645. </w:t>
      </w:r>
    </w:p>
    <w:p w14:paraId="4A4C4B68"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Stout KK, Daniels CJ, Aboulhosn JA, et al. 2018 AHA/ACC Guideline for the Management of Adults </w:t>
      </w:r>
      <w:proofErr w:type="gramStart"/>
      <w:r w:rsidRPr="00624DB3">
        <w:rPr>
          <w:rFonts w:ascii="Times New Roman" w:eastAsia="Times New Roman" w:hAnsi="Times New Roman" w:cs="Times New Roman"/>
          <w:sz w:val="20"/>
          <w:szCs w:val="20"/>
          <w:lang w:eastAsia="en-IN"/>
        </w:rPr>
        <w:t>With</w:t>
      </w:r>
      <w:proofErr w:type="gramEnd"/>
      <w:r w:rsidRPr="00624DB3">
        <w:rPr>
          <w:rFonts w:ascii="Times New Roman" w:eastAsia="Times New Roman" w:hAnsi="Times New Roman" w:cs="Times New Roman"/>
          <w:sz w:val="20"/>
          <w:szCs w:val="20"/>
          <w:lang w:eastAsia="en-IN"/>
        </w:rPr>
        <w:t xml:space="preserve"> Congenital Heart Disease. J Am Coll </w:t>
      </w:r>
      <w:proofErr w:type="spellStart"/>
      <w:r w:rsidRPr="00624DB3">
        <w:rPr>
          <w:rFonts w:ascii="Times New Roman" w:eastAsia="Times New Roman" w:hAnsi="Times New Roman" w:cs="Times New Roman"/>
          <w:sz w:val="20"/>
          <w:szCs w:val="20"/>
          <w:lang w:eastAsia="en-IN"/>
        </w:rPr>
        <w:t>Cardiol</w:t>
      </w:r>
      <w:proofErr w:type="spellEnd"/>
      <w:r w:rsidRPr="00624DB3">
        <w:rPr>
          <w:rFonts w:ascii="Times New Roman" w:eastAsia="Times New Roman" w:hAnsi="Times New Roman" w:cs="Times New Roman"/>
          <w:sz w:val="20"/>
          <w:szCs w:val="20"/>
          <w:lang w:eastAsia="en-IN"/>
        </w:rPr>
        <w:t>. 2019;</w:t>
      </w:r>
      <w:proofErr w:type="gramStart"/>
      <w:r w:rsidRPr="00624DB3">
        <w:rPr>
          <w:rFonts w:ascii="Times New Roman" w:eastAsia="Times New Roman" w:hAnsi="Times New Roman" w:cs="Times New Roman"/>
          <w:sz w:val="20"/>
          <w:szCs w:val="20"/>
          <w:lang w:eastAsia="en-IN"/>
        </w:rPr>
        <w:t>73:e</w:t>
      </w:r>
      <w:proofErr w:type="gramEnd"/>
      <w:r w:rsidRPr="00624DB3">
        <w:rPr>
          <w:rFonts w:ascii="Times New Roman" w:eastAsia="Times New Roman" w:hAnsi="Times New Roman" w:cs="Times New Roman"/>
          <w:sz w:val="20"/>
          <w:szCs w:val="20"/>
          <w:lang w:eastAsia="en-IN"/>
        </w:rPr>
        <w:t xml:space="preserve">81-e192. </w:t>
      </w:r>
    </w:p>
    <w:p w14:paraId="6BF5BEBA"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Butera G, Carminati M, Chessa M, et al. Percutaneous versus surgical closure of secundum atrial septal defects: long-term follow-up. Heart. </w:t>
      </w:r>
      <w:proofErr w:type="gramStart"/>
      <w:r w:rsidRPr="00624DB3">
        <w:rPr>
          <w:rFonts w:ascii="Times New Roman" w:eastAsia="Times New Roman" w:hAnsi="Times New Roman" w:cs="Times New Roman"/>
          <w:sz w:val="20"/>
          <w:szCs w:val="20"/>
          <w:lang w:eastAsia="en-IN"/>
        </w:rPr>
        <w:t>2006;92:1727</w:t>
      </w:r>
      <w:proofErr w:type="gramEnd"/>
      <w:r w:rsidRPr="00624DB3">
        <w:rPr>
          <w:rFonts w:ascii="Times New Roman" w:eastAsia="Times New Roman" w:hAnsi="Times New Roman" w:cs="Times New Roman"/>
          <w:sz w:val="20"/>
          <w:szCs w:val="20"/>
          <w:lang w:eastAsia="en-IN"/>
        </w:rPr>
        <w:t xml:space="preserve">-1732. </w:t>
      </w:r>
    </w:p>
    <w:p w14:paraId="4DA2DFA1"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proofErr w:type="spellStart"/>
      <w:r w:rsidRPr="00624DB3">
        <w:rPr>
          <w:rFonts w:ascii="Times New Roman" w:eastAsia="Times New Roman" w:hAnsi="Times New Roman" w:cs="Times New Roman"/>
          <w:sz w:val="20"/>
          <w:szCs w:val="20"/>
          <w:lang w:eastAsia="en-IN"/>
        </w:rPr>
        <w:t>Kotowycz</w:t>
      </w:r>
      <w:proofErr w:type="spellEnd"/>
      <w:r w:rsidRPr="00624DB3">
        <w:rPr>
          <w:rFonts w:ascii="Times New Roman" w:eastAsia="Times New Roman" w:hAnsi="Times New Roman" w:cs="Times New Roman"/>
          <w:sz w:val="20"/>
          <w:szCs w:val="20"/>
          <w:lang w:eastAsia="en-IN"/>
        </w:rPr>
        <w:t xml:space="preserve"> MA, Therrien J, Ionescu-Ittu R, et al. Long-term outcomes after surgical versus transcatheter closure of atrial septal defects in adults. JACC Cardiovasc </w:t>
      </w:r>
      <w:proofErr w:type="spellStart"/>
      <w:r w:rsidRPr="00624DB3">
        <w:rPr>
          <w:rFonts w:ascii="Times New Roman" w:eastAsia="Times New Roman" w:hAnsi="Times New Roman" w:cs="Times New Roman"/>
          <w:sz w:val="20"/>
          <w:szCs w:val="20"/>
          <w:lang w:eastAsia="en-IN"/>
        </w:rPr>
        <w:t>Interv</w:t>
      </w:r>
      <w:proofErr w:type="spellEnd"/>
      <w:r w:rsidRPr="00624DB3">
        <w:rPr>
          <w:rFonts w:ascii="Times New Roman" w:eastAsia="Times New Roman" w:hAnsi="Times New Roman" w:cs="Times New Roman"/>
          <w:sz w:val="20"/>
          <w:szCs w:val="20"/>
          <w:lang w:eastAsia="en-IN"/>
        </w:rPr>
        <w:t xml:space="preserve">. </w:t>
      </w:r>
      <w:proofErr w:type="gramStart"/>
      <w:r w:rsidRPr="00624DB3">
        <w:rPr>
          <w:rFonts w:ascii="Times New Roman" w:eastAsia="Times New Roman" w:hAnsi="Times New Roman" w:cs="Times New Roman"/>
          <w:sz w:val="20"/>
          <w:szCs w:val="20"/>
          <w:lang w:eastAsia="en-IN"/>
        </w:rPr>
        <w:t>2013;6:497</w:t>
      </w:r>
      <w:proofErr w:type="gramEnd"/>
      <w:r w:rsidRPr="00624DB3">
        <w:rPr>
          <w:rFonts w:ascii="Times New Roman" w:eastAsia="Times New Roman" w:hAnsi="Times New Roman" w:cs="Times New Roman"/>
          <w:sz w:val="20"/>
          <w:szCs w:val="20"/>
          <w:lang w:eastAsia="en-IN"/>
        </w:rPr>
        <w:t xml:space="preserve">-503. </w:t>
      </w:r>
    </w:p>
    <w:p w14:paraId="7C69F947"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Du ZD, Hijazi ZM, Kleinman CS, Silverman NH, </w:t>
      </w:r>
      <w:proofErr w:type="spellStart"/>
      <w:r w:rsidRPr="00624DB3">
        <w:rPr>
          <w:rFonts w:ascii="Times New Roman" w:eastAsia="Times New Roman" w:hAnsi="Times New Roman" w:cs="Times New Roman"/>
          <w:sz w:val="20"/>
          <w:szCs w:val="20"/>
          <w:lang w:eastAsia="en-IN"/>
        </w:rPr>
        <w:t>Larntz</w:t>
      </w:r>
      <w:proofErr w:type="spellEnd"/>
      <w:r w:rsidRPr="00624DB3">
        <w:rPr>
          <w:rFonts w:ascii="Times New Roman" w:eastAsia="Times New Roman" w:hAnsi="Times New Roman" w:cs="Times New Roman"/>
          <w:sz w:val="20"/>
          <w:szCs w:val="20"/>
          <w:lang w:eastAsia="en-IN"/>
        </w:rPr>
        <w:t xml:space="preserve"> K. Comparison between transcatheter and surgical closure of secundum atrial septal defect. J Am Coll </w:t>
      </w:r>
      <w:proofErr w:type="spellStart"/>
      <w:r w:rsidRPr="00624DB3">
        <w:rPr>
          <w:rFonts w:ascii="Times New Roman" w:eastAsia="Times New Roman" w:hAnsi="Times New Roman" w:cs="Times New Roman"/>
          <w:sz w:val="20"/>
          <w:szCs w:val="20"/>
          <w:lang w:eastAsia="en-IN"/>
        </w:rPr>
        <w:t>Cardiol</w:t>
      </w:r>
      <w:proofErr w:type="spellEnd"/>
      <w:r w:rsidRPr="00624DB3">
        <w:rPr>
          <w:rFonts w:ascii="Times New Roman" w:eastAsia="Times New Roman" w:hAnsi="Times New Roman" w:cs="Times New Roman"/>
          <w:sz w:val="20"/>
          <w:szCs w:val="20"/>
          <w:lang w:eastAsia="en-IN"/>
        </w:rPr>
        <w:t xml:space="preserve">. </w:t>
      </w:r>
      <w:proofErr w:type="gramStart"/>
      <w:r w:rsidRPr="00624DB3">
        <w:rPr>
          <w:rFonts w:ascii="Times New Roman" w:eastAsia="Times New Roman" w:hAnsi="Times New Roman" w:cs="Times New Roman"/>
          <w:sz w:val="20"/>
          <w:szCs w:val="20"/>
          <w:lang w:eastAsia="en-IN"/>
        </w:rPr>
        <w:t>2002;39:1836</w:t>
      </w:r>
      <w:proofErr w:type="gramEnd"/>
      <w:r w:rsidRPr="00624DB3">
        <w:rPr>
          <w:rFonts w:ascii="Times New Roman" w:eastAsia="Times New Roman" w:hAnsi="Times New Roman" w:cs="Times New Roman"/>
          <w:sz w:val="20"/>
          <w:szCs w:val="20"/>
          <w:lang w:eastAsia="en-IN"/>
        </w:rPr>
        <w:t xml:space="preserve">-1844. </w:t>
      </w:r>
    </w:p>
    <w:p w14:paraId="088D182D"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Moore JW, Vincent RN, Beekman RH III, et al. Procedural outcomes of catheter closure of congenital heart defects. Catheter Cardiovasc </w:t>
      </w:r>
      <w:proofErr w:type="spellStart"/>
      <w:r w:rsidRPr="00624DB3">
        <w:rPr>
          <w:rFonts w:ascii="Times New Roman" w:eastAsia="Times New Roman" w:hAnsi="Times New Roman" w:cs="Times New Roman"/>
          <w:sz w:val="20"/>
          <w:szCs w:val="20"/>
          <w:lang w:eastAsia="en-IN"/>
        </w:rPr>
        <w:t>Interv</w:t>
      </w:r>
      <w:proofErr w:type="spellEnd"/>
      <w:r w:rsidRPr="00624DB3">
        <w:rPr>
          <w:rFonts w:ascii="Times New Roman" w:eastAsia="Times New Roman" w:hAnsi="Times New Roman" w:cs="Times New Roman"/>
          <w:sz w:val="20"/>
          <w:szCs w:val="20"/>
          <w:lang w:eastAsia="en-IN"/>
        </w:rPr>
        <w:t xml:space="preserve">. </w:t>
      </w:r>
      <w:proofErr w:type="gramStart"/>
      <w:r w:rsidRPr="00624DB3">
        <w:rPr>
          <w:rFonts w:ascii="Times New Roman" w:eastAsia="Times New Roman" w:hAnsi="Times New Roman" w:cs="Times New Roman"/>
          <w:sz w:val="20"/>
          <w:szCs w:val="20"/>
          <w:lang w:eastAsia="en-IN"/>
        </w:rPr>
        <w:t>2014;84:121</w:t>
      </w:r>
      <w:proofErr w:type="gramEnd"/>
      <w:r w:rsidRPr="00624DB3">
        <w:rPr>
          <w:rFonts w:ascii="Times New Roman" w:eastAsia="Times New Roman" w:hAnsi="Times New Roman" w:cs="Times New Roman"/>
          <w:sz w:val="20"/>
          <w:szCs w:val="20"/>
          <w:lang w:eastAsia="en-IN"/>
        </w:rPr>
        <w:t xml:space="preserve">-128. </w:t>
      </w:r>
    </w:p>
    <w:p w14:paraId="27E521BC"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Abaci A, Unlu S, </w:t>
      </w:r>
      <w:proofErr w:type="spellStart"/>
      <w:r w:rsidRPr="00624DB3">
        <w:rPr>
          <w:rFonts w:ascii="Times New Roman" w:eastAsia="Times New Roman" w:hAnsi="Times New Roman" w:cs="Times New Roman"/>
          <w:sz w:val="20"/>
          <w:szCs w:val="20"/>
          <w:lang w:eastAsia="en-IN"/>
        </w:rPr>
        <w:t>Alsancak</w:t>
      </w:r>
      <w:proofErr w:type="spellEnd"/>
      <w:r w:rsidRPr="00624DB3">
        <w:rPr>
          <w:rFonts w:ascii="Times New Roman" w:eastAsia="Times New Roman" w:hAnsi="Times New Roman" w:cs="Times New Roman"/>
          <w:sz w:val="20"/>
          <w:szCs w:val="20"/>
          <w:lang w:eastAsia="en-IN"/>
        </w:rPr>
        <w:t xml:space="preserve"> Y, Kaya U, </w:t>
      </w:r>
      <w:proofErr w:type="spellStart"/>
      <w:r w:rsidRPr="00624DB3">
        <w:rPr>
          <w:rFonts w:ascii="Times New Roman" w:eastAsia="Times New Roman" w:hAnsi="Times New Roman" w:cs="Times New Roman"/>
          <w:sz w:val="20"/>
          <w:szCs w:val="20"/>
          <w:lang w:eastAsia="en-IN"/>
        </w:rPr>
        <w:t>Sezenoz</w:t>
      </w:r>
      <w:proofErr w:type="spellEnd"/>
      <w:r w:rsidRPr="00624DB3">
        <w:rPr>
          <w:rFonts w:ascii="Times New Roman" w:eastAsia="Times New Roman" w:hAnsi="Times New Roman" w:cs="Times New Roman"/>
          <w:sz w:val="20"/>
          <w:szCs w:val="20"/>
          <w:lang w:eastAsia="en-IN"/>
        </w:rPr>
        <w:t xml:space="preserve"> B. Short- and long-term complications of device closure of atrial septal defect: a meta-analysis. Catheter Cardiovasc </w:t>
      </w:r>
      <w:proofErr w:type="spellStart"/>
      <w:r w:rsidRPr="00624DB3">
        <w:rPr>
          <w:rFonts w:ascii="Times New Roman" w:eastAsia="Times New Roman" w:hAnsi="Times New Roman" w:cs="Times New Roman"/>
          <w:sz w:val="20"/>
          <w:szCs w:val="20"/>
          <w:lang w:eastAsia="en-IN"/>
        </w:rPr>
        <w:t>Interv</w:t>
      </w:r>
      <w:proofErr w:type="spellEnd"/>
      <w:r w:rsidRPr="00624DB3">
        <w:rPr>
          <w:rFonts w:ascii="Times New Roman" w:eastAsia="Times New Roman" w:hAnsi="Times New Roman" w:cs="Times New Roman"/>
          <w:sz w:val="20"/>
          <w:szCs w:val="20"/>
          <w:lang w:eastAsia="en-IN"/>
        </w:rPr>
        <w:t xml:space="preserve">. </w:t>
      </w:r>
      <w:proofErr w:type="gramStart"/>
      <w:r w:rsidRPr="00624DB3">
        <w:rPr>
          <w:rFonts w:ascii="Times New Roman" w:eastAsia="Times New Roman" w:hAnsi="Times New Roman" w:cs="Times New Roman"/>
          <w:sz w:val="20"/>
          <w:szCs w:val="20"/>
          <w:lang w:eastAsia="en-IN"/>
        </w:rPr>
        <w:t>2013;82:1123</w:t>
      </w:r>
      <w:proofErr w:type="gramEnd"/>
      <w:r w:rsidRPr="00624DB3">
        <w:rPr>
          <w:rFonts w:ascii="Times New Roman" w:eastAsia="Times New Roman" w:hAnsi="Times New Roman" w:cs="Times New Roman"/>
          <w:sz w:val="20"/>
          <w:szCs w:val="20"/>
          <w:lang w:eastAsia="en-IN"/>
        </w:rPr>
        <w:t xml:space="preserve">-1138. </w:t>
      </w:r>
    </w:p>
    <w:p w14:paraId="1C4BE34B"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Vida VL, </w:t>
      </w:r>
      <w:proofErr w:type="spellStart"/>
      <w:r w:rsidRPr="00624DB3">
        <w:rPr>
          <w:rFonts w:ascii="Times New Roman" w:eastAsia="Times New Roman" w:hAnsi="Times New Roman" w:cs="Times New Roman"/>
          <w:sz w:val="20"/>
          <w:szCs w:val="20"/>
          <w:lang w:eastAsia="en-IN"/>
        </w:rPr>
        <w:t>Barnoya</w:t>
      </w:r>
      <w:proofErr w:type="spellEnd"/>
      <w:r w:rsidRPr="00624DB3">
        <w:rPr>
          <w:rFonts w:ascii="Times New Roman" w:eastAsia="Times New Roman" w:hAnsi="Times New Roman" w:cs="Times New Roman"/>
          <w:sz w:val="20"/>
          <w:szCs w:val="20"/>
          <w:lang w:eastAsia="en-IN"/>
        </w:rPr>
        <w:t xml:space="preserve"> J, O'Connell M, et al. Surgical versus transcatheter treatment of congenital septal defects: comparative outcomes. World J </w:t>
      </w:r>
      <w:proofErr w:type="spellStart"/>
      <w:r w:rsidRPr="00624DB3">
        <w:rPr>
          <w:rFonts w:ascii="Times New Roman" w:eastAsia="Times New Roman" w:hAnsi="Times New Roman" w:cs="Times New Roman"/>
          <w:sz w:val="20"/>
          <w:szCs w:val="20"/>
          <w:lang w:eastAsia="en-IN"/>
        </w:rPr>
        <w:t>Pediatr</w:t>
      </w:r>
      <w:proofErr w:type="spellEnd"/>
      <w:r w:rsidRPr="00624DB3">
        <w:rPr>
          <w:rFonts w:ascii="Times New Roman" w:eastAsia="Times New Roman" w:hAnsi="Times New Roman" w:cs="Times New Roman"/>
          <w:sz w:val="20"/>
          <w:szCs w:val="20"/>
          <w:lang w:eastAsia="en-IN"/>
        </w:rPr>
        <w:t xml:space="preserve"> </w:t>
      </w:r>
      <w:proofErr w:type="spellStart"/>
      <w:r w:rsidRPr="00624DB3">
        <w:rPr>
          <w:rFonts w:ascii="Times New Roman" w:eastAsia="Times New Roman" w:hAnsi="Times New Roman" w:cs="Times New Roman"/>
          <w:sz w:val="20"/>
          <w:szCs w:val="20"/>
          <w:lang w:eastAsia="en-IN"/>
        </w:rPr>
        <w:t>Congenit</w:t>
      </w:r>
      <w:proofErr w:type="spellEnd"/>
      <w:r w:rsidRPr="00624DB3">
        <w:rPr>
          <w:rFonts w:ascii="Times New Roman" w:eastAsia="Times New Roman" w:hAnsi="Times New Roman" w:cs="Times New Roman"/>
          <w:sz w:val="20"/>
          <w:szCs w:val="20"/>
          <w:lang w:eastAsia="en-IN"/>
        </w:rPr>
        <w:t xml:space="preserve"> Heart Surg. </w:t>
      </w:r>
      <w:proofErr w:type="gramStart"/>
      <w:r w:rsidRPr="00624DB3">
        <w:rPr>
          <w:rFonts w:ascii="Times New Roman" w:eastAsia="Times New Roman" w:hAnsi="Times New Roman" w:cs="Times New Roman"/>
          <w:sz w:val="20"/>
          <w:szCs w:val="20"/>
          <w:lang w:eastAsia="en-IN"/>
        </w:rPr>
        <w:t>2018;9:588</w:t>
      </w:r>
      <w:proofErr w:type="gramEnd"/>
      <w:r w:rsidRPr="00624DB3">
        <w:rPr>
          <w:rFonts w:ascii="Times New Roman" w:eastAsia="Times New Roman" w:hAnsi="Times New Roman" w:cs="Times New Roman"/>
          <w:sz w:val="20"/>
          <w:szCs w:val="20"/>
          <w:lang w:eastAsia="en-IN"/>
        </w:rPr>
        <w:t xml:space="preserve">-595. </w:t>
      </w:r>
    </w:p>
    <w:p w14:paraId="265B7E5A"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Kenny D, Hijazi ZM. Current status and future directions of transcatheter closure of congenital heart defects. Nat Rev </w:t>
      </w:r>
      <w:proofErr w:type="spellStart"/>
      <w:r w:rsidRPr="00624DB3">
        <w:rPr>
          <w:rFonts w:ascii="Times New Roman" w:eastAsia="Times New Roman" w:hAnsi="Times New Roman" w:cs="Times New Roman"/>
          <w:sz w:val="20"/>
          <w:szCs w:val="20"/>
          <w:lang w:eastAsia="en-IN"/>
        </w:rPr>
        <w:t>Cardiol</w:t>
      </w:r>
      <w:proofErr w:type="spellEnd"/>
      <w:r w:rsidRPr="00624DB3">
        <w:rPr>
          <w:rFonts w:ascii="Times New Roman" w:eastAsia="Times New Roman" w:hAnsi="Times New Roman" w:cs="Times New Roman"/>
          <w:sz w:val="20"/>
          <w:szCs w:val="20"/>
          <w:lang w:eastAsia="en-IN"/>
        </w:rPr>
        <w:t xml:space="preserve">. </w:t>
      </w:r>
      <w:proofErr w:type="gramStart"/>
      <w:r w:rsidRPr="00624DB3">
        <w:rPr>
          <w:rFonts w:ascii="Times New Roman" w:eastAsia="Times New Roman" w:hAnsi="Times New Roman" w:cs="Times New Roman"/>
          <w:sz w:val="20"/>
          <w:szCs w:val="20"/>
          <w:lang w:eastAsia="en-IN"/>
        </w:rPr>
        <w:t>2011;8:15</w:t>
      </w:r>
      <w:proofErr w:type="gramEnd"/>
      <w:r w:rsidRPr="00624DB3">
        <w:rPr>
          <w:rFonts w:ascii="Times New Roman" w:eastAsia="Times New Roman" w:hAnsi="Times New Roman" w:cs="Times New Roman"/>
          <w:sz w:val="20"/>
          <w:szCs w:val="20"/>
          <w:lang w:eastAsia="en-IN"/>
        </w:rPr>
        <w:t xml:space="preserve">-29. </w:t>
      </w:r>
    </w:p>
    <w:p w14:paraId="1F0B0ED3"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t xml:space="preserve">Rao PS. Transcatheter interventions in congenital heart disease: present status and future directions. Children (Basel). </w:t>
      </w:r>
      <w:proofErr w:type="gramStart"/>
      <w:r w:rsidRPr="00624DB3">
        <w:rPr>
          <w:rFonts w:ascii="Times New Roman" w:eastAsia="Times New Roman" w:hAnsi="Times New Roman" w:cs="Times New Roman"/>
          <w:sz w:val="20"/>
          <w:szCs w:val="20"/>
          <w:lang w:eastAsia="en-IN"/>
        </w:rPr>
        <w:t>2023;10:1085</w:t>
      </w:r>
      <w:proofErr w:type="gramEnd"/>
      <w:r w:rsidRPr="00624DB3">
        <w:rPr>
          <w:rFonts w:ascii="Times New Roman" w:eastAsia="Times New Roman" w:hAnsi="Times New Roman" w:cs="Times New Roman"/>
          <w:sz w:val="20"/>
          <w:szCs w:val="20"/>
          <w:lang w:eastAsia="en-IN"/>
        </w:rPr>
        <w:t xml:space="preserve">. </w:t>
      </w:r>
    </w:p>
    <w:p w14:paraId="06447D1D" w14:textId="77777777" w:rsidR="00C65397" w:rsidRPr="00624DB3" w:rsidRDefault="00C65397" w:rsidP="00624DB3">
      <w:pPr>
        <w:numPr>
          <w:ilvl w:val="0"/>
          <w:numId w:val="15"/>
        </w:numPr>
        <w:spacing w:after="0" w:line="360" w:lineRule="auto"/>
        <w:jc w:val="both"/>
        <w:rPr>
          <w:rFonts w:ascii="Times New Roman" w:eastAsia="Times New Roman" w:hAnsi="Times New Roman" w:cs="Times New Roman"/>
          <w:sz w:val="20"/>
          <w:szCs w:val="20"/>
          <w:lang w:eastAsia="en-IN"/>
        </w:rPr>
      </w:pPr>
      <w:r w:rsidRPr="00624DB3">
        <w:rPr>
          <w:rFonts w:ascii="Times New Roman" w:eastAsia="Times New Roman" w:hAnsi="Times New Roman" w:cs="Times New Roman"/>
          <w:sz w:val="20"/>
          <w:szCs w:val="20"/>
          <w:lang w:eastAsia="en-IN"/>
        </w:rPr>
        <w:lastRenderedPageBreak/>
        <w:t xml:space="preserve">Forbes TJ, Amin Z, Hijazi ZM. Device closure of atrial septal defects and patent ductus arteriosus: current concepts and future perspectives. </w:t>
      </w:r>
      <w:proofErr w:type="spellStart"/>
      <w:r w:rsidRPr="00624DB3">
        <w:rPr>
          <w:rFonts w:ascii="Times New Roman" w:eastAsia="Times New Roman" w:hAnsi="Times New Roman" w:cs="Times New Roman"/>
          <w:sz w:val="20"/>
          <w:szCs w:val="20"/>
          <w:lang w:eastAsia="en-IN"/>
        </w:rPr>
        <w:t>Interv</w:t>
      </w:r>
      <w:proofErr w:type="spellEnd"/>
      <w:r w:rsidRPr="00624DB3">
        <w:rPr>
          <w:rFonts w:ascii="Times New Roman" w:eastAsia="Times New Roman" w:hAnsi="Times New Roman" w:cs="Times New Roman"/>
          <w:sz w:val="20"/>
          <w:szCs w:val="20"/>
          <w:lang w:eastAsia="en-IN"/>
        </w:rPr>
        <w:t xml:space="preserve"> </w:t>
      </w:r>
      <w:proofErr w:type="spellStart"/>
      <w:r w:rsidRPr="00624DB3">
        <w:rPr>
          <w:rFonts w:ascii="Times New Roman" w:eastAsia="Times New Roman" w:hAnsi="Times New Roman" w:cs="Times New Roman"/>
          <w:sz w:val="20"/>
          <w:szCs w:val="20"/>
          <w:lang w:eastAsia="en-IN"/>
        </w:rPr>
        <w:t>Cardiol</w:t>
      </w:r>
      <w:proofErr w:type="spellEnd"/>
      <w:r w:rsidRPr="00624DB3">
        <w:rPr>
          <w:rFonts w:ascii="Times New Roman" w:eastAsia="Times New Roman" w:hAnsi="Times New Roman" w:cs="Times New Roman"/>
          <w:sz w:val="20"/>
          <w:szCs w:val="20"/>
          <w:lang w:eastAsia="en-IN"/>
        </w:rPr>
        <w:t xml:space="preserve"> Clin. </w:t>
      </w:r>
      <w:proofErr w:type="gramStart"/>
      <w:r w:rsidRPr="00624DB3">
        <w:rPr>
          <w:rFonts w:ascii="Times New Roman" w:eastAsia="Times New Roman" w:hAnsi="Times New Roman" w:cs="Times New Roman"/>
          <w:sz w:val="20"/>
          <w:szCs w:val="20"/>
          <w:lang w:eastAsia="en-IN"/>
        </w:rPr>
        <w:t>2022;11:247</w:t>
      </w:r>
      <w:proofErr w:type="gramEnd"/>
      <w:r w:rsidRPr="00624DB3">
        <w:rPr>
          <w:rFonts w:ascii="Times New Roman" w:eastAsia="Times New Roman" w:hAnsi="Times New Roman" w:cs="Times New Roman"/>
          <w:sz w:val="20"/>
          <w:szCs w:val="20"/>
          <w:lang w:eastAsia="en-IN"/>
        </w:rPr>
        <w:t>-261.</w:t>
      </w:r>
    </w:p>
    <w:p w14:paraId="0C806774" w14:textId="77777777" w:rsidR="00B85A2D" w:rsidRPr="00624DB3" w:rsidRDefault="00B85A2D" w:rsidP="00624DB3">
      <w:pPr>
        <w:spacing w:after="0" w:line="360" w:lineRule="auto"/>
        <w:jc w:val="both"/>
        <w:rPr>
          <w:rFonts w:ascii="Times New Roman" w:hAnsi="Times New Roman" w:cs="Times New Roman"/>
          <w:sz w:val="20"/>
          <w:szCs w:val="20"/>
        </w:rPr>
      </w:pPr>
    </w:p>
    <w:sectPr w:rsidR="00B85A2D" w:rsidRPr="00624DB3" w:rsidSect="00DF7493">
      <w:headerReference w:type="default" r:id="rId7"/>
      <w:footerReference w:type="default" r:id="rId8"/>
      <w:pgSz w:w="11906" w:h="16838"/>
      <w:pgMar w:top="1440" w:right="1440" w:bottom="1440" w:left="1440" w:header="720" w:footer="720" w:gutter="0"/>
      <w:pgNumType w:start="4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9D486" w14:textId="77777777" w:rsidR="002E0CA3" w:rsidRDefault="002E0CA3" w:rsidP="00C65397">
      <w:pPr>
        <w:spacing w:after="0" w:line="240" w:lineRule="auto"/>
      </w:pPr>
      <w:r>
        <w:separator/>
      </w:r>
    </w:p>
  </w:endnote>
  <w:endnote w:type="continuationSeparator" w:id="0">
    <w:p w14:paraId="70A7CE41" w14:textId="77777777" w:rsidR="002E0CA3" w:rsidRDefault="002E0CA3" w:rsidP="00C65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539229"/>
      <w:docPartObj>
        <w:docPartGallery w:val="Page Numbers (Bottom of Page)"/>
        <w:docPartUnique/>
      </w:docPartObj>
    </w:sdtPr>
    <w:sdtEndPr>
      <w:rPr>
        <w:noProof/>
      </w:rPr>
    </w:sdtEndPr>
    <w:sdtContent>
      <w:p w14:paraId="05F3EAFD" w14:textId="7FF735C6" w:rsidR="00DF7493" w:rsidRDefault="00DF74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CD2DCD" w14:textId="77777777" w:rsidR="00DF7493" w:rsidRPr="00DF7493" w:rsidRDefault="00DF7493" w:rsidP="00DF7493">
    <w:pPr>
      <w:pStyle w:val="Footer"/>
      <w:rPr>
        <w:lang w:val="en-US"/>
      </w:rPr>
    </w:pPr>
    <w:r w:rsidRPr="00DF7493">
      <w:rPr>
        <w:i/>
        <w:lang w:val="en-US"/>
      </w:rPr>
      <w:t>www.ijbamr.com   P ISSN: 2250-284X, E ISSN: 2250-2858</w:t>
    </w:r>
  </w:p>
  <w:p w14:paraId="349A60A4" w14:textId="77777777" w:rsidR="00C65397" w:rsidRDefault="00C65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26B8E" w14:textId="77777777" w:rsidR="002E0CA3" w:rsidRDefault="002E0CA3" w:rsidP="00C65397">
      <w:pPr>
        <w:spacing w:after="0" w:line="240" w:lineRule="auto"/>
      </w:pPr>
      <w:r>
        <w:separator/>
      </w:r>
    </w:p>
  </w:footnote>
  <w:footnote w:type="continuationSeparator" w:id="0">
    <w:p w14:paraId="75E94FCE" w14:textId="77777777" w:rsidR="002E0CA3" w:rsidRDefault="002E0CA3" w:rsidP="00C65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74737" w14:textId="4A3541AD" w:rsidR="00DF7493" w:rsidRPr="00DF7493" w:rsidRDefault="00DF7493" w:rsidP="00DF7493">
    <w:pPr>
      <w:pStyle w:val="Header"/>
      <w:jc w:val="center"/>
      <w:rPr>
        <w:rFonts w:asciiTheme="majorHAnsi" w:hAnsiTheme="majorHAnsi"/>
        <w:i/>
        <w:sz w:val="20"/>
        <w:szCs w:val="20"/>
      </w:rPr>
    </w:pPr>
    <w:r w:rsidRPr="00DF7493">
      <w:rPr>
        <w:rFonts w:asciiTheme="majorHAnsi" w:hAnsiTheme="majorHAnsi"/>
        <w:i/>
        <w:sz w:val="20"/>
        <w:szCs w:val="20"/>
      </w:rPr>
      <w:t xml:space="preserve">Indian Journal of Basic and Applied Medical Research; September 2026: Vol.-15, Issue-3, P. </w:t>
    </w:r>
    <w:r>
      <w:rPr>
        <w:rFonts w:asciiTheme="majorHAnsi" w:hAnsiTheme="majorHAnsi"/>
        <w:i/>
        <w:sz w:val="20"/>
        <w:szCs w:val="20"/>
      </w:rPr>
      <w:t>40-45</w:t>
    </w:r>
  </w:p>
  <w:p w14:paraId="266EA153" w14:textId="77777777" w:rsidR="00C65397" w:rsidRDefault="00C653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6B42"/>
    <w:multiLevelType w:val="multilevel"/>
    <w:tmpl w:val="0DE8B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64291"/>
    <w:multiLevelType w:val="multilevel"/>
    <w:tmpl w:val="E77CF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54C38"/>
    <w:multiLevelType w:val="multilevel"/>
    <w:tmpl w:val="68D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D7CFD"/>
    <w:multiLevelType w:val="multilevel"/>
    <w:tmpl w:val="95E4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EA5DD8"/>
    <w:multiLevelType w:val="multilevel"/>
    <w:tmpl w:val="D1901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BC7904"/>
    <w:multiLevelType w:val="multilevel"/>
    <w:tmpl w:val="B6125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DB6B07"/>
    <w:multiLevelType w:val="multilevel"/>
    <w:tmpl w:val="6088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FB5074"/>
    <w:multiLevelType w:val="multilevel"/>
    <w:tmpl w:val="6130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6F4CCE"/>
    <w:multiLevelType w:val="multilevel"/>
    <w:tmpl w:val="7944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2A4079"/>
    <w:multiLevelType w:val="multilevel"/>
    <w:tmpl w:val="5288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342D19"/>
    <w:multiLevelType w:val="multilevel"/>
    <w:tmpl w:val="CB147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75774"/>
    <w:multiLevelType w:val="multilevel"/>
    <w:tmpl w:val="972E6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3F26F8"/>
    <w:multiLevelType w:val="multilevel"/>
    <w:tmpl w:val="7DA6E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4C5622"/>
    <w:multiLevelType w:val="multilevel"/>
    <w:tmpl w:val="3B1E3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EE01FE"/>
    <w:multiLevelType w:val="multilevel"/>
    <w:tmpl w:val="199A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081346">
    <w:abstractNumId w:val="5"/>
  </w:num>
  <w:num w:numId="2" w16cid:durableId="1790124605">
    <w:abstractNumId w:val="8"/>
  </w:num>
  <w:num w:numId="3" w16cid:durableId="736899755">
    <w:abstractNumId w:val="14"/>
  </w:num>
  <w:num w:numId="4" w16cid:durableId="2119056456">
    <w:abstractNumId w:val="9"/>
  </w:num>
  <w:num w:numId="5" w16cid:durableId="342175032">
    <w:abstractNumId w:val="2"/>
  </w:num>
  <w:num w:numId="6" w16cid:durableId="455372764">
    <w:abstractNumId w:val="1"/>
  </w:num>
  <w:num w:numId="7" w16cid:durableId="1168977669">
    <w:abstractNumId w:val="3"/>
  </w:num>
  <w:num w:numId="8" w16cid:durableId="212625168">
    <w:abstractNumId w:val="6"/>
  </w:num>
  <w:num w:numId="9" w16cid:durableId="1069813627">
    <w:abstractNumId w:val="0"/>
  </w:num>
  <w:num w:numId="10" w16cid:durableId="346759762">
    <w:abstractNumId w:val="12"/>
  </w:num>
  <w:num w:numId="11" w16cid:durableId="954362983">
    <w:abstractNumId w:val="10"/>
  </w:num>
  <w:num w:numId="12" w16cid:durableId="1320698092">
    <w:abstractNumId w:val="7"/>
  </w:num>
  <w:num w:numId="13" w16cid:durableId="182675027">
    <w:abstractNumId w:val="11"/>
  </w:num>
  <w:num w:numId="14" w16cid:durableId="270165997">
    <w:abstractNumId w:val="4"/>
  </w:num>
  <w:num w:numId="15" w16cid:durableId="168836519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5397"/>
    <w:rsid w:val="00097C4C"/>
    <w:rsid w:val="000A6818"/>
    <w:rsid w:val="002D63D1"/>
    <w:rsid w:val="002E0CA3"/>
    <w:rsid w:val="003E50E8"/>
    <w:rsid w:val="005957EF"/>
    <w:rsid w:val="005D173E"/>
    <w:rsid w:val="005D56C4"/>
    <w:rsid w:val="00624DB3"/>
    <w:rsid w:val="00913E2B"/>
    <w:rsid w:val="00B85A2D"/>
    <w:rsid w:val="00C65397"/>
    <w:rsid w:val="00DF74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E3A53"/>
  <w15:docId w15:val="{D006E7E7-89A2-4CFE-9EDE-E1D829CE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3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397"/>
  </w:style>
  <w:style w:type="paragraph" w:styleId="Footer">
    <w:name w:val="footer"/>
    <w:basedOn w:val="Normal"/>
    <w:link w:val="FooterChar"/>
    <w:uiPriority w:val="99"/>
    <w:unhideWhenUsed/>
    <w:rsid w:val="00C653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397"/>
  </w:style>
  <w:style w:type="paragraph" w:styleId="BalloonText">
    <w:name w:val="Balloon Text"/>
    <w:basedOn w:val="Normal"/>
    <w:link w:val="BalloonTextChar"/>
    <w:uiPriority w:val="99"/>
    <w:semiHidden/>
    <w:unhideWhenUsed/>
    <w:rsid w:val="00C653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397"/>
    <w:rPr>
      <w:rFonts w:ascii="Tahoma" w:hAnsi="Tahoma" w:cs="Tahoma"/>
      <w:sz w:val="16"/>
      <w:szCs w:val="16"/>
    </w:rPr>
  </w:style>
  <w:style w:type="table" w:styleId="TableGrid">
    <w:name w:val="Table Grid"/>
    <w:basedOn w:val="TableNormal"/>
    <w:uiPriority w:val="59"/>
    <w:rsid w:val="00C65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2488">
      <w:bodyDiv w:val="1"/>
      <w:marLeft w:val="0"/>
      <w:marRight w:val="0"/>
      <w:marTop w:val="0"/>
      <w:marBottom w:val="0"/>
      <w:divBdr>
        <w:top w:val="none" w:sz="0" w:space="0" w:color="auto"/>
        <w:left w:val="none" w:sz="0" w:space="0" w:color="auto"/>
        <w:bottom w:val="none" w:sz="0" w:space="0" w:color="auto"/>
        <w:right w:val="none" w:sz="0" w:space="0" w:color="auto"/>
      </w:divBdr>
      <w:divsChild>
        <w:div w:id="915939405">
          <w:marLeft w:val="0"/>
          <w:marRight w:val="0"/>
          <w:marTop w:val="0"/>
          <w:marBottom w:val="0"/>
          <w:divBdr>
            <w:top w:val="none" w:sz="0" w:space="0" w:color="auto"/>
            <w:left w:val="none" w:sz="0" w:space="0" w:color="auto"/>
            <w:bottom w:val="none" w:sz="0" w:space="0" w:color="auto"/>
            <w:right w:val="none" w:sz="0" w:space="0" w:color="auto"/>
          </w:divBdr>
          <w:divsChild>
            <w:div w:id="440533153">
              <w:marLeft w:val="0"/>
              <w:marRight w:val="0"/>
              <w:marTop w:val="0"/>
              <w:marBottom w:val="0"/>
              <w:divBdr>
                <w:top w:val="none" w:sz="0" w:space="0" w:color="auto"/>
                <w:left w:val="none" w:sz="0" w:space="0" w:color="auto"/>
                <w:bottom w:val="none" w:sz="0" w:space="0" w:color="auto"/>
                <w:right w:val="none" w:sz="0" w:space="0" w:color="auto"/>
              </w:divBdr>
              <w:divsChild>
                <w:div w:id="1267731881">
                  <w:marLeft w:val="0"/>
                  <w:marRight w:val="0"/>
                  <w:marTop w:val="0"/>
                  <w:marBottom w:val="0"/>
                  <w:divBdr>
                    <w:top w:val="none" w:sz="0" w:space="0" w:color="auto"/>
                    <w:left w:val="none" w:sz="0" w:space="0" w:color="auto"/>
                    <w:bottom w:val="none" w:sz="0" w:space="0" w:color="auto"/>
                    <w:right w:val="none" w:sz="0" w:space="0" w:color="auto"/>
                  </w:divBdr>
                  <w:divsChild>
                    <w:div w:id="1968507560">
                      <w:marLeft w:val="0"/>
                      <w:marRight w:val="0"/>
                      <w:marTop w:val="0"/>
                      <w:marBottom w:val="0"/>
                      <w:divBdr>
                        <w:top w:val="none" w:sz="0" w:space="0" w:color="auto"/>
                        <w:left w:val="none" w:sz="0" w:space="0" w:color="auto"/>
                        <w:bottom w:val="none" w:sz="0" w:space="0" w:color="auto"/>
                        <w:right w:val="none" w:sz="0" w:space="0" w:color="auto"/>
                      </w:divBdr>
                      <w:divsChild>
                        <w:div w:id="1439058515">
                          <w:marLeft w:val="0"/>
                          <w:marRight w:val="0"/>
                          <w:marTop w:val="0"/>
                          <w:marBottom w:val="0"/>
                          <w:divBdr>
                            <w:top w:val="none" w:sz="0" w:space="0" w:color="auto"/>
                            <w:left w:val="none" w:sz="0" w:space="0" w:color="auto"/>
                            <w:bottom w:val="none" w:sz="0" w:space="0" w:color="auto"/>
                            <w:right w:val="none" w:sz="0" w:space="0" w:color="auto"/>
                          </w:divBdr>
                          <w:divsChild>
                            <w:div w:id="809443282">
                              <w:marLeft w:val="0"/>
                              <w:marRight w:val="0"/>
                              <w:marTop w:val="0"/>
                              <w:marBottom w:val="0"/>
                              <w:divBdr>
                                <w:top w:val="none" w:sz="0" w:space="0" w:color="auto"/>
                                <w:left w:val="none" w:sz="0" w:space="0" w:color="auto"/>
                                <w:bottom w:val="none" w:sz="0" w:space="0" w:color="auto"/>
                                <w:right w:val="none" w:sz="0" w:space="0" w:color="auto"/>
                              </w:divBdr>
                              <w:divsChild>
                                <w:div w:id="103549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160818">
          <w:marLeft w:val="0"/>
          <w:marRight w:val="0"/>
          <w:marTop w:val="0"/>
          <w:marBottom w:val="0"/>
          <w:divBdr>
            <w:top w:val="none" w:sz="0" w:space="0" w:color="auto"/>
            <w:left w:val="none" w:sz="0" w:space="0" w:color="auto"/>
            <w:bottom w:val="none" w:sz="0" w:space="0" w:color="auto"/>
            <w:right w:val="none" w:sz="0" w:space="0" w:color="auto"/>
          </w:divBdr>
          <w:divsChild>
            <w:div w:id="1795907322">
              <w:marLeft w:val="0"/>
              <w:marRight w:val="0"/>
              <w:marTop w:val="0"/>
              <w:marBottom w:val="0"/>
              <w:divBdr>
                <w:top w:val="none" w:sz="0" w:space="0" w:color="auto"/>
                <w:left w:val="none" w:sz="0" w:space="0" w:color="auto"/>
                <w:bottom w:val="none" w:sz="0" w:space="0" w:color="auto"/>
                <w:right w:val="none" w:sz="0" w:space="0" w:color="auto"/>
              </w:divBdr>
              <w:divsChild>
                <w:div w:id="901065253">
                  <w:marLeft w:val="0"/>
                  <w:marRight w:val="0"/>
                  <w:marTop w:val="0"/>
                  <w:marBottom w:val="0"/>
                  <w:divBdr>
                    <w:top w:val="none" w:sz="0" w:space="0" w:color="auto"/>
                    <w:left w:val="none" w:sz="0" w:space="0" w:color="auto"/>
                    <w:bottom w:val="none" w:sz="0" w:space="0" w:color="auto"/>
                    <w:right w:val="none" w:sz="0" w:space="0" w:color="auto"/>
                  </w:divBdr>
                  <w:divsChild>
                    <w:div w:id="2013946895">
                      <w:marLeft w:val="0"/>
                      <w:marRight w:val="0"/>
                      <w:marTop w:val="0"/>
                      <w:marBottom w:val="0"/>
                      <w:divBdr>
                        <w:top w:val="none" w:sz="0" w:space="0" w:color="auto"/>
                        <w:left w:val="none" w:sz="0" w:space="0" w:color="auto"/>
                        <w:bottom w:val="none" w:sz="0" w:space="0" w:color="auto"/>
                        <w:right w:val="none" w:sz="0" w:space="0" w:color="auto"/>
                      </w:divBdr>
                      <w:divsChild>
                        <w:div w:id="1787112828">
                          <w:marLeft w:val="0"/>
                          <w:marRight w:val="0"/>
                          <w:marTop w:val="0"/>
                          <w:marBottom w:val="0"/>
                          <w:divBdr>
                            <w:top w:val="none" w:sz="0" w:space="0" w:color="auto"/>
                            <w:left w:val="none" w:sz="0" w:space="0" w:color="auto"/>
                            <w:bottom w:val="none" w:sz="0" w:space="0" w:color="auto"/>
                            <w:right w:val="none" w:sz="0" w:space="0" w:color="auto"/>
                          </w:divBdr>
                          <w:divsChild>
                            <w:div w:id="355424915">
                              <w:marLeft w:val="0"/>
                              <w:marRight w:val="0"/>
                              <w:marTop w:val="0"/>
                              <w:marBottom w:val="0"/>
                              <w:divBdr>
                                <w:top w:val="none" w:sz="0" w:space="0" w:color="auto"/>
                                <w:left w:val="none" w:sz="0" w:space="0" w:color="auto"/>
                                <w:bottom w:val="none" w:sz="0" w:space="0" w:color="auto"/>
                                <w:right w:val="none" w:sz="0" w:space="0" w:color="auto"/>
                              </w:divBdr>
                              <w:divsChild>
                                <w:div w:id="1707677408">
                                  <w:marLeft w:val="0"/>
                                  <w:marRight w:val="0"/>
                                  <w:marTop w:val="0"/>
                                  <w:marBottom w:val="0"/>
                                  <w:divBdr>
                                    <w:top w:val="none" w:sz="0" w:space="0" w:color="auto"/>
                                    <w:left w:val="none" w:sz="0" w:space="0" w:color="auto"/>
                                    <w:bottom w:val="none" w:sz="0" w:space="0" w:color="auto"/>
                                    <w:right w:val="none" w:sz="0" w:space="0" w:color="auto"/>
                                  </w:divBdr>
                                  <w:divsChild>
                                    <w:div w:id="117849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8056810">
          <w:marLeft w:val="0"/>
          <w:marRight w:val="0"/>
          <w:marTop w:val="0"/>
          <w:marBottom w:val="0"/>
          <w:divBdr>
            <w:top w:val="none" w:sz="0" w:space="0" w:color="auto"/>
            <w:left w:val="none" w:sz="0" w:space="0" w:color="auto"/>
            <w:bottom w:val="none" w:sz="0" w:space="0" w:color="auto"/>
            <w:right w:val="none" w:sz="0" w:space="0" w:color="auto"/>
          </w:divBdr>
          <w:divsChild>
            <w:div w:id="585918555">
              <w:marLeft w:val="0"/>
              <w:marRight w:val="0"/>
              <w:marTop w:val="0"/>
              <w:marBottom w:val="0"/>
              <w:divBdr>
                <w:top w:val="none" w:sz="0" w:space="0" w:color="auto"/>
                <w:left w:val="none" w:sz="0" w:space="0" w:color="auto"/>
                <w:bottom w:val="none" w:sz="0" w:space="0" w:color="auto"/>
                <w:right w:val="none" w:sz="0" w:space="0" w:color="auto"/>
              </w:divBdr>
              <w:divsChild>
                <w:div w:id="1290863307">
                  <w:marLeft w:val="0"/>
                  <w:marRight w:val="0"/>
                  <w:marTop w:val="0"/>
                  <w:marBottom w:val="0"/>
                  <w:divBdr>
                    <w:top w:val="none" w:sz="0" w:space="0" w:color="auto"/>
                    <w:left w:val="none" w:sz="0" w:space="0" w:color="auto"/>
                    <w:bottom w:val="none" w:sz="0" w:space="0" w:color="auto"/>
                    <w:right w:val="none" w:sz="0" w:space="0" w:color="auto"/>
                  </w:divBdr>
                  <w:divsChild>
                    <w:div w:id="1663586248">
                      <w:marLeft w:val="0"/>
                      <w:marRight w:val="0"/>
                      <w:marTop w:val="0"/>
                      <w:marBottom w:val="0"/>
                      <w:divBdr>
                        <w:top w:val="none" w:sz="0" w:space="0" w:color="auto"/>
                        <w:left w:val="none" w:sz="0" w:space="0" w:color="auto"/>
                        <w:bottom w:val="none" w:sz="0" w:space="0" w:color="auto"/>
                        <w:right w:val="none" w:sz="0" w:space="0" w:color="auto"/>
                      </w:divBdr>
                      <w:divsChild>
                        <w:div w:id="1155293216">
                          <w:marLeft w:val="0"/>
                          <w:marRight w:val="0"/>
                          <w:marTop w:val="0"/>
                          <w:marBottom w:val="0"/>
                          <w:divBdr>
                            <w:top w:val="none" w:sz="0" w:space="0" w:color="auto"/>
                            <w:left w:val="none" w:sz="0" w:space="0" w:color="auto"/>
                            <w:bottom w:val="none" w:sz="0" w:space="0" w:color="auto"/>
                            <w:right w:val="none" w:sz="0" w:space="0" w:color="auto"/>
                          </w:divBdr>
                          <w:divsChild>
                            <w:div w:id="1755011544">
                              <w:marLeft w:val="0"/>
                              <w:marRight w:val="0"/>
                              <w:marTop w:val="0"/>
                              <w:marBottom w:val="0"/>
                              <w:divBdr>
                                <w:top w:val="none" w:sz="0" w:space="0" w:color="auto"/>
                                <w:left w:val="none" w:sz="0" w:space="0" w:color="auto"/>
                                <w:bottom w:val="none" w:sz="0" w:space="0" w:color="auto"/>
                                <w:right w:val="none" w:sz="0" w:space="0" w:color="auto"/>
                              </w:divBdr>
                              <w:divsChild>
                                <w:div w:id="1860436127">
                                  <w:marLeft w:val="0"/>
                                  <w:marRight w:val="0"/>
                                  <w:marTop w:val="0"/>
                                  <w:marBottom w:val="0"/>
                                  <w:divBdr>
                                    <w:top w:val="none" w:sz="0" w:space="0" w:color="auto"/>
                                    <w:left w:val="none" w:sz="0" w:space="0" w:color="auto"/>
                                    <w:bottom w:val="none" w:sz="0" w:space="0" w:color="auto"/>
                                    <w:right w:val="none" w:sz="0" w:space="0" w:color="auto"/>
                                  </w:divBdr>
                                  <w:divsChild>
                                    <w:div w:id="1463571363">
                                      <w:marLeft w:val="0"/>
                                      <w:marRight w:val="0"/>
                                      <w:marTop w:val="0"/>
                                      <w:marBottom w:val="0"/>
                                      <w:divBdr>
                                        <w:top w:val="none" w:sz="0" w:space="0" w:color="auto"/>
                                        <w:left w:val="none" w:sz="0" w:space="0" w:color="auto"/>
                                        <w:bottom w:val="none" w:sz="0" w:space="0" w:color="auto"/>
                                        <w:right w:val="none" w:sz="0" w:space="0" w:color="auto"/>
                                      </w:divBdr>
                                      <w:divsChild>
                                        <w:div w:id="251858136">
                                          <w:marLeft w:val="0"/>
                                          <w:marRight w:val="0"/>
                                          <w:marTop w:val="0"/>
                                          <w:marBottom w:val="0"/>
                                          <w:divBdr>
                                            <w:top w:val="none" w:sz="0" w:space="0" w:color="auto"/>
                                            <w:left w:val="none" w:sz="0" w:space="0" w:color="auto"/>
                                            <w:bottom w:val="none" w:sz="0" w:space="0" w:color="auto"/>
                                            <w:right w:val="none" w:sz="0" w:space="0" w:color="auto"/>
                                          </w:divBdr>
                                        </w:div>
                                      </w:divsChild>
                                    </w:div>
                                    <w:div w:id="1716847820">
                                      <w:marLeft w:val="0"/>
                                      <w:marRight w:val="0"/>
                                      <w:marTop w:val="0"/>
                                      <w:marBottom w:val="0"/>
                                      <w:divBdr>
                                        <w:top w:val="none" w:sz="0" w:space="0" w:color="auto"/>
                                        <w:left w:val="none" w:sz="0" w:space="0" w:color="auto"/>
                                        <w:bottom w:val="none" w:sz="0" w:space="0" w:color="auto"/>
                                        <w:right w:val="none" w:sz="0" w:space="0" w:color="auto"/>
                                      </w:divBdr>
                                      <w:divsChild>
                                        <w:div w:id="1137183724">
                                          <w:marLeft w:val="0"/>
                                          <w:marRight w:val="0"/>
                                          <w:marTop w:val="0"/>
                                          <w:marBottom w:val="0"/>
                                          <w:divBdr>
                                            <w:top w:val="none" w:sz="0" w:space="0" w:color="auto"/>
                                            <w:left w:val="none" w:sz="0" w:space="0" w:color="auto"/>
                                            <w:bottom w:val="none" w:sz="0" w:space="0" w:color="auto"/>
                                            <w:right w:val="none" w:sz="0" w:space="0" w:color="auto"/>
                                          </w:divBdr>
                                        </w:div>
                                      </w:divsChild>
                                    </w:div>
                                    <w:div w:id="332419280">
                                      <w:marLeft w:val="0"/>
                                      <w:marRight w:val="0"/>
                                      <w:marTop w:val="0"/>
                                      <w:marBottom w:val="0"/>
                                      <w:divBdr>
                                        <w:top w:val="none" w:sz="0" w:space="0" w:color="auto"/>
                                        <w:left w:val="none" w:sz="0" w:space="0" w:color="auto"/>
                                        <w:bottom w:val="none" w:sz="0" w:space="0" w:color="auto"/>
                                        <w:right w:val="none" w:sz="0" w:space="0" w:color="auto"/>
                                      </w:divBdr>
                                      <w:divsChild>
                                        <w:div w:id="343440350">
                                          <w:marLeft w:val="0"/>
                                          <w:marRight w:val="0"/>
                                          <w:marTop w:val="0"/>
                                          <w:marBottom w:val="0"/>
                                          <w:divBdr>
                                            <w:top w:val="none" w:sz="0" w:space="0" w:color="auto"/>
                                            <w:left w:val="none" w:sz="0" w:space="0" w:color="auto"/>
                                            <w:bottom w:val="none" w:sz="0" w:space="0" w:color="auto"/>
                                            <w:right w:val="none" w:sz="0" w:space="0" w:color="auto"/>
                                          </w:divBdr>
                                        </w:div>
                                      </w:divsChild>
                                    </w:div>
                                    <w:div w:id="754283871">
                                      <w:marLeft w:val="0"/>
                                      <w:marRight w:val="0"/>
                                      <w:marTop w:val="0"/>
                                      <w:marBottom w:val="0"/>
                                      <w:divBdr>
                                        <w:top w:val="none" w:sz="0" w:space="0" w:color="auto"/>
                                        <w:left w:val="none" w:sz="0" w:space="0" w:color="auto"/>
                                        <w:bottom w:val="none" w:sz="0" w:space="0" w:color="auto"/>
                                        <w:right w:val="none" w:sz="0" w:space="0" w:color="auto"/>
                                      </w:divBdr>
                                      <w:divsChild>
                                        <w:div w:id="188181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333963">
          <w:marLeft w:val="0"/>
          <w:marRight w:val="0"/>
          <w:marTop w:val="0"/>
          <w:marBottom w:val="0"/>
          <w:divBdr>
            <w:top w:val="none" w:sz="0" w:space="0" w:color="auto"/>
            <w:left w:val="none" w:sz="0" w:space="0" w:color="auto"/>
            <w:bottom w:val="none" w:sz="0" w:space="0" w:color="auto"/>
            <w:right w:val="none" w:sz="0" w:space="0" w:color="auto"/>
          </w:divBdr>
          <w:divsChild>
            <w:div w:id="1852180838">
              <w:marLeft w:val="0"/>
              <w:marRight w:val="0"/>
              <w:marTop w:val="0"/>
              <w:marBottom w:val="0"/>
              <w:divBdr>
                <w:top w:val="none" w:sz="0" w:space="0" w:color="auto"/>
                <w:left w:val="none" w:sz="0" w:space="0" w:color="auto"/>
                <w:bottom w:val="none" w:sz="0" w:space="0" w:color="auto"/>
                <w:right w:val="none" w:sz="0" w:space="0" w:color="auto"/>
              </w:divBdr>
              <w:divsChild>
                <w:div w:id="786510297">
                  <w:marLeft w:val="0"/>
                  <w:marRight w:val="0"/>
                  <w:marTop w:val="0"/>
                  <w:marBottom w:val="0"/>
                  <w:divBdr>
                    <w:top w:val="none" w:sz="0" w:space="0" w:color="auto"/>
                    <w:left w:val="none" w:sz="0" w:space="0" w:color="auto"/>
                    <w:bottom w:val="none" w:sz="0" w:space="0" w:color="auto"/>
                    <w:right w:val="none" w:sz="0" w:space="0" w:color="auto"/>
                  </w:divBdr>
                  <w:divsChild>
                    <w:div w:id="774324563">
                      <w:marLeft w:val="0"/>
                      <w:marRight w:val="0"/>
                      <w:marTop w:val="0"/>
                      <w:marBottom w:val="0"/>
                      <w:divBdr>
                        <w:top w:val="none" w:sz="0" w:space="0" w:color="auto"/>
                        <w:left w:val="none" w:sz="0" w:space="0" w:color="auto"/>
                        <w:bottom w:val="none" w:sz="0" w:space="0" w:color="auto"/>
                        <w:right w:val="none" w:sz="0" w:space="0" w:color="auto"/>
                      </w:divBdr>
                      <w:divsChild>
                        <w:div w:id="1322466636">
                          <w:marLeft w:val="0"/>
                          <w:marRight w:val="0"/>
                          <w:marTop w:val="0"/>
                          <w:marBottom w:val="0"/>
                          <w:divBdr>
                            <w:top w:val="none" w:sz="0" w:space="0" w:color="auto"/>
                            <w:left w:val="none" w:sz="0" w:space="0" w:color="auto"/>
                            <w:bottom w:val="none" w:sz="0" w:space="0" w:color="auto"/>
                            <w:right w:val="none" w:sz="0" w:space="0" w:color="auto"/>
                          </w:divBdr>
                          <w:divsChild>
                            <w:div w:id="1087846623">
                              <w:marLeft w:val="0"/>
                              <w:marRight w:val="0"/>
                              <w:marTop w:val="0"/>
                              <w:marBottom w:val="0"/>
                              <w:divBdr>
                                <w:top w:val="none" w:sz="0" w:space="0" w:color="auto"/>
                                <w:left w:val="none" w:sz="0" w:space="0" w:color="auto"/>
                                <w:bottom w:val="none" w:sz="0" w:space="0" w:color="auto"/>
                                <w:right w:val="none" w:sz="0" w:space="0" w:color="auto"/>
                              </w:divBdr>
                              <w:divsChild>
                                <w:div w:id="2094083801">
                                  <w:marLeft w:val="0"/>
                                  <w:marRight w:val="0"/>
                                  <w:marTop w:val="0"/>
                                  <w:marBottom w:val="0"/>
                                  <w:divBdr>
                                    <w:top w:val="none" w:sz="0" w:space="0" w:color="auto"/>
                                    <w:left w:val="none" w:sz="0" w:space="0" w:color="auto"/>
                                    <w:bottom w:val="none" w:sz="0" w:space="0" w:color="auto"/>
                                    <w:right w:val="none" w:sz="0" w:space="0" w:color="auto"/>
                                  </w:divBdr>
                                  <w:divsChild>
                                    <w:div w:id="61768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886603">
          <w:marLeft w:val="0"/>
          <w:marRight w:val="0"/>
          <w:marTop w:val="0"/>
          <w:marBottom w:val="0"/>
          <w:divBdr>
            <w:top w:val="none" w:sz="0" w:space="0" w:color="auto"/>
            <w:left w:val="none" w:sz="0" w:space="0" w:color="auto"/>
            <w:bottom w:val="none" w:sz="0" w:space="0" w:color="auto"/>
            <w:right w:val="none" w:sz="0" w:space="0" w:color="auto"/>
          </w:divBdr>
          <w:divsChild>
            <w:div w:id="590550167">
              <w:marLeft w:val="0"/>
              <w:marRight w:val="0"/>
              <w:marTop w:val="0"/>
              <w:marBottom w:val="0"/>
              <w:divBdr>
                <w:top w:val="none" w:sz="0" w:space="0" w:color="auto"/>
                <w:left w:val="none" w:sz="0" w:space="0" w:color="auto"/>
                <w:bottom w:val="none" w:sz="0" w:space="0" w:color="auto"/>
                <w:right w:val="none" w:sz="0" w:space="0" w:color="auto"/>
              </w:divBdr>
              <w:divsChild>
                <w:div w:id="889459164">
                  <w:marLeft w:val="0"/>
                  <w:marRight w:val="0"/>
                  <w:marTop w:val="0"/>
                  <w:marBottom w:val="0"/>
                  <w:divBdr>
                    <w:top w:val="none" w:sz="0" w:space="0" w:color="auto"/>
                    <w:left w:val="none" w:sz="0" w:space="0" w:color="auto"/>
                    <w:bottom w:val="none" w:sz="0" w:space="0" w:color="auto"/>
                    <w:right w:val="none" w:sz="0" w:space="0" w:color="auto"/>
                  </w:divBdr>
                  <w:divsChild>
                    <w:div w:id="1945578273">
                      <w:marLeft w:val="0"/>
                      <w:marRight w:val="0"/>
                      <w:marTop w:val="0"/>
                      <w:marBottom w:val="0"/>
                      <w:divBdr>
                        <w:top w:val="none" w:sz="0" w:space="0" w:color="auto"/>
                        <w:left w:val="none" w:sz="0" w:space="0" w:color="auto"/>
                        <w:bottom w:val="none" w:sz="0" w:space="0" w:color="auto"/>
                        <w:right w:val="none" w:sz="0" w:space="0" w:color="auto"/>
                      </w:divBdr>
                      <w:divsChild>
                        <w:div w:id="1849632654">
                          <w:marLeft w:val="0"/>
                          <w:marRight w:val="0"/>
                          <w:marTop w:val="0"/>
                          <w:marBottom w:val="0"/>
                          <w:divBdr>
                            <w:top w:val="none" w:sz="0" w:space="0" w:color="auto"/>
                            <w:left w:val="none" w:sz="0" w:space="0" w:color="auto"/>
                            <w:bottom w:val="none" w:sz="0" w:space="0" w:color="auto"/>
                            <w:right w:val="none" w:sz="0" w:space="0" w:color="auto"/>
                          </w:divBdr>
                          <w:divsChild>
                            <w:div w:id="1774276970">
                              <w:marLeft w:val="0"/>
                              <w:marRight w:val="0"/>
                              <w:marTop w:val="0"/>
                              <w:marBottom w:val="0"/>
                              <w:divBdr>
                                <w:top w:val="none" w:sz="0" w:space="0" w:color="auto"/>
                                <w:left w:val="none" w:sz="0" w:space="0" w:color="auto"/>
                                <w:bottom w:val="none" w:sz="0" w:space="0" w:color="auto"/>
                                <w:right w:val="none" w:sz="0" w:space="0" w:color="auto"/>
                              </w:divBdr>
                              <w:divsChild>
                                <w:div w:id="2499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0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6</Pages>
  <Words>2207</Words>
  <Characters>12583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RDRL</dc:creator>
  <cp:lastModifiedBy>hp</cp:lastModifiedBy>
  <cp:revision>5</cp:revision>
  <cp:lastPrinted>2026-09-27T07:31:00Z</cp:lastPrinted>
  <dcterms:created xsi:type="dcterms:W3CDTF">2026-07-13T10:45:00Z</dcterms:created>
  <dcterms:modified xsi:type="dcterms:W3CDTF">2026-09-27T07:31:00Z</dcterms:modified>
</cp:coreProperties>
</file>