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B0AE" w14:textId="091BF811" w:rsidR="00692AC8" w:rsidRPr="004811FE" w:rsidRDefault="00692AC8" w:rsidP="004811FE">
      <w:pPr>
        <w:pStyle w:val="NormalWeb"/>
        <w:spacing w:before="0" w:beforeAutospacing="0" w:after="0" w:afterAutospacing="0" w:line="360" w:lineRule="auto"/>
        <w:rPr>
          <w:rStyle w:val="Strong"/>
          <w:rFonts w:ascii="Cambria" w:hAnsi="Cambria"/>
          <w:i/>
          <w:iCs/>
        </w:rPr>
      </w:pPr>
      <w:r w:rsidRPr="004811FE">
        <w:rPr>
          <w:rStyle w:val="Strong"/>
          <w:rFonts w:ascii="Cambria" w:hAnsi="Cambria"/>
          <w:i/>
          <w:iCs/>
          <w:highlight w:val="lightGray"/>
        </w:rPr>
        <w:t>Review article</w:t>
      </w:r>
    </w:p>
    <w:p w14:paraId="369B19B3" w14:textId="0D2113A5" w:rsidR="00692AC8" w:rsidRPr="004811FE" w:rsidRDefault="00692AC8" w:rsidP="004811FE">
      <w:pPr>
        <w:pStyle w:val="Heading3"/>
        <w:spacing w:before="0" w:after="0" w:line="360" w:lineRule="auto"/>
        <w:rPr>
          <w:rFonts w:ascii="Cambria" w:eastAsiaTheme="minorEastAsia" w:hAnsi="Cambria" w:cs="Times New Roman"/>
          <w:b/>
          <w:bCs/>
          <w:i/>
          <w:iCs/>
          <w:color w:val="0070C0"/>
          <w:kern w:val="0"/>
          <w14:ligatures w14:val="none"/>
        </w:rPr>
      </w:pPr>
      <w:r w:rsidRPr="004811FE">
        <w:rPr>
          <w:rFonts w:ascii="Cambria" w:eastAsiaTheme="minorEastAsia" w:hAnsi="Cambria" w:cs="Times New Roman"/>
          <w:b/>
          <w:bCs/>
          <w:i/>
          <w:iCs/>
          <w:color w:val="0070C0"/>
          <w:kern w:val="0"/>
          <w14:ligatures w14:val="none"/>
        </w:rPr>
        <w:t>Isobaric Bupivacaine in Spinal and Regional Anaesthesia: A Comprehensive Review of Pharmacology, Block Characteristics, Clinical Applications, and Safety</w:t>
      </w:r>
    </w:p>
    <w:p w14:paraId="48FC427E" w14:textId="77777777" w:rsidR="004811FE" w:rsidRPr="004811FE" w:rsidRDefault="004811FE" w:rsidP="004811FE">
      <w:pPr>
        <w:spacing w:after="0" w:line="360" w:lineRule="auto"/>
        <w:rPr>
          <w:rFonts w:ascii="Cambria" w:hAnsi="Cambria"/>
          <w:b/>
          <w:bCs/>
          <w:i/>
          <w:iCs/>
          <w:sz w:val="20"/>
          <w:szCs w:val="20"/>
          <w:lang w:val="en-GB"/>
        </w:rPr>
      </w:pPr>
      <w:r w:rsidRPr="004811FE">
        <w:rPr>
          <w:rFonts w:ascii="Cambria" w:hAnsi="Cambria"/>
          <w:b/>
          <w:bCs/>
          <w:i/>
          <w:iCs/>
          <w:sz w:val="20"/>
          <w:szCs w:val="20"/>
          <w:lang w:val="en-GB"/>
        </w:rPr>
        <w:t>Dr. Tanvi Joshi¹, Dr. Tushar D. Bhavar², Dr. Sanjay Chaudhary³, Dr. Aman Dhaliwal⁴</w:t>
      </w:r>
    </w:p>
    <w:p w14:paraId="22E15AF7" w14:textId="77777777" w:rsidR="004811FE" w:rsidRPr="004811FE" w:rsidRDefault="004811FE" w:rsidP="004811FE">
      <w:pPr>
        <w:spacing w:after="0" w:line="360" w:lineRule="auto"/>
        <w:rPr>
          <w:rFonts w:ascii="Cambria" w:hAnsi="Cambria"/>
          <w:i/>
          <w:iCs/>
          <w:lang w:val="en-GB"/>
        </w:rPr>
      </w:pPr>
    </w:p>
    <w:p w14:paraId="108FB0F8" w14:textId="77777777" w:rsidR="004811FE" w:rsidRPr="004811FE" w:rsidRDefault="004811FE" w:rsidP="004811FE">
      <w:pPr>
        <w:spacing w:after="0" w:line="360" w:lineRule="auto"/>
        <w:rPr>
          <w:rFonts w:ascii="Cambria" w:hAnsi="Cambria"/>
          <w:i/>
          <w:iCs/>
          <w:sz w:val="18"/>
          <w:szCs w:val="18"/>
          <w:lang w:val="en-GB"/>
        </w:rPr>
      </w:pPr>
      <w:r w:rsidRPr="004811FE">
        <w:rPr>
          <w:rFonts w:ascii="Cambria" w:hAnsi="Cambria"/>
          <w:i/>
          <w:iCs/>
          <w:sz w:val="18"/>
          <w:szCs w:val="18"/>
          <w:lang w:val="en-GB"/>
        </w:rPr>
        <w:t xml:space="preserve">¹ Junior Resident III, Department of Anaesthesiology and Critical Care, Dr. </w:t>
      </w:r>
      <w:proofErr w:type="spellStart"/>
      <w:r w:rsidRPr="004811FE">
        <w:rPr>
          <w:rFonts w:ascii="Cambria" w:hAnsi="Cambria"/>
          <w:i/>
          <w:iCs/>
          <w:sz w:val="18"/>
          <w:szCs w:val="18"/>
          <w:lang w:val="en-GB"/>
        </w:rPr>
        <w:t>Balasaheb</w:t>
      </w:r>
      <w:proofErr w:type="spellEnd"/>
      <w:r w:rsidRPr="004811FE">
        <w:rPr>
          <w:rFonts w:ascii="Cambria" w:hAnsi="Cambria"/>
          <w:i/>
          <w:iCs/>
          <w:sz w:val="18"/>
          <w:szCs w:val="18"/>
          <w:lang w:val="en-GB"/>
        </w:rPr>
        <w:t xml:space="preserve"> </w:t>
      </w:r>
      <w:proofErr w:type="spellStart"/>
      <w:r w:rsidRPr="004811FE">
        <w:rPr>
          <w:rFonts w:ascii="Cambria" w:hAnsi="Cambria"/>
          <w:i/>
          <w:iCs/>
          <w:sz w:val="18"/>
          <w:szCs w:val="18"/>
          <w:lang w:val="en-GB"/>
        </w:rPr>
        <w:t>Vikhe</w:t>
      </w:r>
      <w:proofErr w:type="spellEnd"/>
      <w:r w:rsidRPr="004811FE">
        <w:rPr>
          <w:rFonts w:ascii="Cambria" w:hAnsi="Cambria"/>
          <w:i/>
          <w:iCs/>
          <w:sz w:val="18"/>
          <w:szCs w:val="18"/>
          <w:lang w:val="en-GB"/>
        </w:rPr>
        <w:t xml:space="preserve"> Patil Rural Medical College, Loni, Maharashtra, India;</w:t>
      </w:r>
    </w:p>
    <w:p w14:paraId="7384E1B9" w14:textId="77777777" w:rsidR="004811FE" w:rsidRPr="004811FE" w:rsidRDefault="004811FE" w:rsidP="004811FE">
      <w:pPr>
        <w:spacing w:after="0" w:line="360" w:lineRule="auto"/>
        <w:rPr>
          <w:rFonts w:ascii="Cambria" w:hAnsi="Cambria"/>
          <w:i/>
          <w:iCs/>
          <w:sz w:val="18"/>
          <w:szCs w:val="18"/>
          <w:lang w:val="en-GB"/>
        </w:rPr>
      </w:pPr>
      <w:r w:rsidRPr="004811FE">
        <w:rPr>
          <w:rFonts w:ascii="Cambria" w:hAnsi="Cambria"/>
          <w:i/>
          <w:iCs/>
          <w:sz w:val="18"/>
          <w:szCs w:val="18"/>
          <w:lang w:val="en-GB"/>
        </w:rPr>
        <w:t xml:space="preserve">² Professor &amp; Head, Department of Anaesthesiology and Critical Care, Dr. </w:t>
      </w:r>
      <w:proofErr w:type="spellStart"/>
      <w:r w:rsidRPr="004811FE">
        <w:rPr>
          <w:rFonts w:ascii="Cambria" w:hAnsi="Cambria"/>
          <w:i/>
          <w:iCs/>
          <w:sz w:val="18"/>
          <w:szCs w:val="18"/>
          <w:lang w:val="en-GB"/>
        </w:rPr>
        <w:t>Balasaheb</w:t>
      </w:r>
      <w:proofErr w:type="spellEnd"/>
      <w:r w:rsidRPr="004811FE">
        <w:rPr>
          <w:rFonts w:ascii="Cambria" w:hAnsi="Cambria"/>
          <w:i/>
          <w:iCs/>
          <w:sz w:val="18"/>
          <w:szCs w:val="18"/>
          <w:lang w:val="en-GB"/>
        </w:rPr>
        <w:t xml:space="preserve"> </w:t>
      </w:r>
      <w:proofErr w:type="spellStart"/>
      <w:r w:rsidRPr="004811FE">
        <w:rPr>
          <w:rFonts w:ascii="Cambria" w:hAnsi="Cambria"/>
          <w:i/>
          <w:iCs/>
          <w:sz w:val="18"/>
          <w:szCs w:val="18"/>
          <w:lang w:val="en-GB"/>
        </w:rPr>
        <w:t>Vikhe</w:t>
      </w:r>
      <w:proofErr w:type="spellEnd"/>
      <w:r w:rsidRPr="004811FE">
        <w:rPr>
          <w:rFonts w:ascii="Cambria" w:hAnsi="Cambria"/>
          <w:i/>
          <w:iCs/>
          <w:sz w:val="18"/>
          <w:szCs w:val="18"/>
          <w:lang w:val="en-GB"/>
        </w:rPr>
        <w:t xml:space="preserve"> Patil Rural Medical College, Loni, Maharashtra, India;</w:t>
      </w:r>
    </w:p>
    <w:p w14:paraId="4BD468EC" w14:textId="77777777" w:rsidR="004811FE" w:rsidRPr="004811FE" w:rsidRDefault="004811FE" w:rsidP="004811FE">
      <w:pPr>
        <w:spacing w:after="0" w:line="360" w:lineRule="auto"/>
        <w:rPr>
          <w:rFonts w:ascii="Cambria" w:hAnsi="Cambria"/>
          <w:i/>
          <w:iCs/>
          <w:sz w:val="18"/>
          <w:szCs w:val="18"/>
          <w:lang w:val="en-GB"/>
        </w:rPr>
      </w:pPr>
      <w:r w:rsidRPr="004811FE">
        <w:rPr>
          <w:rFonts w:ascii="Cambria" w:hAnsi="Cambria"/>
          <w:i/>
          <w:iCs/>
          <w:sz w:val="18"/>
          <w:szCs w:val="18"/>
          <w:lang w:val="en-GB"/>
        </w:rPr>
        <w:t xml:space="preserve">³ Assistant Professor, Department of Anaesthesiology and Critical Care, Dr. </w:t>
      </w:r>
      <w:proofErr w:type="spellStart"/>
      <w:r w:rsidRPr="004811FE">
        <w:rPr>
          <w:rFonts w:ascii="Cambria" w:hAnsi="Cambria"/>
          <w:i/>
          <w:iCs/>
          <w:sz w:val="18"/>
          <w:szCs w:val="18"/>
          <w:lang w:val="en-GB"/>
        </w:rPr>
        <w:t>Balasaheb</w:t>
      </w:r>
      <w:proofErr w:type="spellEnd"/>
      <w:r w:rsidRPr="004811FE">
        <w:rPr>
          <w:rFonts w:ascii="Cambria" w:hAnsi="Cambria"/>
          <w:i/>
          <w:iCs/>
          <w:sz w:val="18"/>
          <w:szCs w:val="18"/>
          <w:lang w:val="en-GB"/>
        </w:rPr>
        <w:t xml:space="preserve"> </w:t>
      </w:r>
      <w:proofErr w:type="spellStart"/>
      <w:r w:rsidRPr="004811FE">
        <w:rPr>
          <w:rFonts w:ascii="Cambria" w:hAnsi="Cambria"/>
          <w:i/>
          <w:iCs/>
          <w:sz w:val="18"/>
          <w:szCs w:val="18"/>
          <w:lang w:val="en-GB"/>
        </w:rPr>
        <w:t>Vikhe</w:t>
      </w:r>
      <w:proofErr w:type="spellEnd"/>
      <w:r w:rsidRPr="004811FE">
        <w:rPr>
          <w:rFonts w:ascii="Cambria" w:hAnsi="Cambria"/>
          <w:i/>
          <w:iCs/>
          <w:sz w:val="18"/>
          <w:szCs w:val="18"/>
          <w:lang w:val="en-GB"/>
        </w:rPr>
        <w:t xml:space="preserve"> Patil Rural Medical College, Loni, Maharashtra, India;</w:t>
      </w:r>
    </w:p>
    <w:p w14:paraId="2ECA032C" w14:textId="77777777" w:rsidR="004811FE" w:rsidRPr="004811FE" w:rsidRDefault="004811FE" w:rsidP="004811FE">
      <w:pPr>
        <w:spacing w:after="0" w:line="360" w:lineRule="auto"/>
        <w:rPr>
          <w:rFonts w:ascii="Cambria" w:hAnsi="Cambria"/>
          <w:i/>
          <w:iCs/>
          <w:sz w:val="18"/>
          <w:szCs w:val="18"/>
          <w:lang w:val="en-GB"/>
        </w:rPr>
      </w:pPr>
      <w:r w:rsidRPr="004811FE">
        <w:rPr>
          <w:rFonts w:ascii="Cambria" w:hAnsi="Cambria"/>
          <w:i/>
          <w:iCs/>
          <w:sz w:val="18"/>
          <w:szCs w:val="18"/>
          <w:lang w:val="en-GB"/>
        </w:rPr>
        <w:t xml:space="preserve">⁴ Junior Resident III, Department of Anaesthesiology and Critical Care, Dr. </w:t>
      </w:r>
      <w:proofErr w:type="spellStart"/>
      <w:r w:rsidRPr="004811FE">
        <w:rPr>
          <w:rFonts w:ascii="Cambria" w:hAnsi="Cambria"/>
          <w:i/>
          <w:iCs/>
          <w:sz w:val="18"/>
          <w:szCs w:val="18"/>
          <w:lang w:val="en-GB"/>
        </w:rPr>
        <w:t>Balasaheb</w:t>
      </w:r>
      <w:proofErr w:type="spellEnd"/>
      <w:r w:rsidRPr="004811FE">
        <w:rPr>
          <w:rFonts w:ascii="Cambria" w:hAnsi="Cambria"/>
          <w:i/>
          <w:iCs/>
          <w:sz w:val="18"/>
          <w:szCs w:val="18"/>
          <w:lang w:val="en-GB"/>
        </w:rPr>
        <w:t xml:space="preserve"> </w:t>
      </w:r>
      <w:proofErr w:type="spellStart"/>
      <w:r w:rsidRPr="004811FE">
        <w:rPr>
          <w:rFonts w:ascii="Cambria" w:hAnsi="Cambria"/>
          <w:i/>
          <w:iCs/>
          <w:sz w:val="18"/>
          <w:szCs w:val="18"/>
          <w:lang w:val="en-GB"/>
        </w:rPr>
        <w:t>Vikhe</w:t>
      </w:r>
      <w:proofErr w:type="spellEnd"/>
      <w:r w:rsidRPr="004811FE">
        <w:rPr>
          <w:rFonts w:ascii="Cambria" w:hAnsi="Cambria"/>
          <w:i/>
          <w:iCs/>
          <w:sz w:val="18"/>
          <w:szCs w:val="18"/>
          <w:lang w:val="en-GB"/>
        </w:rPr>
        <w:t xml:space="preserve"> Patil Rural Medical College, Loni, Maharashtra, India.</w:t>
      </w:r>
    </w:p>
    <w:p w14:paraId="16E875DF" w14:textId="77777777" w:rsidR="004811FE" w:rsidRDefault="004811FE" w:rsidP="004811FE">
      <w:pPr>
        <w:spacing w:after="0" w:line="360" w:lineRule="auto"/>
        <w:rPr>
          <w:rFonts w:ascii="Cambria" w:hAnsi="Cambria"/>
          <w:i/>
          <w:iCs/>
          <w:sz w:val="18"/>
          <w:szCs w:val="18"/>
          <w:lang w:val="en-GB"/>
        </w:rPr>
      </w:pPr>
      <w:r w:rsidRPr="004811FE">
        <w:rPr>
          <w:rFonts w:ascii="Cambria" w:hAnsi="Cambria"/>
          <w:i/>
          <w:iCs/>
          <w:sz w:val="18"/>
          <w:szCs w:val="18"/>
          <w:lang w:val="en-GB"/>
        </w:rPr>
        <w:t>Corresponding Author: Dr. Aman Dhaliwal⁴</w:t>
      </w:r>
    </w:p>
    <w:p w14:paraId="74BCA822" w14:textId="77777777" w:rsidR="004811FE" w:rsidRDefault="004811FE" w:rsidP="004811FE">
      <w:pPr>
        <w:spacing w:after="0" w:line="360" w:lineRule="auto"/>
        <w:rPr>
          <w:rFonts w:ascii="Cambria" w:hAnsi="Cambria"/>
          <w:i/>
          <w:iCs/>
          <w:sz w:val="18"/>
          <w:szCs w:val="18"/>
          <w:lang w:val="en-GB"/>
        </w:rPr>
      </w:pPr>
    </w:p>
    <w:p w14:paraId="422E4EE0" w14:textId="77777777" w:rsidR="004811FE" w:rsidRPr="004811FE" w:rsidRDefault="004811FE" w:rsidP="004811FE">
      <w:pPr>
        <w:spacing w:after="0" w:line="360" w:lineRule="auto"/>
        <w:rPr>
          <w:rFonts w:ascii="Cambria" w:hAnsi="Cambria"/>
          <w:b/>
          <w:bCs/>
          <w:i/>
          <w:iCs/>
          <w:sz w:val="18"/>
          <w:szCs w:val="18"/>
          <w:lang w:val="en-GB"/>
        </w:rPr>
      </w:pPr>
      <w:r w:rsidRPr="004811FE">
        <w:rPr>
          <w:rFonts w:ascii="Cambria" w:hAnsi="Cambria"/>
          <w:b/>
          <w:bCs/>
          <w:i/>
          <w:iCs/>
          <w:sz w:val="18"/>
          <w:szCs w:val="18"/>
          <w:lang w:val="en-GB"/>
        </w:rPr>
        <w:t>Abstract</w:t>
      </w:r>
    </w:p>
    <w:p w14:paraId="0594CFE8" w14:textId="77777777" w:rsidR="004811FE" w:rsidRPr="004811FE" w:rsidRDefault="004811FE" w:rsidP="004811FE">
      <w:pPr>
        <w:spacing w:after="0" w:line="360" w:lineRule="auto"/>
        <w:jc w:val="both"/>
        <w:rPr>
          <w:rFonts w:ascii="Cambria" w:hAnsi="Cambria"/>
          <w:i/>
          <w:iCs/>
          <w:sz w:val="18"/>
          <w:szCs w:val="18"/>
          <w:lang w:val="en-GB"/>
        </w:rPr>
      </w:pPr>
      <w:r w:rsidRPr="004811FE">
        <w:rPr>
          <w:rFonts w:ascii="Cambria" w:hAnsi="Cambria"/>
          <w:b/>
          <w:bCs/>
          <w:i/>
          <w:iCs/>
          <w:sz w:val="18"/>
          <w:szCs w:val="18"/>
          <w:lang w:val="en-GB"/>
        </w:rPr>
        <w:t>Background:</w:t>
      </w:r>
      <w:r w:rsidRPr="004811FE">
        <w:rPr>
          <w:rFonts w:ascii="Cambria" w:hAnsi="Cambria"/>
          <w:i/>
          <w:iCs/>
          <w:sz w:val="18"/>
          <w:szCs w:val="18"/>
          <w:lang w:val="en-GB"/>
        </w:rPr>
        <w:t xml:space="preserve"> Bupivacaine is a long-acting amide local anaesthetic extensively used for spinal and regional anaesthesia. Its intrathecal distribution is influenced by </w:t>
      </w:r>
      <w:proofErr w:type="spellStart"/>
      <w:r w:rsidRPr="004811FE">
        <w:rPr>
          <w:rFonts w:ascii="Cambria" w:hAnsi="Cambria"/>
          <w:i/>
          <w:iCs/>
          <w:sz w:val="18"/>
          <w:szCs w:val="18"/>
          <w:lang w:val="en-GB"/>
        </w:rPr>
        <w:t>baricity</w:t>
      </w:r>
      <w:proofErr w:type="spellEnd"/>
      <w:r w:rsidRPr="004811FE">
        <w:rPr>
          <w:rFonts w:ascii="Cambria" w:hAnsi="Cambria"/>
          <w:i/>
          <w:iCs/>
          <w:sz w:val="18"/>
          <w:szCs w:val="18"/>
          <w:lang w:val="en-GB"/>
        </w:rPr>
        <w:t>. Isobaric bupivacaine demonstrates relatively less dependence on patient positioning than hyperbaric preparations and may provide prolonged sensory blockade with satisfactory haemodynamic stability.</w:t>
      </w:r>
    </w:p>
    <w:p w14:paraId="38F8AA4F" w14:textId="77777777" w:rsidR="004811FE" w:rsidRPr="004811FE" w:rsidRDefault="004811FE" w:rsidP="004811FE">
      <w:pPr>
        <w:spacing w:after="0" w:line="360" w:lineRule="auto"/>
        <w:jc w:val="both"/>
        <w:rPr>
          <w:rFonts w:ascii="Cambria" w:hAnsi="Cambria"/>
          <w:i/>
          <w:iCs/>
          <w:sz w:val="18"/>
          <w:szCs w:val="18"/>
          <w:lang w:val="en-GB"/>
        </w:rPr>
      </w:pPr>
      <w:r w:rsidRPr="004811FE">
        <w:rPr>
          <w:rFonts w:ascii="Cambria" w:hAnsi="Cambria"/>
          <w:b/>
          <w:bCs/>
          <w:i/>
          <w:iCs/>
          <w:sz w:val="18"/>
          <w:szCs w:val="18"/>
          <w:lang w:val="en-GB"/>
        </w:rPr>
        <w:t>Objective:</w:t>
      </w:r>
      <w:r w:rsidRPr="004811FE">
        <w:rPr>
          <w:rFonts w:ascii="Cambria" w:hAnsi="Cambria"/>
          <w:i/>
          <w:iCs/>
          <w:sz w:val="18"/>
          <w:szCs w:val="18"/>
          <w:lang w:val="en-GB"/>
        </w:rPr>
        <w:t xml:space="preserve"> To review the pharmacological characteristics, mechanism of action, clinical applications, block characteristics, efficacy, haemodynamic effects, and safety profile of isobaric bupivacaine and to compare its performance with hyperbaric bupivacaine, levobupivacaine, and ropivacaine.</w:t>
      </w:r>
    </w:p>
    <w:p w14:paraId="36AA66ED" w14:textId="77777777" w:rsidR="004811FE" w:rsidRPr="004811FE" w:rsidRDefault="004811FE" w:rsidP="004811FE">
      <w:pPr>
        <w:spacing w:after="0" w:line="360" w:lineRule="auto"/>
        <w:jc w:val="both"/>
        <w:rPr>
          <w:rFonts w:ascii="Cambria" w:hAnsi="Cambria"/>
          <w:i/>
          <w:iCs/>
          <w:sz w:val="18"/>
          <w:szCs w:val="18"/>
          <w:lang w:val="en-GB"/>
        </w:rPr>
      </w:pPr>
      <w:r w:rsidRPr="004811FE">
        <w:rPr>
          <w:rFonts w:ascii="Cambria" w:hAnsi="Cambria"/>
          <w:b/>
          <w:bCs/>
          <w:i/>
          <w:iCs/>
          <w:sz w:val="18"/>
          <w:szCs w:val="18"/>
          <w:lang w:val="en-GB"/>
        </w:rPr>
        <w:t>Methods:</w:t>
      </w:r>
      <w:r w:rsidRPr="004811FE">
        <w:rPr>
          <w:rFonts w:ascii="Cambria" w:hAnsi="Cambria"/>
          <w:i/>
          <w:iCs/>
          <w:sz w:val="18"/>
          <w:szCs w:val="18"/>
          <w:lang w:val="en-GB"/>
        </w:rPr>
        <w:t xml:space="preserve"> Published clinical studies, comparative trials, and systematic reviews evaluating isobaric bupivacaine in spinal, regional, obstetric, and selected surgical anaesthetic techniques were reviewed. Outcomes included sensory and motor block characteristics, analgesic efficacy, haemodynamic stability, rescue analgesic requirements, and adverse effects.</w:t>
      </w:r>
    </w:p>
    <w:p w14:paraId="423B5DDA" w14:textId="77777777" w:rsidR="004811FE" w:rsidRPr="004811FE" w:rsidRDefault="004811FE" w:rsidP="004811FE">
      <w:pPr>
        <w:spacing w:after="0" w:line="360" w:lineRule="auto"/>
        <w:jc w:val="both"/>
        <w:rPr>
          <w:rFonts w:ascii="Cambria" w:hAnsi="Cambria"/>
          <w:i/>
          <w:iCs/>
          <w:sz w:val="18"/>
          <w:szCs w:val="18"/>
          <w:lang w:val="en-GB"/>
        </w:rPr>
      </w:pPr>
      <w:r w:rsidRPr="004811FE">
        <w:rPr>
          <w:rFonts w:ascii="Cambria" w:hAnsi="Cambria"/>
          <w:b/>
          <w:bCs/>
          <w:i/>
          <w:iCs/>
          <w:sz w:val="18"/>
          <w:szCs w:val="18"/>
          <w:lang w:val="en-GB"/>
        </w:rPr>
        <w:t>Results:</w:t>
      </w:r>
      <w:r w:rsidRPr="004811FE">
        <w:rPr>
          <w:rFonts w:ascii="Cambria" w:hAnsi="Cambria"/>
          <w:i/>
          <w:iCs/>
          <w:sz w:val="18"/>
          <w:szCs w:val="18"/>
          <w:lang w:val="en-GB"/>
        </w:rPr>
        <w:t xml:space="preserve"> Isobaric bupivacaine provides effective surgical anaesthesia with prolonged sensory blockade and relatively predictable intrathecal distribution. Comparative studies indicate differences in onset, block duration, motor recovery, and haemodynamic effects between isobaric and hyperbaric formulations. Selected studies also demonstrate reduced analgesic requirements and satisfactory cardiovascular stability.</w:t>
      </w:r>
    </w:p>
    <w:p w14:paraId="7A8C402B" w14:textId="77777777" w:rsidR="004811FE" w:rsidRPr="004811FE" w:rsidRDefault="004811FE" w:rsidP="004811FE">
      <w:pPr>
        <w:spacing w:after="0" w:line="360" w:lineRule="auto"/>
        <w:jc w:val="both"/>
        <w:rPr>
          <w:rFonts w:ascii="Cambria" w:hAnsi="Cambria"/>
          <w:i/>
          <w:iCs/>
          <w:sz w:val="18"/>
          <w:szCs w:val="18"/>
          <w:lang w:val="en-GB"/>
        </w:rPr>
      </w:pPr>
      <w:r w:rsidRPr="004811FE">
        <w:rPr>
          <w:rFonts w:ascii="Cambria" w:hAnsi="Cambria"/>
          <w:b/>
          <w:bCs/>
          <w:i/>
          <w:iCs/>
          <w:sz w:val="18"/>
          <w:szCs w:val="18"/>
          <w:lang w:val="en-GB"/>
        </w:rPr>
        <w:t>Conclusion:</w:t>
      </w:r>
      <w:r w:rsidRPr="004811FE">
        <w:rPr>
          <w:rFonts w:ascii="Cambria" w:hAnsi="Cambria"/>
          <w:i/>
          <w:iCs/>
          <w:sz w:val="18"/>
          <w:szCs w:val="18"/>
          <w:lang w:val="en-GB"/>
        </w:rPr>
        <w:t xml:space="preserve"> Isobaric bupivacaine remains an effective option for spinal and regional anaesthesia. Selection should be individualized according to surgical requirements, desired block characteristics, patient factors, and haemodynamic considerations.</w:t>
      </w:r>
    </w:p>
    <w:p w14:paraId="7186B8DD" w14:textId="77777777" w:rsidR="004811FE" w:rsidRPr="004811FE" w:rsidRDefault="004811FE" w:rsidP="004811FE">
      <w:pPr>
        <w:spacing w:after="0" w:line="360" w:lineRule="auto"/>
        <w:jc w:val="both"/>
        <w:rPr>
          <w:rFonts w:ascii="Cambria" w:hAnsi="Cambria"/>
          <w:i/>
          <w:iCs/>
          <w:sz w:val="18"/>
          <w:szCs w:val="18"/>
          <w:lang w:val="en-GB"/>
        </w:rPr>
      </w:pPr>
      <w:r w:rsidRPr="004811FE">
        <w:rPr>
          <w:rFonts w:ascii="Cambria" w:hAnsi="Cambria"/>
          <w:b/>
          <w:bCs/>
          <w:i/>
          <w:iCs/>
          <w:sz w:val="18"/>
          <w:szCs w:val="18"/>
          <w:lang w:val="en-GB"/>
        </w:rPr>
        <w:t>Keywords:</w:t>
      </w:r>
      <w:r w:rsidRPr="004811FE">
        <w:rPr>
          <w:rFonts w:ascii="Cambria" w:hAnsi="Cambria"/>
          <w:i/>
          <w:iCs/>
          <w:sz w:val="18"/>
          <w:szCs w:val="18"/>
          <w:lang w:val="en-GB"/>
        </w:rPr>
        <w:t xml:space="preserve"> Isobaric bupivacaine; Spinal anaesthesia; Regional anaesthesia</w:t>
      </w:r>
    </w:p>
    <w:p w14:paraId="64F7612A" w14:textId="77777777" w:rsidR="004811FE" w:rsidRDefault="004811FE" w:rsidP="004811FE">
      <w:pPr>
        <w:spacing w:after="0" w:line="360" w:lineRule="auto"/>
        <w:rPr>
          <w:rFonts w:ascii="Cambria" w:hAnsi="Cambria"/>
          <w:i/>
          <w:iCs/>
          <w:sz w:val="18"/>
          <w:szCs w:val="18"/>
          <w:lang w:val="en-GB"/>
        </w:rPr>
      </w:pPr>
    </w:p>
    <w:p w14:paraId="070F1AE3" w14:textId="77777777" w:rsidR="00692AC8" w:rsidRPr="004811FE" w:rsidRDefault="00692AC8" w:rsidP="004811FE">
      <w:pPr>
        <w:pStyle w:val="Heading3"/>
        <w:spacing w:before="0" w:after="0" w:line="360" w:lineRule="auto"/>
        <w:jc w:val="both"/>
        <w:rPr>
          <w:rFonts w:ascii="Times New Roman" w:hAnsi="Times New Roman" w:cs="Times New Roman"/>
          <w:b/>
          <w:bCs/>
          <w:color w:val="0E2841" w:themeColor="text2"/>
          <w:kern w:val="0"/>
          <w:sz w:val="20"/>
          <w:szCs w:val="20"/>
          <w:lang w:val="en-GB"/>
          <w14:ligatures w14:val="none"/>
        </w:rPr>
      </w:pPr>
      <w:r w:rsidRPr="004811FE">
        <w:rPr>
          <w:rFonts w:ascii="Times New Roman" w:hAnsi="Times New Roman" w:cs="Times New Roman"/>
          <w:b/>
          <w:bCs/>
          <w:color w:val="0E2841" w:themeColor="text2"/>
          <w:kern w:val="0"/>
          <w:sz w:val="20"/>
          <w:szCs w:val="20"/>
          <w:lang w:val="en-GB"/>
          <w14:ligatures w14:val="none"/>
        </w:rPr>
        <w:lastRenderedPageBreak/>
        <w:t>Introduction</w:t>
      </w:r>
    </w:p>
    <w:p w14:paraId="69873387" w14:textId="77777777" w:rsidR="00692AC8" w:rsidRPr="004811FE" w:rsidRDefault="00692AC8" w:rsidP="004811FE">
      <w:pPr>
        <w:pStyle w:val="Heading3"/>
        <w:spacing w:before="0" w:after="0" w:line="360" w:lineRule="auto"/>
        <w:jc w:val="both"/>
        <w:rPr>
          <w:rFonts w:ascii="Times New Roman" w:hAnsi="Times New Roman" w:cs="Times New Roman"/>
          <w:color w:val="auto"/>
          <w:kern w:val="0"/>
          <w:sz w:val="20"/>
          <w:szCs w:val="20"/>
          <w:lang w:val="en-GB"/>
          <w14:ligatures w14:val="none"/>
        </w:rPr>
      </w:pPr>
      <w:r w:rsidRPr="004811FE">
        <w:rPr>
          <w:rFonts w:ascii="Times New Roman" w:hAnsi="Times New Roman" w:cs="Times New Roman"/>
          <w:color w:val="auto"/>
          <w:kern w:val="0"/>
          <w:sz w:val="20"/>
          <w:szCs w:val="20"/>
          <w:lang w:val="en-GB"/>
          <w14:ligatures w14:val="none"/>
        </w:rPr>
        <w:t xml:space="preserve">Regional and spinal anaesthesia are integral components of modern anaesthetic practice, providing effective surgical anaesthesia, postoperative analgesia, reduced systemic drug exposure, and avoidance of airway manipulation in appropriately selected patients. Bupivacaine, a long-acting amide local anaesthetic, has been widely used for neuraxial and peripheral regional techniques because of its potent sensory blockade and prolonged duration of action. For spinal anaesthesia, bupivacaine is commonly available as hyperbaric and plain preparations, whose intrathecal behaviour differs principally according to their </w:t>
      </w:r>
      <w:proofErr w:type="spellStart"/>
      <w:r w:rsidRPr="004811FE">
        <w:rPr>
          <w:rFonts w:ascii="Times New Roman" w:hAnsi="Times New Roman" w:cs="Times New Roman"/>
          <w:color w:val="auto"/>
          <w:kern w:val="0"/>
          <w:sz w:val="20"/>
          <w:szCs w:val="20"/>
          <w:lang w:val="en-GB"/>
          <w14:ligatures w14:val="none"/>
        </w:rPr>
        <w:t>baricity</w:t>
      </w:r>
      <w:proofErr w:type="spellEnd"/>
      <w:r w:rsidRPr="004811FE">
        <w:rPr>
          <w:rFonts w:ascii="Times New Roman" w:hAnsi="Times New Roman" w:cs="Times New Roman"/>
          <w:color w:val="auto"/>
          <w:kern w:val="0"/>
          <w:sz w:val="20"/>
          <w:szCs w:val="20"/>
          <w:lang w:val="en-GB"/>
          <w14:ligatures w14:val="none"/>
        </w:rPr>
        <w:t xml:space="preserve"> relative to cerebrospinal fluid.</w:t>
      </w:r>
    </w:p>
    <w:p w14:paraId="02D0C3AC" w14:textId="77777777" w:rsidR="00692AC8" w:rsidRPr="004811FE" w:rsidRDefault="00692AC8" w:rsidP="004811FE">
      <w:pPr>
        <w:pStyle w:val="Heading3"/>
        <w:spacing w:before="0" w:after="0" w:line="360" w:lineRule="auto"/>
        <w:jc w:val="both"/>
        <w:rPr>
          <w:rFonts w:ascii="Times New Roman" w:hAnsi="Times New Roman" w:cs="Times New Roman"/>
          <w:color w:val="auto"/>
          <w:kern w:val="0"/>
          <w:sz w:val="20"/>
          <w:szCs w:val="20"/>
          <w:lang w:val="en-GB"/>
          <w14:ligatures w14:val="none"/>
        </w:rPr>
      </w:pPr>
      <w:r w:rsidRPr="004811FE">
        <w:rPr>
          <w:rFonts w:ascii="Times New Roman" w:hAnsi="Times New Roman" w:cs="Times New Roman"/>
          <w:color w:val="auto"/>
          <w:kern w:val="0"/>
          <w:sz w:val="20"/>
          <w:szCs w:val="20"/>
          <w:lang w:val="en-GB"/>
          <w14:ligatures w14:val="none"/>
        </w:rPr>
        <w:t>Isobaric bupivacaine has attracted particular clinical interest because its intrathecal distribution is relatively less influenced by gravity and patient positioning compared with hyperbaric solutions. This characteristic may provide a more consistent block profile in selected surgical settings. Differences between isobaric and hyperbaric formulations have been reported in the onset and extent of sensory blockade, duration of anaesthesia, motor block characteristics, haemodynamic responses, and recovery. Comparisons with long-acting alternatives such as levobupivacaine and ropivacaine have further expanded understanding of its clinical utility.</w:t>
      </w:r>
    </w:p>
    <w:p w14:paraId="1DEF5A1B" w14:textId="77777777" w:rsidR="00692AC8" w:rsidRPr="004811FE" w:rsidRDefault="00692AC8" w:rsidP="004811FE">
      <w:pPr>
        <w:pStyle w:val="Heading3"/>
        <w:spacing w:before="0" w:after="0" w:line="360" w:lineRule="auto"/>
        <w:jc w:val="both"/>
        <w:rPr>
          <w:rFonts w:ascii="Times New Roman" w:hAnsi="Times New Roman" w:cs="Times New Roman"/>
          <w:color w:val="auto"/>
          <w:kern w:val="0"/>
          <w:sz w:val="20"/>
          <w:szCs w:val="20"/>
          <w:lang w:val="en-GB"/>
          <w14:ligatures w14:val="none"/>
        </w:rPr>
      </w:pPr>
      <w:r w:rsidRPr="004811FE">
        <w:rPr>
          <w:rFonts w:ascii="Times New Roman" w:hAnsi="Times New Roman" w:cs="Times New Roman"/>
          <w:color w:val="auto"/>
          <w:kern w:val="0"/>
          <w:sz w:val="20"/>
          <w:szCs w:val="20"/>
          <w:lang w:val="en-GB"/>
          <w14:ligatures w14:val="none"/>
        </w:rPr>
        <w:t>This review examines the pharmacological properties, mechanism of action, block characteristics, clinical applications, haemodynamic effects, efficacy, and safety of isobaric bupivacaine, with emphasis on its role in contemporary spinal and regional anaesthetic practice.</w:t>
      </w:r>
    </w:p>
    <w:p w14:paraId="43268C72" w14:textId="77777777" w:rsidR="008018BA" w:rsidRPr="004811FE" w:rsidRDefault="008018BA" w:rsidP="004811FE">
      <w:pPr>
        <w:pStyle w:val="Heading3"/>
        <w:spacing w:before="0" w:after="0" w:line="360" w:lineRule="auto"/>
        <w:jc w:val="both"/>
        <w:rPr>
          <w:rFonts w:ascii="Times New Roman" w:eastAsia="Times New Roman" w:hAnsi="Times New Roman" w:cs="Times New Roman"/>
          <w:color w:val="0E2841" w:themeColor="text2"/>
          <w:sz w:val="20"/>
          <w:szCs w:val="20"/>
        </w:rPr>
      </w:pPr>
      <w:r w:rsidRPr="004811FE">
        <w:rPr>
          <w:rStyle w:val="Strong"/>
          <w:rFonts w:ascii="Times New Roman" w:eastAsia="Times New Roman" w:hAnsi="Times New Roman" w:cs="Times New Roman"/>
          <w:b w:val="0"/>
          <w:bCs w:val="0"/>
          <w:color w:val="0E2841" w:themeColor="text2"/>
          <w:sz w:val="20"/>
          <w:szCs w:val="20"/>
        </w:rPr>
        <w:t>Aims and Objectives</w:t>
      </w:r>
    </w:p>
    <w:p w14:paraId="38E6DB37" w14:textId="77777777" w:rsidR="008018BA" w:rsidRPr="004811FE" w:rsidRDefault="008018BA" w:rsidP="004811FE">
      <w:pPr>
        <w:numPr>
          <w:ilvl w:val="0"/>
          <w:numId w:val="1"/>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To detail the chemical structure, mechanism of action, and historical background of bupivacaine.</w:t>
      </w:r>
    </w:p>
    <w:p w14:paraId="0B7492BE" w14:textId="77777777" w:rsidR="008018BA" w:rsidRPr="004811FE" w:rsidRDefault="008018BA" w:rsidP="004811FE">
      <w:pPr>
        <w:numPr>
          <w:ilvl w:val="0"/>
          <w:numId w:val="1"/>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To evaluate the clinical application of isobaric bupivacaine across surgical settings.</w:t>
      </w:r>
    </w:p>
    <w:p w14:paraId="122E3AA0" w14:textId="77777777" w:rsidR="008018BA" w:rsidRPr="004811FE" w:rsidRDefault="008018BA" w:rsidP="004811FE">
      <w:pPr>
        <w:numPr>
          <w:ilvl w:val="0"/>
          <w:numId w:val="1"/>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To compare block characteristics (onset, extent, duration of sensory/motor block) and hemodynamic stability of isobaric bupivacaine against hyperbaric bupivacaine, levobupivacaine, and ropivacaine based on published clinical data.</w:t>
      </w:r>
    </w:p>
    <w:p w14:paraId="128BB710" w14:textId="77777777" w:rsidR="008018BA" w:rsidRPr="004811FE" w:rsidRDefault="008018BA" w:rsidP="004811FE">
      <w:pPr>
        <w:pStyle w:val="Heading3"/>
        <w:spacing w:before="0"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b w:val="0"/>
          <w:bCs w:val="0"/>
          <w:sz w:val="20"/>
          <w:szCs w:val="20"/>
        </w:rPr>
        <w:t>Methodology</w:t>
      </w:r>
    </w:p>
    <w:p w14:paraId="14FA975D" w14:textId="6AE1476B" w:rsidR="008018BA" w:rsidRPr="004811FE" w:rsidRDefault="008018BA" w:rsidP="004811FE">
      <w:pPr>
        <w:pStyle w:val="NormalWeb"/>
        <w:spacing w:before="0" w:beforeAutospacing="0" w:after="0" w:afterAutospacing="0" w:line="360" w:lineRule="auto"/>
        <w:jc w:val="both"/>
        <w:rPr>
          <w:sz w:val="20"/>
          <w:szCs w:val="20"/>
        </w:rPr>
      </w:pPr>
      <w:r w:rsidRPr="004811FE">
        <w:rPr>
          <w:sz w:val="20"/>
          <w:szCs w:val="20"/>
        </w:rPr>
        <w:t xml:space="preserve">This literature review synthesizes data from multiple clinical studies, systematic reviews, and comparative trials evaluating isobaric bupivacaine across surgical and obstetric interventions. </w:t>
      </w:r>
      <w:r w:rsidR="00F7707C" w:rsidRPr="004811FE">
        <w:rPr>
          <w:sz w:val="20"/>
          <w:szCs w:val="20"/>
        </w:rPr>
        <w:t>Analysed</w:t>
      </w:r>
      <w:r w:rsidRPr="004811FE">
        <w:rPr>
          <w:sz w:val="20"/>
          <w:szCs w:val="20"/>
        </w:rPr>
        <w:t xml:space="preserve"> parameters include:</w:t>
      </w:r>
    </w:p>
    <w:p w14:paraId="6C8D8740" w14:textId="77777777" w:rsidR="008018BA" w:rsidRPr="004811FE" w:rsidRDefault="008018BA" w:rsidP="004811FE">
      <w:pPr>
        <w:numPr>
          <w:ilvl w:val="0"/>
          <w:numId w:val="2"/>
        </w:numPr>
        <w:spacing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Physicochemical Properties:</w:t>
      </w:r>
      <w:r w:rsidRPr="004811FE">
        <w:rPr>
          <w:rFonts w:ascii="Times New Roman" w:eastAsia="Times New Roman" w:hAnsi="Times New Roman" w:cs="Times New Roman"/>
          <w:sz w:val="20"/>
          <w:szCs w:val="20"/>
        </w:rPr>
        <w:t xml:space="preserve"> Chemical formula, lipid solubility, mechanism of action.</w:t>
      </w:r>
    </w:p>
    <w:p w14:paraId="0C8A927F" w14:textId="77777777" w:rsidR="008018BA" w:rsidRPr="004811FE" w:rsidRDefault="008018BA" w:rsidP="004811FE">
      <w:pPr>
        <w:numPr>
          <w:ilvl w:val="0"/>
          <w:numId w:val="2"/>
        </w:numPr>
        <w:spacing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Block Profile:</w:t>
      </w:r>
      <w:r w:rsidRPr="004811FE">
        <w:rPr>
          <w:rFonts w:ascii="Times New Roman" w:eastAsia="Times New Roman" w:hAnsi="Times New Roman" w:cs="Times New Roman"/>
          <w:sz w:val="20"/>
          <w:szCs w:val="20"/>
        </w:rPr>
        <w:t xml:space="preserve"> Onset time, dermatomal spread, motor regression, and total duration of analgesia.</w:t>
      </w:r>
    </w:p>
    <w:p w14:paraId="3B22C95C" w14:textId="50A3522D" w:rsidR="008018BA" w:rsidRPr="004811FE" w:rsidRDefault="008018BA" w:rsidP="004811FE">
      <w:pPr>
        <w:numPr>
          <w:ilvl w:val="0"/>
          <w:numId w:val="2"/>
        </w:numPr>
        <w:spacing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Clinical Endpoints:</w:t>
      </w:r>
      <w:r w:rsidRPr="004811FE">
        <w:rPr>
          <w:rFonts w:ascii="Times New Roman" w:eastAsia="Times New Roman" w:hAnsi="Times New Roman" w:cs="Times New Roman"/>
          <w:sz w:val="20"/>
          <w:szCs w:val="20"/>
        </w:rPr>
        <w:t xml:space="preserve"> Rescue analgesic requirements, intraoperative </w:t>
      </w:r>
      <w:r w:rsidR="00F7707C" w:rsidRPr="004811FE">
        <w:rPr>
          <w:rFonts w:ascii="Times New Roman" w:eastAsia="Times New Roman" w:hAnsi="Times New Roman" w:cs="Times New Roman"/>
          <w:sz w:val="20"/>
          <w:szCs w:val="20"/>
        </w:rPr>
        <w:t>anaesthetic</w:t>
      </w:r>
      <w:r w:rsidRPr="004811FE">
        <w:rPr>
          <w:rFonts w:ascii="Times New Roman" w:eastAsia="Times New Roman" w:hAnsi="Times New Roman" w:cs="Times New Roman"/>
          <w:sz w:val="20"/>
          <w:szCs w:val="20"/>
        </w:rPr>
        <w:t xml:space="preserve"> failure rate, hemodynamic stability (hypotension, bradycardia), and adverse effects.</w:t>
      </w:r>
    </w:p>
    <w:p w14:paraId="4093A33E" w14:textId="77777777" w:rsidR="008018BA" w:rsidRPr="004811FE" w:rsidRDefault="008018BA" w:rsidP="004811FE">
      <w:pPr>
        <w:pStyle w:val="Heading3"/>
        <w:spacing w:before="0"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b w:val="0"/>
          <w:bCs w:val="0"/>
          <w:sz w:val="20"/>
          <w:szCs w:val="20"/>
        </w:rPr>
        <w:t>Results</w:t>
      </w:r>
    </w:p>
    <w:p w14:paraId="7AEA4CAC" w14:textId="77777777" w:rsidR="008018BA" w:rsidRPr="004811FE" w:rsidRDefault="008018BA" w:rsidP="004811FE">
      <w:pPr>
        <w:pStyle w:val="Heading4"/>
        <w:spacing w:before="0"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b w:val="0"/>
          <w:bCs w:val="0"/>
          <w:sz w:val="20"/>
          <w:szCs w:val="20"/>
        </w:rPr>
        <w:t>1. Chemical Profile and Mechanism of Action</w:t>
      </w:r>
    </w:p>
    <w:p w14:paraId="098C69CF" w14:textId="77777777" w:rsidR="008018BA" w:rsidRPr="004811FE" w:rsidRDefault="008018BA" w:rsidP="004811FE">
      <w:pPr>
        <w:numPr>
          <w:ilvl w:val="0"/>
          <w:numId w:val="3"/>
        </w:numPr>
        <w:spacing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Synthesis:</w:t>
      </w:r>
      <w:r w:rsidRPr="004811FE">
        <w:rPr>
          <w:rFonts w:ascii="Times New Roman" w:eastAsia="Times New Roman" w:hAnsi="Times New Roman" w:cs="Times New Roman"/>
          <w:sz w:val="20"/>
          <w:szCs w:val="20"/>
        </w:rPr>
        <w:t xml:space="preserve"> First synthesized in 1957 by </w:t>
      </w:r>
      <w:proofErr w:type="spellStart"/>
      <w:r w:rsidRPr="004811FE">
        <w:rPr>
          <w:rFonts w:ascii="Times New Roman" w:eastAsia="Times New Roman" w:hAnsi="Times New Roman" w:cs="Times New Roman"/>
          <w:sz w:val="20"/>
          <w:szCs w:val="20"/>
        </w:rPr>
        <w:t>Ekernstam</w:t>
      </w:r>
      <w:proofErr w:type="spellEnd"/>
      <w:r w:rsidRPr="004811FE">
        <w:rPr>
          <w:rFonts w:ascii="Times New Roman" w:eastAsia="Times New Roman" w:hAnsi="Times New Roman" w:cs="Times New Roman"/>
          <w:sz w:val="20"/>
          <w:szCs w:val="20"/>
        </w:rPr>
        <w:t xml:space="preserve"> at A.B. </w:t>
      </w:r>
      <w:proofErr w:type="spellStart"/>
      <w:r w:rsidRPr="004811FE">
        <w:rPr>
          <w:rFonts w:ascii="Times New Roman" w:eastAsia="Times New Roman" w:hAnsi="Times New Roman" w:cs="Times New Roman"/>
          <w:sz w:val="20"/>
          <w:szCs w:val="20"/>
        </w:rPr>
        <w:t>Bofors</w:t>
      </w:r>
      <w:proofErr w:type="spellEnd"/>
      <w:r w:rsidRPr="004811FE">
        <w:rPr>
          <w:rFonts w:ascii="Times New Roman" w:eastAsia="Times New Roman" w:hAnsi="Times New Roman" w:cs="Times New Roman"/>
          <w:sz w:val="20"/>
          <w:szCs w:val="20"/>
        </w:rPr>
        <w:t xml:space="preserve"> Laboratories.</w:t>
      </w:r>
    </w:p>
    <w:p w14:paraId="6AC3DF52" w14:textId="77777777" w:rsidR="008018BA" w:rsidRPr="004811FE" w:rsidRDefault="008018BA" w:rsidP="004811FE">
      <w:pPr>
        <w:numPr>
          <w:ilvl w:val="0"/>
          <w:numId w:val="3"/>
        </w:numPr>
        <w:spacing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Structure:</w:t>
      </w:r>
      <w:r w:rsidRPr="004811FE">
        <w:rPr>
          <w:rFonts w:ascii="Times New Roman" w:eastAsia="Times New Roman" w:hAnsi="Times New Roman" w:cs="Times New Roman"/>
          <w:sz w:val="20"/>
          <w:szCs w:val="20"/>
        </w:rPr>
        <w:t xml:space="preserve"> Amide-type local </w:t>
      </w:r>
      <w:proofErr w:type="spellStart"/>
      <w:r w:rsidRPr="004811FE">
        <w:rPr>
          <w:rFonts w:ascii="Times New Roman" w:eastAsia="Times New Roman" w:hAnsi="Times New Roman" w:cs="Times New Roman"/>
          <w:sz w:val="20"/>
          <w:szCs w:val="20"/>
        </w:rPr>
        <w:t>anesthetic</w:t>
      </w:r>
      <w:proofErr w:type="spellEnd"/>
      <w:r w:rsidRPr="004811FE">
        <w:rPr>
          <w:rFonts w:ascii="Times New Roman" w:eastAsia="Times New Roman" w:hAnsi="Times New Roman" w:cs="Times New Roman"/>
          <w:sz w:val="20"/>
          <w:szCs w:val="20"/>
        </w:rPr>
        <w:t xml:space="preserve"> (C</w:t>
      </w:r>
      <w:proofErr w:type="gramStart"/>
      <w:r w:rsidRPr="004811FE">
        <w:rPr>
          <w:rFonts w:ascii="Times New Roman" w:eastAsia="Times New Roman" w:hAnsi="Times New Roman" w:cs="Times New Roman"/>
          <w:sz w:val="20"/>
          <w:szCs w:val="20"/>
        </w:rPr>
        <w:t>_{</w:t>
      </w:r>
      <w:proofErr w:type="gramEnd"/>
      <w:r w:rsidRPr="004811FE">
        <w:rPr>
          <w:rFonts w:ascii="Times New Roman" w:eastAsia="Times New Roman" w:hAnsi="Times New Roman" w:cs="Times New Roman"/>
          <w:sz w:val="20"/>
          <w:szCs w:val="20"/>
        </w:rPr>
        <w:t>18}H</w:t>
      </w:r>
      <w:proofErr w:type="gramStart"/>
      <w:r w:rsidRPr="004811FE">
        <w:rPr>
          <w:rFonts w:ascii="Times New Roman" w:eastAsia="Times New Roman" w:hAnsi="Times New Roman" w:cs="Times New Roman"/>
          <w:sz w:val="20"/>
          <w:szCs w:val="20"/>
        </w:rPr>
        <w:t>_{</w:t>
      </w:r>
      <w:proofErr w:type="gramEnd"/>
      <w:r w:rsidRPr="004811FE">
        <w:rPr>
          <w:rFonts w:ascii="Times New Roman" w:eastAsia="Times New Roman" w:hAnsi="Times New Roman" w:cs="Times New Roman"/>
          <w:sz w:val="20"/>
          <w:szCs w:val="20"/>
        </w:rPr>
        <w:t>28}N</w:t>
      </w:r>
      <w:proofErr w:type="gramStart"/>
      <w:r w:rsidRPr="004811FE">
        <w:rPr>
          <w:rFonts w:ascii="Times New Roman" w:eastAsia="Times New Roman" w:hAnsi="Times New Roman" w:cs="Times New Roman"/>
          <w:sz w:val="20"/>
          <w:szCs w:val="20"/>
        </w:rPr>
        <w:t>_{</w:t>
      </w:r>
      <w:proofErr w:type="gramEnd"/>
      <w:r w:rsidRPr="004811FE">
        <w:rPr>
          <w:rFonts w:ascii="Times New Roman" w:eastAsia="Times New Roman" w:hAnsi="Times New Roman" w:cs="Times New Roman"/>
          <w:sz w:val="20"/>
          <w:szCs w:val="20"/>
        </w:rPr>
        <w:t>2}O \</w:t>
      </w:r>
      <w:proofErr w:type="spellStart"/>
      <w:r w:rsidRPr="004811FE">
        <w:rPr>
          <w:rFonts w:ascii="Times New Roman" w:eastAsia="Times New Roman" w:hAnsi="Times New Roman" w:cs="Times New Roman"/>
          <w:sz w:val="20"/>
          <w:szCs w:val="20"/>
        </w:rPr>
        <w:t>cdot</w:t>
      </w:r>
      <w:proofErr w:type="spellEnd"/>
      <w:r w:rsidRPr="004811FE">
        <w:rPr>
          <w:rFonts w:ascii="Times New Roman" w:eastAsia="Times New Roman" w:hAnsi="Times New Roman" w:cs="Times New Roman"/>
          <w:sz w:val="20"/>
          <w:szCs w:val="20"/>
        </w:rPr>
        <w:t xml:space="preserve"> HCl).</w:t>
      </w:r>
    </w:p>
    <w:p w14:paraId="775B44AC" w14:textId="77777777" w:rsidR="008018BA" w:rsidRPr="004811FE" w:rsidRDefault="008018BA" w:rsidP="004811FE">
      <w:pPr>
        <w:numPr>
          <w:ilvl w:val="0"/>
          <w:numId w:val="3"/>
        </w:numPr>
        <w:spacing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Mechanism:</w:t>
      </w:r>
      <w:r w:rsidRPr="004811FE">
        <w:rPr>
          <w:rFonts w:ascii="Times New Roman" w:eastAsia="Times New Roman" w:hAnsi="Times New Roman" w:cs="Times New Roman"/>
          <w:sz w:val="20"/>
          <w:szCs w:val="20"/>
        </w:rPr>
        <w:t xml:space="preserve"> Reversibly blocks voltage-gated Na^+ channels, preventing action potential initiation/propagation. High lipid solubility drives strong neural tissue affinity and extended duration.</w:t>
      </w:r>
    </w:p>
    <w:p w14:paraId="03666C4E" w14:textId="77777777" w:rsidR="008018BA" w:rsidRPr="004811FE" w:rsidRDefault="008018BA" w:rsidP="004811FE">
      <w:pPr>
        <w:pStyle w:val="Heading4"/>
        <w:spacing w:before="0"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b w:val="0"/>
          <w:bCs w:val="0"/>
          <w:sz w:val="20"/>
          <w:szCs w:val="20"/>
        </w:rPr>
        <w:lastRenderedPageBreak/>
        <w:t>2. Comparative Clinical Outcomes</w:t>
      </w:r>
    </w:p>
    <w:tbl>
      <w:tblPr>
        <w:tblStyle w:val="TableGrid"/>
        <w:tblW w:w="9344" w:type="dxa"/>
        <w:tblLook w:val="04A0" w:firstRow="1" w:lastRow="0" w:firstColumn="1" w:lastColumn="0" w:noHBand="0" w:noVBand="1"/>
      </w:tblPr>
      <w:tblGrid>
        <w:gridCol w:w="2242"/>
        <w:gridCol w:w="2712"/>
        <w:gridCol w:w="2807"/>
        <w:gridCol w:w="1583"/>
      </w:tblGrid>
      <w:tr w:rsidR="008018BA" w:rsidRPr="004811FE" w14:paraId="12E65326" w14:textId="77777777" w:rsidTr="0047039A">
        <w:trPr>
          <w:trHeight w:val="784"/>
        </w:trPr>
        <w:tc>
          <w:tcPr>
            <w:tcW w:w="2241" w:type="dxa"/>
            <w:hideMark/>
          </w:tcPr>
          <w:p w14:paraId="0B559C85" w14:textId="77777777" w:rsidR="008018BA" w:rsidRPr="004811FE" w:rsidRDefault="008018BA" w:rsidP="004811FE">
            <w:pPr>
              <w:spacing w:line="360" w:lineRule="auto"/>
              <w:jc w:val="both"/>
              <w:rPr>
                <w:rFonts w:ascii="Times New Roman" w:eastAsia="Times New Roman" w:hAnsi="Times New Roman" w:cs="Times New Roman"/>
                <w:b/>
                <w:bCs/>
                <w:sz w:val="20"/>
                <w:szCs w:val="20"/>
              </w:rPr>
            </w:pPr>
            <w:r w:rsidRPr="004811FE">
              <w:rPr>
                <w:rFonts w:ascii="Times New Roman" w:eastAsia="Times New Roman" w:hAnsi="Times New Roman" w:cs="Times New Roman"/>
                <w:b/>
                <w:bCs/>
                <w:sz w:val="20"/>
                <w:szCs w:val="20"/>
              </w:rPr>
              <w:t>Clinical Parameter</w:t>
            </w:r>
          </w:p>
        </w:tc>
        <w:tc>
          <w:tcPr>
            <w:tcW w:w="0" w:type="auto"/>
            <w:hideMark/>
          </w:tcPr>
          <w:p w14:paraId="6E6245EC" w14:textId="77777777" w:rsidR="008018BA" w:rsidRPr="004811FE" w:rsidRDefault="008018BA" w:rsidP="004811FE">
            <w:pPr>
              <w:spacing w:line="360" w:lineRule="auto"/>
              <w:jc w:val="both"/>
              <w:rPr>
                <w:rFonts w:ascii="Times New Roman" w:eastAsia="Times New Roman" w:hAnsi="Times New Roman" w:cs="Times New Roman"/>
                <w:b/>
                <w:bCs/>
                <w:sz w:val="20"/>
                <w:szCs w:val="20"/>
              </w:rPr>
            </w:pPr>
            <w:r w:rsidRPr="004811FE">
              <w:rPr>
                <w:rFonts w:ascii="Times New Roman" w:eastAsia="Times New Roman" w:hAnsi="Times New Roman" w:cs="Times New Roman"/>
                <w:b/>
                <w:bCs/>
                <w:sz w:val="20"/>
                <w:szCs w:val="20"/>
              </w:rPr>
              <w:t>Isobaric Bupivacaine Performance</w:t>
            </w:r>
          </w:p>
        </w:tc>
        <w:tc>
          <w:tcPr>
            <w:tcW w:w="0" w:type="auto"/>
            <w:hideMark/>
          </w:tcPr>
          <w:p w14:paraId="4B2163FF" w14:textId="77777777" w:rsidR="008018BA" w:rsidRPr="004811FE" w:rsidRDefault="008018BA" w:rsidP="004811FE">
            <w:pPr>
              <w:spacing w:line="360" w:lineRule="auto"/>
              <w:jc w:val="both"/>
              <w:rPr>
                <w:rFonts w:ascii="Times New Roman" w:eastAsia="Times New Roman" w:hAnsi="Times New Roman" w:cs="Times New Roman"/>
                <w:b/>
                <w:bCs/>
                <w:sz w:val="20"/>
                <w:szCs w:val="20"/>
              </w:rPr>
            </w:pPr>
            <w:r w:rsidRPr="004811FE">
              <w:rPr>
                <w:rFonts w:ascii="Times New Roman" w:eastAsia="Times New Roman" w:hAnsi="Times New Roman" w:cs="Times New Roman"/>
                <w:b/>
                <w:bCs/>
                <w:sz w:val="20"/>
                <w:szCs w:val="20"/>
              </w:rPr>
              <w:t>Comparison Group / Findings</w:t>
            </w:r>
          </w:p>
        </w:tc>
        <w:tc>
          <w:tcPr>
            <w:tcW w:w="0" w:type="auto"/>
            <w:hideMark/>
          </w:tcPr>
          <w:p w14:paraId="5B0611D1" w14:textId="77777777" w:rsidR="008018BA" w:rsidRPr="004811FE" w:rsidRDefault="008018BA" w:rsidP="004811FE">
            <w:pPr>
              <w:spacing w:line="360" w:lineRule="auto"/>
              <w:jc w:val="both"/>
              <w:rPr>
                <w:rFonts w:ascii="Times New Roman" w:eastAsia="Times New Roman" w:hAnsi="Times New Roman" w:cs="Times New Roman"/>
                <w:b/>
                <w:bCs/>
                <w:sz w:val="20"/>
                <w:szCs w:val="20"/>
              </w:rPr>
            </w:pPr>
            <w:r w:rsidRPr="004811FE">
              <w:rPr>
                <w:rFonts w:ascii="Times New Roman" w:eastAsia="Times New Roman" w:hAnsi="Times New Roman" w:cs="Times New Roman"/>
                <w:b/>
                <w:bCs/>
                <w:sz w:val="20"/>
                <w:szCs w:val="20"/>
              </w:rPr>
              <w:t>Source Study</w:t>
            </w:r>
          </w:p>
        </w:tc>
      </w:tr>
      <w:tr w:rsidR="008018BA" w:rsidRPr="004811FE" w14:paraId="69115858" w14:textId="77777777" w:rsidTr="0047039A">
        <w:trPr>
          <w:trHeight w:val="1183"/>
        </w:trPr>
        <w:tc>
          <w:tcPr>
            <w:tcW w:w="2241" w:type="dxa"/>
            <w:hideMark/>
          </w:tcPr>
          <w:p w14:paraId="29109293"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Intraoperative Analgesic Efficacy</w:t>
            </w:r>
          </w:p>
        </w:tc>
        <w:tc>
          <w:tcPr>
            <w:tcW w:w="0" w:type="auto"/>
            <w:hideMark/>
          </w:tcPr>
          <w:p w14:paraId="7BD3ECF6"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100% success rate without supplemental narcotics</w:t>
            </w:r>
          </w:p>
        </w:tc>
        <w:tc>
          <w:tcPr>
            <w:tcW w:w="0" w:type="auto"/>
            <w:hideMark/>
          </w:tcPr>
          <w:p w14:paraId="0C369839"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Levobupivacaine (86.4%), Hyperbaric Bupivacaine (72.9%)</w:t>
            </w:r>
          </w:p>
        </w:tc>
        <w:tc>
          <w:tcPr>
            <w:tcW w:w="0" w:type="auto"/>
            <w:hideMark/>
          </w:tcPr>
          <w:p w14:paraId="257A8A1E" w14:textId="77777777" w:rsidR="008018BA" w:rsidRPr="004811FE" w:rsidRDefault="008018BA" w:rsidP="004811FE">
            <w:pPr>
              <w:spacing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Piacherski</w:t>
            </w:r>
            <w:proofErr w:type="spellEnd"/>
            <w:r w:rsidRPr="004811FE">
              <w:rPr>
                <w:rFonts w:ascii="Times New Roman" w:eastAsia="Times New Roman" w:hAnsi="Times New Roman" w:cs="Times New Roman"/>
                <w:sz w:val="20"/>
                <w:szCs w:val="20"/>
              </w:rPr>
              <w:t xml:space="preserve"> V et al.</w:t>
            </w:r>
          </w:p>
        </w:tc>
      </w:tr>
      <w:tr w:rsidR="008018BA" w:rsidRPr="004811FE" w14:paraId="12C96BED" w14:textId="77777777" w:rsidTr="0047039A">
        <w:trPr>
          <w:trHeight w:val="1980"/>
        </w:trPr>
        <w:tc>
          <w:tcPr>
            <w:tcW w:w="2241" w:type="dxa"/>
            <w:hideMark/>
          </w:tcPr>
          <w:p w14:paraId="597711B1"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Block Duration Characteristics</w:t>
            </w:r>
          </w:p>
        </w:tc>
        <w:tc>
          <w:tcPr>
            <w:tcW w:w="0" w:type="auto"/>
            <w:hideMark/>
          </w:tcPr>
          <w:p w14:paraId="47EE9874"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Extended sensory block duration; shorter motor block duration</w:t>
            </w:r>
          </w:p>
        </w:tc>
        <w:tc>
          <w:tcPr>
            <w:tcW w:w="0" w:type="auto"/>
            <w:hideMark/>
          </w:tcPr>
          <w:p w14:paraId="275B7C39"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Hyperbaric bupivacaine exhibited faster motor onset but shorter sensory/motor block duration</w:t>
            </w:r>
          </w:p>
        </w:tc>
        <w:tc>
          <w:tcPr>
            <w:tcW w:w="0" w:type="auto"/>
            <w:hideMark/>
          </w:tcPr>
          <w:p w14:paraId="7BB967A0"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Uppal V et al.; Kour L et al.</w:t>
            </w:r>
          </w:p>
        </w:tc>
      </w:tr>
      <w:tr w:rsidR="008018BA" w:rsidRPr="004811FE" w14:paraId="451B2AC7" w14:textId="77777777" w:rsidTr="0047039A">
        <w:trPr>
          <w:trHeight w:val="1581"/>
        </w:trPr>
        <w:tc>
          <w:tcPr>
            <w:tcW w:w="2241" w:type="dxa"/>
            <w:hideMark/>
          </w:tcPr>
          <w:p w14:paraId="543E0DE1"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Intraperitoneal Instillation (LC)</w:t>
            </w:r>
          </w:p>
        </w:tc>
        <w:tc>
          <w:tcPr>
            <w:tcW w:w="0" w:type="auto"/>
            <w:hideMark/>
          </w:tcPr>
          <w:p w14:paraId="6BA76613"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Reduced 6-hr pain; reduced first rescue analgesia need (34.2% vs. 89.5% control)</w:t>
            </w:r>
          </w:p>
        </w:tc>
        <w:tc>
          <w:tcPr>
            <w:tcW w:w="0" w:type="auto"/>
            <w:hideMark/>
          </w:tcPr>
          <w:p w14:paraId="1003D1FA"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Placebo/Control groups showed higher analgesic demands and longer stays</w:t>
            </w:r>
          </w:p>
        </w:tc>
        <w:tc>
          <w:tcPr>
            <w:tcW w:w="0" w:type="auto"/>
            <w:hideMark/>
          </w:tcPr>
          <w:p w14:paraId="7D9B2D06"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Datta PN et al.; Castillo-Garza G et al.</w:t>
            </w:r>
          </w:p>
        </w:tc>
      </w:tr>
      <w:tr w:rsidR="008018BA" w:rsidRPr="004811FE" w14:paraId="0AE69B56" w14:textId="77777777" w:rsidTr="0047039A">
        <w:trPr>
          <w:trHeight w:val="1183"/>
        </w:trPr>
        <w:tc>
          <w:tcPr>
            <w:tcW w:w="2241" w:type="dxa"/>
            <w:hideMark/>
          </w:tcPr>
          <w:p w14:paraId="3E44E7D7"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 xml:space="preserve">Thoracic CSE </w:t>
            </w:r>
            <w:proofErr w:type="spellStart"/>
            <w:r w:rsidRPr="004811FE">
              <w:rPr>
                <w:rStyle w:val="Strong"/>
                <w:rFonts w:ascii="Times New Roman" w:eastAsia="Times New Roman" w:hAnsi="Times New Roman" w:cs="Times New Roman"/>
                <w:sz w:val="20"/>
                <w:szCs w:val="20"/>
              </w:rPr>
              <w:t>Anesthesia</w:t>
            </w:r>
            <w:proofErr w:type="spellEnd"/>
          </w:p>
        </w:tc>
        <w:tc>
          <w:tcPr>
            <w:tcW w:w="0" w:type="auto"/>
            <w:hideMark/>
          </w:tcPr>
          <w:p w14:paraId="747EEAE2"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Hemodynamically stable; high surgical quality; rapid T4 reach (2 min)</w:t>
            </w:r>
          </w:p>
        </w:tc>
        <w:tc>
          <w:tcPr>
            <w:tcW w:w="0" w:type="auto"/>
            <w:hideMark/>
          </w:tcPr>
          <w:p w14:paraId="4405E0C1"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Hyperbaric bupivacaine required longer to reach T4 (7.8 min)</w:t>
            </w:r>
          </w:p>
        </w:tc>
        <w:tc>
          <w:tcPr>
            <w:tcW w:w="0" w:type="auto"/>
            <w:hideMark/>
          </w:tcPr>
          <w:p w14:paraId="308C214F"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Kour L et al.; Nagar S et al.</w:t>
            </w:r>
          </w:p>
        </w:tc>
      </w:tr>
      <w:tr w:rsidR="008018BA" w:rsidRPr="004811FE" w14:paraId="21167380" w14:textId="77777777" w:rsidTr="0047039A">
        <w:trPr>
          <w:trHeight w:val="1968"/>
        </w:trPr>
        <w:tc>
          <w:tcPr>
            <w:tcW w:w="2241" w:type="dxa"/>
            <w:hideMark/>
          </w:tcPr>
          <w:p w14:paraId="4BE1D83B"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sz w:val="20"/>
                <w:szCs w:val="20"/>
              </w:rPr>
              <w:t>Hemodynamic Stability (Obstetrics)</w:t>
            </w:r>
          </w:p>
        </w:tc>
        <w:tc>
          <w:tcPr>
            <w:tcW w:w="0" w:type="auto"/>
            <w:hideMark/>
          </w:tcPr>
          <w:p w14:paraId="32312CCC"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Sequential plain + hyperbaric bupivacaine reduced hypotension (25.7% vs. 77.1%)</w:t>
            </w:r>
          </w:p>
        </w:tc>
        <w:tc>
          <w:tcPr>
            <w:tcW w:w="0" w:type="auto"/>
            <w:hideMark/>
          </w:tcPr>
          <w:p w14:paraId="23904E06" w14:textId="77777777" w:rsidR="008018BA" w:rsidRPr="004811FE" w:rsidRDefault="008018BA" w:rsidP="004811FE">
            <w:pPr>
              <w:spacing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Pure hyperbaric bupivacaine induced significantly higher hypotension &amp; ephedrine needs</w:t>
            </w:r>
          </w:p>
        </w:tc>
        <w:tc>
          <w:tcPr>
            <w:tcW w:w="0" w:type="auto"/>
            <w:hideMark/>
          </w:tcPr>
          <w:p w14:paraId="720E13B1" w14:textId="77777777" w:rsidR="008018BA" w:rsidRPr="004811FE" w:rsidRDefault="008018BA" w:rsidP="004811FE">
            <w:pPr>
              <w:spacing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Zinzuwadia</w:t>
            </w:r>
            <w:proofErr w:type="spellEnd"/>
            <w:r w:rsidRPr="004811FE">
              <w:rPr>
                <w:rFonts w:ascii="Times New Roman" w:eastAsia="Times New Roman" w:hAnsi="Times New Roman" w:cs="Times New Roman"/>
                <w:sz w:val="20"/>
                <w:szCs w:val="20"/>
              </w:rPr>
              <w:t xml:space="preserve"> PJ et al.</w:t>
            </w:r>
          </w:p>
        </w:tc>
      </w:tr>
    </w:tbl>
    <w:p w14:paraId="3C204727" w14:textId="77777777" w:rsidR="00692AC8" w:rsidRPr="004811FE" w:rsidRDefault="00692AC8" w:rsidP="004811FE">
      <w:pPr>
        <w:pStyle w:val="Heading3"/>
        <w:spacing w:before="0" w:after="0" w:line="360" w:lineRule="auto"/>
        <w:jc w:val="both"/>
        <w:rPr>
          <w:rFonts w:ascii="Times New Roman" w:eastAsia="Times New Roman" w:hAnsi="Times New Roman" w:cs="Times New Roman"/>
          <w:b/>
          <w:bCs/>
          <w:sz w:val="20"/>
          <w:szCs w:val="20"/>
          <w:lang w:val="en-GB"/>
        </w:rPr>
      </w:pPr>
      <w:r w:rsidRPr="004811FE">
        <w:rPr>
          <w:rFonts w:ascii="Times New Roman" w:eastAsia="Times New Roman" w:hAnsi="Times New Roman" w:cs="Times New Roman"/>
          <w:b/>
          <w:bCs/>
          <w:sz w:val="20"/>
          <w:szCs w:val="20"/>
          <w:lang w:val="en-GB"/>
        </w:rPr>
        <w:lastRenderedPageBreak/>
        <w:t>Discussion</w:t>
      </w:r>
    </w:p>
    <w:p w14:paraId="3D567477"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Bupivacaine remains one of the most extensively used long-acting amide local anaesthetics in regional and neuraxial anaesthesia because of its potent sensory blockade, prolonged duration of action, and suitability for a broad range of surgical procedures. Although both hyperbaric and isobaric formulations are routinely employed for spinal anaesthesia, their intrathecal distribution and resulting clinical characteristics differ substantially. The available literature indicates that isobaric bupivacaine offers several clinically relevant advantages, particularly a relatively predictable block profile, prolonged sensory anaesthesia, and less dependence on patient positioning. These properties may be valuable when avoidance of excessive cephalad spread and maintenance of cardiovascular stability are important considerations.</w:t>
      </w:r>
    </w:p>
    <w:p w14:paraId="38BED624"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 xml:space="preserve">The fundamental distinction between isobaric and hyperbaric bupivacaine is related to </w:t>
      </w:r>
      <w:proofErr w:type="spellStart"/>
      <w:r w:rsidRPr="004811FE">
        <w:rPr>
          <w:rFonts w:ascii="Times New Roman" w:eastAsia="Times New Roman" w:hAnsi="Times New Roman" w:cs="Times New Roman"/>
          <w:color w:val="auto"/>
          <w:sz w:val="20"/>
          <w:szCs w:val="20"/>
          <w:lang w:val="en-GB"/>
        </w:rPr>
        <w:t>baricity</w:t>
      </w:r>
      <w:proofErr w:type="spellEnd"/>
      <w:r w:rsidRPr="004811FE">
        <w:rPr>
          <w:rFonts w:ascii="Times New Roman" w:eastAsia="Times New Roman" w:hAnsi="Times New Roman" w:cs="Times New Roman"/>
          <w:color w:val="auto"/>
          <w:sz w:val="20"/>
          <w:szCs w:val="20"/>
          <w:lang w:val="en-GB"/>
        </w:rPr>
        <w:t xml:space="preserve">. </w:t>
      </w:r>
      <w:proofErr w:type="spellStart"/>
      <w:r w:rsidRPr="004811FE">
        <w:rPr>
          <w:rFonts w:ascii="Times New Roman" w:eastAsia="Times New Roman" w:hAnsi="Times New Roman" w:cs="Times New Roman"/>
          <w:color w:val="auto"/>
          <w:sz w:val="20"/>
          <w:szCs w:val="20"/>
          <w:lang w:val="en-GB"/>
        </w:rPr>
        <w:t>Baricity</w:t>
      </w:r>
      <w:proofErr w:type="spellEnd"/>
      <w:r w:rsidRPr="004811FE">
        <w:rPr>
          <w:rFonts w:ascii="Times New Roman" w:eastAsia="Times New Roman" w:hAnsi="Times New Roman" w:cs="Times New Roman"/>
          <w:color w:val="auto"/>
          <w:sz w:val="20"/>
          <w:szCs w:val="20"/>
          <w:lang w:val="en-GB"/>
        </w:rPr>
        <w:t xml:space="preserve"> represents the density of a local anaesthetic solution relative to cerebrospinal fluid (CSF). Hyperbaric bupivacaine contains glucose to increase its density above that of CSF, making its intrathecal distribution strongly influenced by gravity and patient position. In contrast, plain bupivacaine is generally considered clinically isobaric or slightly hypobaric under physiological conditions, and its distribution tends to be less dependent on gravitational effects. Consequently, changes in patient position after intrathecal administration may produce less pronounced changes in block height with plain bupivacaine than with hyperbaric preparations. Nevertheless, intrathecal spread remains multifactorial and is influenced by dose, injection site and technique, CSF characteristics, patient anatomy, age, pregnancy, and other physiological variables.</w:t>
      </w:r>
    </w:p>
    <w:p w14:paraId="0C2A05E9"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The pharmacological characteristics of bupivacaine contribute significantly to its clinical usefulness. Bupivacaine acts primarily through reversible inhibition of voltage-gated sodium channels in neuronal membranes. Prevention of sodium influx inhibits depolarisation and interrupts propagation of action potentials along sensory, motor, and sympathetic nerve fibres. Its relatively high lipid solubility and protein binding contribute to its potency and prolonged duration of neural blockade. Differential blockade is also clinically important, because sympathetic, sensory, and motor fibres may demonstrate different sensitivities and recovery profiles. This explains why the duration of clinically useful sensory analgesia does not necessarily correspond exactly to the duration of motor impairment.</w:t>
      </w:r>
    </w:p>
    <w:p w14:paraId="43318586"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 xml:space="preserve">The findings reviewed suggest that isobaric bupivacaine can provide effective and reliable intraoperative anaesthesia. </w:t>
      </w:r>
      <w:proofErr w:type="spellStart"/>
      <w:r w:rsidRPr="004811FE">
        <w:rPr>
          <w:rFonts w:ascii="Times New Roman" w:eastAsia="Times New Roman" w:hAnsi="Times New Roman" w:cs="Times New Roman"/>
          <w:color w:val="auto"/>
          <w:sz w:val="20"/>
          <w:szCs w:val="20"/>
          <w:lang w:val="en-GB"/>
        </w:rPr>
        <w:t>Piacherski</w:t>
      </w:r>
      <w:proofErr w:type="spellEnd"/>
      <w:r w:rsidRPr="004811FE">
        <w:rPr>
          <w:rFonts w:ascii="Times New Roman" w:eastAsia="Times New Roman" w:hAnsi="Times New Roman" w:cs="Times New Roman"/>
          <w:color w:val="auto"/>
          <w:sz w:val="20"/>
          <w:szCs w:val="20"/>
          <w:lang w:val="en-GB"/>
        </w:rPr>
        <w:t xml:space="preserve"> et al. reported favourable intraoperative analgesic efficacy with isobaric bupivacaine compared with levobupivacaine and hyperbaric bupivacaine, with fewer requirements for supplemental analgesia in the reported study population. Such observations suggest that the duration and quality of sensory blockade obtained with plain bupivacaine may be advantageous in procedures requiring sustained surgical anaesthesia. However, individual study findings should be interpreted in the context of differences in dose, concentration, surgical procedure, patient population, definitions of anaesthetic success, and use of intrathecal adjuvants. A numerical superiority observed in one clinical trial should therefore not automatically be extrapolated to all surgical settings.</w:t>
      </w:r>
    </w:p>
    <w:p w14:paraId="5DDC4343"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lastRenderedPageBreak/>
        <w:t>The duration of sensory and motor blockade represents another important consideration. Comparative evidence, including observations reported by Uppal et al. and Kour et al., indicates meaningful differences in block characteristics between isobaric and hyperbaric preparations. Hyperbaric bupivacaine may provide a more position-dependent and, in some circumstances, more rapid or controllable initial spread, whereas isobaric bupivacaine may produce a longer-lasting sensory block. The choice between these formulations should consequently depend on the intended surgical duration, desired dermatomal level, patient positioning, and the importance of early motor recovery.</w:t>
      </w:r>
    </w:p>
    <w:p w14:paraId="660D5C85"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A prolonged sensory block can be advantageous because it may reduce intraoperative discomfort and delay the requirement for postoperative rescue analgesia. Conversely, prolonged motor blockade can delay mobilisation and discharge, particularly in ambulatory surgery. Therefore, assessment of a spinal anaesthetic should not be based solely on onset time or maximum block height. Time to sensory regression, time to motor recovery, haemodynamic consequences, postoperative analgesia, urinary retention, mobilisation, and discharge readiness are all clinically relevant endpoints.</w:t>
      </w:r>
    </w:p>
    <w:p w14:paraId="29A34BD6"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Hemodynamic stability is particularly important in spinal anaesthesia because sympathetic blockade produces arterial and venous vasodilatation, reduces systemic vascular resistance and venous return, and can consequently cause hypotension. Bradycardia may also occur when blockade extends to cardiac accelerator fibres or when reduced venous return alters autonomic reflexes. The extent and speed of cephalad spread therefore have direct clinical consequences. A rapidly developing high spinal block can produce profound hypotension, nausea, vomiting, bradycardia, and, rarely, respiratory or cardiovascular compromise.</w:t>
      </w:r>
    </w:p>
    <w:p w14:paraId="78A10B55"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 xml:space="preserve">The reviewed obstetric evidence is particularly relevant in this context. </w:t>
      </w:r>
      <w:proofErr w:type="spellStart"/>
      <w:r w:rsidRPr="004811FE">
        <w:rPr>
          <w:rFonts w:ascii="Times New Roman" w:eastAsia="Times New Roman" w:hAnsi="Times New Roman" w:cs="Times New Roman"/>
          <w:color w:val="auto"/>
          <w:sz w:val="20"/>
          <w:szCs w:val="20"/>
          <w:lang w:val="en-GB"/>
        </w:rPr>
        <w:t>Zinzuwadia</w:t>
      </w:r>
      <w:proofErr w:type="spellEnd"/>
      <w:r w:rsidRPr="004811FE">
        <w:rPr>
          <w:rFonts w:ascii="Times New Roman" w:eastAsia="Times New Roman" w:hAnsi="Times New Roman" w:cs="Times New Roman"/>
          <w:color w:val="auto"/>
          <w:sz w:val="20"/>
          <w:szCs w:val="20"/>
          <w:lang w:val="en-GB"/>
        </w:rPr>
        <w:t xml:space="preserve"> et al. reported a lower incidence of hypotension when sequential plain and hyperbaric bupivacaine techniques were employed compared with hyperbaric bupivacaine alone. The reported difference—25.7% versus 77.1%—suggests that manipulation of </w:t>
      </w:r>
      <w:proofErr w:type="spellStart"/>
      <w:r w:rsidRPr="004811FE">
        <w:rPr>
          <w:rFonts w:ascii="Times New Roman" w:eastAsia="Times New Roman" w:hAnsi="Times New Roman" w:cs="Times New Roman"/>
          <w:color w:val="auto"/>
          <w:sz w:val="20"/>
          <w:szCs w:val="20"/>
          <w:lang w:val="en-GB"/>
        </w:rPr>
        <w:t>baricity</w:t>
      </w:r>
      <w:proofErr w:type="spellEnd"/>
      <w:r w:rsidRPr="004811FE">
        <w:rPr>
          <w:rFonts w:ascii="Times New Roman" w:eastAsia="Times New Roman" w:hAnsi="Times New Roman" w:cs="Times New Roman"/>
          <w:color w:val="auto"/>
          <w:sz w:val="20"/>
          <w:szCs w:val="20"/>
          <w:lang w:val="en-GB"/>
        </w:rPr>
        <w:t xml:space="preserve"> and dosing strategy may influence the cardiovascular consequences of neuraxial blockade. However, obstetric spinal anaesthesia has unique physiological characteristics. Pregnancy is associated with reduced CSF volume, increased epidural venous engorgement, altered sensitivity to local anaesthetics, aortocaval compression, and an increased susceptibility to spinal-induced hypotension. Consequently, findings from obstetric populations should not be directly generalized to non-obstetric patients without appropriate supporting evidence.</w:t>
      </w:r>
    </w:p>
    <w:p w14:paraId="553CBDBB"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The role of isobaric bupivacaine in combined spinal–epidural (CSE) and thoracic neuraxial techniques is another area of clinical interest. The studies summarized in this review suggest that selected techniques using isobaric bupivacaine may provide satisfactory surgical conditions with acceptable haemodynamic profiles. Reports of rapid attainment of an adequate sensory level are encouraging, although thoracic spinal and CSE techniques require considerable expertise and careful patient selection. The proximity of the spinal cord, potential for neurological injury, and cardiovascular consequences of a high neuraxial block mean that such techniques should be performed within appropriately monitored settings by clinicians experienced in thoracic neuraxial anaesthesia. Available findings should therefore be interpreted as evidence of feasibility in selected circumstances rather than justification for routine application across all patient populations.</w:t>
      </w:r>
    </w:p>
    <w:p w14:paraId="16478089"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lastRenderedPageBreak/>
        <w:t>The reviewed literature also indicates that bupivacaine has a role beyond conventional intrathecal administration. Intraperitoneal administration during laparoscopic surgery has been investigated as a component of multimodal postoperative analgesia. Datta et al. and Castillo-Garza et al. reported reductions in early postoperative pain and rescue analgesic requirements following local anaesthetic instillation. In laparoscopic cholecystectomy, postoperative pain has several components, including incisional somatic pain, visceral discomfort caused by tissue manipulation, and referred shoulder pain associated with diaphragmatic irritation from residual carbon dioxide. Local anaesthetic instillation into the peritoneal cavity may attenuate the visceral component by reducing nociceptive input from exposed peritoneal surfaces.</w:t>
      </w:r>
    </w:p>
    <w:p w14:paraId="501AB3D4"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 xml:space="preserve">The reported reduction in rescue analgesic requirements is clinically meaningful because decreasing systemic opioid consumption may reduce opioid-related adverse effects such as nausea, vomiting, sedation, respiratory depression, pruritus, and delayed mobilisation. Nevertheless, intraperitoneal instillation and spinal administration represent fundamentally different routes of administration, and findings from one route should not be interpreted as evidence regarding the </w:t>
      </w:r>
      <w:proofErr w:type="spellStart"/>
      <w:r w:rsidRPr="004811FE">
        <w:rPr>
          <w:rFonts w:ascii="Times New Roman" w:eastAsia="Times New Roman" w:hAnsi="Times New Roman" w:cs="Times New Roman"/>
          <w:color w:val="auto"/>
          <w:sz w:val="20"/>
          <w:szCs w:val="20"/>
          <w:lang w:val="en-GB"/>
        </w:rPr>
        <w:t>baricity</w:t>
      </w:r>
      <w:proofErr w:type="spellEnd"/>
      <w:r w:rsidRPr="004811FE">
        <w:rPr>
          <w:rFonts w:ascii="Times New Roman" w:eastAsia="Times New Roman" w:hAnsi="Times New Roman" w:cs="Times New Roman"/>
          <w:color w:val="auto"/>
          <w:sz w:val="20"/>
          <w:szCs w:val="20"/>
          <w:lang w:val="en-GB"/>
        </w:rPr>
        <w:t>-dependent behaviour of another. Intraperitoneal bupivacaine should therefore be considered a separate clinical application within the broader pharmacological use of the drug.</w:t>
      </w:r>
    </w:p>
    <w:p w14:paraId="2B719E5D"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 xml:space="preserve">Comparisons with levobupivacaine and ropivacaine also require consideration of safety. Racemic bupivacaine is well recognized to have greater potential for serious cardiotoxicity after unintended high systemic exposure than some newer long-acting local anaesthetics. Levobupivacaine, the </w:t>
      </w:r>
      <w:proofErr w:type="gramStart"/>
      <w:r w:rsidRPr="004811FE">
        <w:rPr>
          <w:rFonts w:ascii="Times New Roman" w:eastAsia="Times New Roman" w:hAnsi="Times New Roman" w:cs="Times New Roman"/>
          <w:color w:val="auto"/>
          <w:sz w:val="20"/>
          <w:szCs w:val="20"/>
          <w:lang w:val="en-GB"/>
        </w:rPr>
        <w:t>S(</w:t>
      </w:r>
      <w:proofErr w:type="gramEnd"/>
      <w:r w:rsidRPr="004811FE">
        <w:rPr>
          <w:rFonts w:ascii="Times New Roman" w:eastAsia="Times New Roman" w:hAnsi="Times New Roman" w:cs="Times New Roman"/>
          <w:color w:val="auto"/>
          <w:sz w:val="20"/>
          <w:szCs w:val="20"/>
          <w:lang w:val="en-GB"/>
        </w:rPr>
        <w:t>-)-enantiomer of bupivacaine, and ropivacaine were developed partly to provide favourable cardiovascular and central nervous system safety profiles while maintaining clinically useful regional anaesthesia. However, differences in potency must be considered when comparing equivalent concentrations or volumes. Ropivacaine, for example, may produce less intense motor blockade in some clinical settings, which can be advantageous when early mobilisation is desired. Therefore, selection among bupivacaine, levobupivacaine, and ropivacaine involves balancing block intensity, duration, motor recovery, cardiovascular safety, procedure type, and patient-specific factors rather than relying on a single outcome measure.</w:t>
      </w:r>
    </w:p>
    <w:p w14:paraId="40D5212A"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 xml:space="preserve">An additional advantage attributed to isobaric bupivacaine is reduced dependence on patient position. This characteristic can be useful when repositioning after spinal injection is unavoidable or when excessive redistribution of the local anaesthetic is undesirable. However, describing isobaric bupivacaine as completely position-independent would be an oversimplification. The final distribution of an intrathecal local anaesthetic depends on several interacting factors, including CSF density and volume, spinal anatomy, curvature of the vertebral column, injection level, drug dose and volume, injection characteristics, and patient physiology. Thus, </w:t>
      </w:r>
      <w:proofErr w:type="spellStart"/>
      <w:r w:rsidRPr="004811FE">
        <w:rPr>
          <w:rFonts w:ascii="Times New Roman" w:eastAsia="Times New Roman" w:hAnsi="Times New Roman" w:cs="Times New Roman"/>
          <w:color w:val="auto"/>
          <w:sz w:val="20"/>
          <w:szCs w:val="20"/>
          <w:lang w:val="en-GB"/>
        </w:rPr>
        <w:t>isobaricity</w:t>
      </w:r>
      <w:proofErr w:type="spellEnd"/>
      <w:r w:rsidRPr="004811FE">
        <w:rPr>
          <w:rFonts w:ascii="Times New Roman" w:eastAsia="Times New Roman" w:hAnsi="Times New Roman" w:cs="Times New Roman"/>
          <w:color w:val="auto"/>
          <w:sz w:val="20"/>
          <w:szCs w:val="20"/>
          <w:lang w:val="en-GB"/>
        </w:rPr>
        <w:t xml:space="preserve"> reduces the gravitational influence on distribution but does not eliminate variability in spinal block height.</w:t>
      </w:r>
    </w:p>
    <w:p w14:paraId="4B6617C2"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t>Several limitations of the available evidence should be acknowledged. Studies differ considerably in sample size, patient characteristics, surgical procedures, local anaesthetic concentrations, administered doses, intrathecal additives, definitions of sensory and motor block, and outcome measures. Some trials have relatively small populations, limiting the ability to detect uncommon adverse events. Furthermore, direct comparisons between studies are complicated by methodological heterogeneity. Large, adequately powered randomized controlled trials using standardized endpoints would therefore be valuable to determine which patient populations and surgical procedures derive the greatest clinical benefit from isobaric bupivacaine.</w:t>
      </w:r>
    </w:p>
    <w:p w14:paraId="26AA3C9A" w14:textId="77777777" w:rsidR="00692AC8" w:rsidRPr="004811FE" w:rsidRDefault="00692AC8" w:rsidP="004811FE">
      <w:pPr>
        <w:pStyle w:val="Heading3"/>
        <w:spacing w:before="0" w:after="0" w:line="360" w:lineRule="auto"/>
        <w:jc w:val="both"/>
        <w:rPr>
          <w:rFonts w:ascii="Times New Roman" w:eastAsia="Times New Roman" w:hAnsi="Times New Roman" w:cs="Times New Roman"/>
          <w:color w:val="auto"/>
          <w:sz w:val="20"/>
          <w:szCs w:val="20"/>
          <w:lang w:val="en-GB"/>
        </w:rPr>
      </w:pPr>
      <w:r w:rsidRPr="004811FE">
        <w:rPr>
          <w:rFonts w:ascii="Times New Roman" w:eastAsia="Times New Roman" w:hAnsi="Times New Roman" w:cs="Times New Roman"/>
          <w:color w:val="auto"/>
          <w:sz w:val="20"/>
          <w:szCs w:val="20"/>
          <w:lang w:val="en-GB"/>
        </w:rPr>
        <w:lastRenderedPageBreak/>
        <w:t>Overall, the literature supports isobaric bupivacaine as an effective long-acting local anaesthetic for spinal and regional anaesthetic practice. Its relatively less position-dependent intrathecal distribution, prolonged sensory blockade, and potentially favourable haemodynamic characteristics in selected settings provide clinically useful attributes. Hyperbaric bupivacaine, however, remains advantageous when gravitational control of block distribution is specifically desired. Levobupivacaine and ropivacaine provide alternative pharmacological profiles that may be preferable in selected patients or procedures. Accordingly, no formulation is universally optimal. Selection should be individualized according to the surgical procedure, expected duration, required block height, patient positioning, cardiovascular status, desired motor recovery, and clinician experience. Future standardized comparative studies will help define more precisely the clinical situations in which isobaric bupivacaine offers the greatest advantage.</w:t>
      </w:r>
    </w:p>
    <w:p w14:paraId="0EE3D91C" w14:textId="3D07FCF8" w:rsidR="008018BA" w:rsidRPr="004811FE" w:rsidRDefault="008018BA" w:rsidP="004811FE">
      <w:pPr>
        <w:pStyle w:val="Heading3"/>
        <w:spacing w:before="0"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b w:val="0"/>
          <w:bCs w:val="0"/>
          <w:sz w:val="20"/>
          <w:szCs w:val="20"/>
        </w:rPr>
        <w:t>Conclusions</w:t>
      </w:r>
    </w:p>
    <w:p w14:paraId="560CC1FD" w14:textId="77777777" w:rsidR="008018BA" w:rsidRPr="004811FE" w:rsidRDefault="008018BA" w:rsidP="004811FE">
      <w:pPr>
        <w:pStyle w:val="NormalWeb"/>
        <w:spacing w:before="0" w:beforeAutospacing="0" w:after="0" w:afterAutospacing="0" w:line="360" w:lineRule="auto"/>
        <w:jc w:val="both"/>
        <w:rPr>
          <w:sz w:val="20"/>
          <w:szCs w:val="20"/>
        </w:rPr>
      </w:pPr>
      <w:r w:rsidRPr="004811FE">
        <w:rPr>
          <w:sz w:val="20"/>
          <w:szCs w:val="20"/>
        </w:rPr>
        <w:t xml:space="preserve">Isobaric bupivacaine remains a highly reliable, versatile, and effective local </w:t>
      </w:r>
      <w:proofErr w:type="spellStart"/>
      <w:r w:rsidRPr="004811FE">
        <w:rPr>
          <w:sz w:val="20"/>
          <w:szCs w:val="20"/>
        </w:rPr>
        <w:t>anesthetic</w:t>
      </w:r>
      <w:proofErr w:type="spellEnd"/>
      <w:r w:rsidRPr="004811FE">
        <w:rPr>
          <w:sz w:val="20"/>
          <w:szCs w:val="20"/>
        </w:rPr>
        <w:t xml:space="preserve"> agent. Its density matching CSF affords uniform spread, reduced positional dependency, extended sensory analgesia relative to motor block, and </w:t>
      </w:r>
      <w:proofErr w:type="spellStart"/>
      <w:r w:rsidRPr="004811FE">
        <w:rPr>
          <w:sz w:val="20"/>
          <w:szCs w:val="20"/>
        </w:rPr>
        <w:t>favorable</w:t>
      </w:r>
      <w:proofErr w:type="spellEnd"/>
      <w:r w:rsidRPr="004811FE">
        <w:rPr>
          <w:sz w:val="20"/>
          <w:szCs w:val="20"/>
        </w:rPr>
        <w:t xml:space="preserve"> intraoperative success rates. Whether utilized for subarachnoid block, thoracic CSE, or local tissue infiltration, isobaric bupivacaine provides an optimal balance between dense </w:t>
      </w:r>
      <w:proofErr w:type="spellStart"/>
      <w:r w:rsidRPr="004811FE">
        <w:rPr>
          <w:sz w:val="20"/>
          <w:szCs w:val="20"/>
        </w:rPr>
        <w:t>anesthesia</w:t>
      </w:r>
      <w:proofErr w:type="spellEnd"/>
      <w:r w:rsidRPr="004811FE">
        <w:rPr>
          <w:sz w:val="20"/>
          <w:szCs w:val="20"/>
        </w:rPr>
        <w:t>, postoperative pain control, and cardiovascular stability.</w:t>
      </w:r>
    </w:p>
    <w:p w14:paraId="352437A0" w14:textId="77777777" w:rsidR="00692AC8" w:rsidRPr="004811FE" w:rsidRDefault="00692AC8" w:rsidP="004811FE">
      <w:pPr>
        <w:pStyle w:val="Heading3"/>
        <w:spacing w:before="0" w:after="0" w:line="360" w:lineRule="auto"/>
        <w:jc w:val="both"/>
        <w:rPr>
          <w:rStyle w:val="Strong"/>
          <w:rFonts w:ascii="Times New Roman" w:eastAsia="Times New Roman" w:hAnsi="Times New Roman" w:cs="Times New Roman"/>
          <w:b w:val="0"/>
          <w:bCs w:val="0"/>
          <w:sz w:val="20"/>
          <w:szCs w:val="20"/>
        </w:rPr>
      </w:pPr>
    </w:p>
    <w:p w14:paraId="6DD1ECB1" w14:textId="77777777" w:rsidR="00692AC8" w:rsidRPr="004811FE" w:rsidRDefault="00692AC8" w:rsidP="004811FE">
      <w:pPr>
        <w:pStyle w:val="Heading3"/>
        <w:spacing w:before="0" w:after="0" w:line="360" w:lineRule="auto"/>
        <w:jc w:val="both"/>
        <w:rPr>
          <w:rStyle w:val="Strong"/>
          <w:rFonts w:ascii="Times New Roman" w:eastAsia="Times New Roman" w:hAnsi="Times New Roman" w:cs="Times New Roman"/>
          <w:b w:val="0"/>
          <w:bCs w:val="0"/>
          <w:sz w:val="20"/>
          <w:szCs w:val="20"/>
        </w:rPr>
      </w:pPr>
    </w:p>
    <w:p w14:paraId="427AF74E" w14:textId="4976CE37" w:rsidR="008018BA" w:rsidRPr="004811FE" w:rsidRDefault="008018BA" w:rsidP="004811FE">
      <w:pPr>
        <w:pStyle w:val="Heading3"/>
        <w:spacing w:before="0" w:after="0" w:line="360" w:lineRule="auto"/>
        <w:jc w:val="both"/>
        <w:rPr>
          <w:rFonts w:ascii="Times New Roman" w:eastAsia="Times New Roman" w:hAnsi="Times New Roman" w:cs="Times New Roman"/>
          <w:sz w:val="20"/>
          <w:szCs w:val="20"/>
        </w:rPr>
      </w:pPr>
      <w:r w:rsidRPr="004811FE">
        <w:rPr>
          <w:rStyle w:val="Strong"/>
          <w:rFonts w:ascii="Times New Roman" w:eastAsia="Times New Roman" w:hAnsi="Times New Roman" w:cs="Times New Roman"/>
          <w:b w:val="0"/>
          <w:bCs w:val="0"/>
          <w:sz w:val="20"/>
          <w:szCs w:val="20"/>
        </w:rPr>
        <w:t>References</w:t>
      </w:r>
    </w:p>
    <w:p w14:paraId="026E3080"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Datta PN et al. Postoperative pain management via intraperitoneal instillation of bupivacaine in laparoscopic cholecystectomy.</w:t>
      </w:r>
    </w:p>
    <w:p w14:paraId="584744B6"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Uppal V et al. Hyperbaric versus isobaric bupivacaine for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in non-</w:t>
      </w:r>
      <w:proofErr w:type="spellStart"/>
      <w:r w:rsidRPr="004811FE">
        <w:rPr>
          <w:rFonts w:ascii="Times New Roman" w:eastAsia="Times New Roman" w:hAnsi="Times New Roman" w:cs="Times New Roman"/>
          <w:sz w:val="20"/>
          <w:szCs w:val="20"/>
        </w:rPr>
        <w:t>cesarean</w:t>
      </w:r>
      <w:proofErr w:type="spellEnd"/>
      <w:r w:rsidRPr="004811FE">
        <w:rPr>
          <w:rFonts w:ascii="Times New Roman" w:eastAsia="Times New Roman" w:hAnsi="Times New Roman" w:cs="Times New Roman"/>
          <w:sz w:val="20"/>
          <w:szCs w:val="20"/>
        </w:rPr>
        <w:t xml:space="preserve"> surgeries: Systematic review and meta-analysis.</w:t>
      </w:r>
    </w:p>
    <w:p w14:paraId="4123EC63"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Castillo-Garza G et al. Analgesic efficacy of bupivacaine irrigation at the surgical bed in laparoscopic cholecystectomy.</w:t>
      </w:r>
    </w:p>
    <w:p w14:paraId="1A305C85"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Piacherski</w:t>
      </w:r>
      <w:proofErr w:type="spellEnd"/>
      <w:r w:rsidRPr="004811FE">
        <w:rPr>
          <w:rFonts w:ascii="Times New Roman" w:eastAsia="Times New Roman" w:hAnsi="Times New Roman" w:cs="Times New Roman"/>
          <w:sz w:val="20"/>
          <w:szCs w:val="20"/>
        </w:rPr>
        <w:t xml:space="preserve"> V et al. Efficacy of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using isobaric bupivacaine, levobupivacaine, and hyperbaric bupivacaine in lower limb surgeries.</w:t>
      </w:r>
    </w:p>
    <w:p w14:paraId="4C5A29E4"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Kour L et al. Influence of </w:t>
      </w:r>
      <w:proofErr w:type="spellStart"/>
      <w:r w:rsidRPr="004811FE">
        <w:rPr>
          <w:rFonts w:ascii="Times New Roman" w:eastAsia="Times New Roman" w:hAnsi="Times New Roman" w:cs="Times New Roman"/>
          <w:sz w:val="20"/>
          <w:szCs w:val="20"/>
        </w:rPr>
        <w:t>baricity</w:t>
      </w:r>
      <w:proofErr w:type="spellEnd"/>
      <w:r w:rsidRPr="004811FE">
        <w:rPr>
          <w:rFonts w:ascii="Times New Roman" w:eastAsia="Times New Roman" w:hAnsi="Times New Roman" w:cs="Times New Roman"/>
          <w:sz w:val="20"/>
          <w:szCs w:val="20"/>
        </w:rPr>
        <w:t xml:space="preserve"> on bupivacaine during thoracic combined spinal epidural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for laparoscopic cholecystectomy.</w:t>
      </w:r>
    </w:p>
    <w:p w14:paraId="3A05E5EC"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Nagar S et al. </w:t>
      </w:r>
      <w:proofErr w:type="spellStart"/>
      <w:r w:rsidRPr="004811FE">
        <w:rPr>
          <w:rFonts w:ascii="Times New Roman" w:eastAsia="Times New Roman" w:hAnsi="Times New Roman" w:cs="Times New Roman"/>
          <w:sz w:val="20"/>
          <w:szCs w:val="20"/>
        </w:rPr>
        <w:t>Baricity</w:t>
      </w:r>
      <w:proofErr w:type="spellEnd"/>
      <w:r w:rsidRPr="004811FE">
        <w:rPr>
          <w:rFonts w:ascii="Times New Roman" w:eastAsia="Times New Roman" w:hAnsi="Times New Roman" w:cs="Times New Roman"/>
          <w:sz w:val="20"/>
          <w:szCs w:val="20"/>
        </w:rPr>
        <w:t xml:space="preserve"> effects of bupivacaine in thoracic combined spinal epidural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w:t>
      </w:r>
    </w:p>
    <w:p w14:paraId="0F525D43"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Zinzuwadia</w:t>
      </w:r>
      <w:proofErr w:type="spellEnd"/>
      <w:r w:rsidRPr="004811FE">
        <w:rPr>
          <w:rFonts w:ascii="Times New Roman" w:eastAsia="Times New Roman" w:hAnsi="Times New Roman" w:cs="Times New Roman"/>
          <w:sz w:val="20"/>
          <w:szCs w:val="20"/>
        </w:rPr>
        <w:t xml:space="preserve"> PJ et al. Sequential low-dose plain and hyperbaric bupivacaine for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in </w:t>
      </w:r>
      <w:proofErr w:type="spellStart"/>
      <w:r w:rsidRPr="004811FE">
        <w:rPr>
          <w:rFonts w:ascii="Times New Roman" w:eastAsia="Times New Roman" w:hAnsi="Times New Roman" w:cs="Times New Roman"/>
          <w:sz w:val="20"/>
          <w:szCs w:val="20"/>
        </w:rPr>
        <w:t>cesarean</w:t>
      </w:r>
      <w:proofErr w:type="spellEnd"/>
      <w:r w:rsidRPr="004811FE">
        <w:rPr>
          <w:rFonts w:ascii="Times New Roman" w:eastAsia="Times New Roman" w:hAnsi="Times New Roman" w:cs="Times New Roman"/>
          <w:sz w:val="20"/>
          <w:szCs w:val="20"/>
        </w:rPr>
        <w:t xml:space="preserve"> delivery.</w:t>
      </w:r>
    </w:p>
    <w:p w14:paraId="65D0949A"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Bhalavi</w:t>
      </w:r>
      <w:proofErr w:type="spellEnd"/>
      <w:r w:rsidRPr="004811FE">
        <w:rPr>
          <w:rFonts w:ascii="Times New Roman" w:eastAsia="Times New Roman" w:hAnsi="Times New Roman" w:cs="Times New Roman"/>
          <w:sz w:val="20"/>
          <w:szCs w:val="20"/>
        </w:rPr>
        <w:t xml:space="preserve"> MO et al. Evaluation of hyperbaric bupivacaine doses in segmental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for laparoscopic cholecystectomy.</w:t>
      </w:r>
    </w:p>
    <w:p w14:paraId="0DE1B9CE"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Balasubramanian AK et al. Comparative evaluation of isobaric levobupivacaine and racemic bupivacaine for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w:t>
      </w:r>
    </w:p>
    <w:p w14:paraId="27A1CFDB"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Verma AK et al. Isobaric vs. hyperbaric levobupivacaine for segmental thoracic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in laparoscopic cholecystectomy.</w:t>
      </w:r>
    </w:p>
    <w:p w14:paraId="05AFCAFF"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lastRenderedPageBreak/>
        <w:t xml:space="preserve">Kour L et al. Block characteristics of isobaric vs. hyperbaric bupivacaine in thoracic CSE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w:t>
      </w:r>
    </w:p>
    <w:p w14:paraId="440B4239"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Besha</w:t>
      </w:r>
      <w:proofErr w:type="spellEnd"/>
      <w:r w:rsidRPr="004811FE">
        <w:rPr>
          <w:rFonts w:ascii="Times New Roman" w:eastAsia="Times New Roman" w:hAnsi="Times New Roman" w:cs="Times New Roman"/>
          <w:sz w:val="20"/>
          <w:szCs w:val="20"/>
        </w:rPr>
        <w:t xml:space="preserve"> A et al. Hemodynamic parameters and block characteristics of hyperbaric vs. isobaric bupivacaine in </w:t>
      </w:r>
      <w:proofErr w:type="spellStart"/>
      <w:r w:rsidRPr="004811FE">
        <w:rPr>
          <w:rFonts w:ascii="Times New Roman" w:eastAsia="Times New Roman" w:hAnsi="Times New Roman" w:cs="Times New Roman"/>
          <w:sz w:val="20"/>
          <w:szCs w:val="20"/>
        </w:rPr>
        <w:t>cesarean</w:t>
      </w:r>
      <w:proofErr w:type="spellEnd"/>
      <w:r w:rsidRPr="004811FE">
        <w:rPr>
          <w:rFonts w:ascii="Times New Roman" w:eastAsia="Times New Roman" w:hAnsi="Times New Roman" w:cs="Times New Roman"/>
          <w:sz w:val="20"/>
          <w:szCs w:val="20"/>
        </w:rPr>
        <w:t xml:space="preserve"> section.</w:t>
      </w:r>
    </w:p>
    <w:p w14:paraId="7EF85746"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Kumar M et al. Hyperbaric levobupivacaine vs. hyperbaric bupivacaine in lower limb surgery.</w:t>
      </w:r>
    </w:p>
    <w:p w14:paraId="18391F14"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Tyagi NK et al. Hyperbaric levobupivacaine vs. bupivacaine with buprenorphine in lower abdominal surgery.</w:t>
      </w:r>
    </w:p>
    <w:p w14:paraId="626A0579"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Yadev I et al. Systematic review and comparative evaluation of intrathecal levobupivacaine vs. racemic bupivacaine.</w:t>
      </w:r>
    </w:p>
    <w:p w14:paraId="1860F08A"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Javed KH et al. Comparison of 0.5% hyperbaric vs. isobaric bupivacaine in lower segment </w:t>
      </w:r>
      <w:proofErr w:type="spellStart"/>
      <w:r w:rsidRPr="004811FE">
        <w:rPr>
          <w:rFonts w:ascii="Times New Roman" w:eastAsia="Times New Roman" w:hAnsi="Times New Roman" w:cs="Times New Roman"/>
          <w:sz w:val="20"/>
          <w:szCs w:val="20"/>
        </w:rPr>
        <w:t>cesarean</w:t>
      </w:r>
      <w:proofErr w:type="spellEnd"/>
      <w:r w:rsidRPr="004811FE">
        <w:rPr>
          <w:rFonts w:ascii="Times New Roman" w:eastAsia="Times New Roman" w:hAnsi="Times New Roman" w:cs="Times New Roman"/>
          <w:sz w:val="20"/>
          <w:szCs w:val="20"/>
        </w:rPr>
        <w:t xml:space="preserve"> section.</w:t>
      </w:r>
    </w:p>
    <w:p w14:paraId="59F8A217"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Ramarao M et al. Intrathecal isobaric ropivacaine vs. hyperbaric bupivacaine in elective caesarean section.</w:t>
      </w:r>
    </w:p>
    <w:p w14:paraId="326F42E5"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Imbelloni</w:t>
      </w:r>
      <w:proofErr w:type="spellEnd"/>
      <w:r w:rsidRPr="004811FE">
        <w:rPr>
          <w:rFonts w:ascii="Times New Roman" w:eastAsia="Times New Roman" w:hAnsi="Times New Roman" w:cs="Times New Roman"/>
          <w:sz w:val="20"/>
          <w:szCs w:val="20"/>
        </w:rPr>
        <w:t xml:space="preserve"> LE et al. Thoracic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using low-dose isobaric and hyperbaric bupivacaine in </w:t>
      </w:r>
      <w:proofErr w:type="spellStart"/>
      <w:r w:rsidRPr="004811FE">
        <w:rPr>
          <w:rFonts w:ascii="Times New Roman" w:eastAsia="Times New Roman" w:hAnsi="Times New Roman" w:cs="Times New Roman"/>
          <w:sz w:val="20"/>
          <w:szCs w:val="20"/>
        </w:rPr>
        <w:t>orthopedic</w:t>
      </w:r>
      <w:proofErr w:type="spellEnd"/>
      <w:r w:rsidRPr="004811FE">
        <w:rPr>
          <w:rFonts w:ascii="Times New Roman" w:eastAsia="Times New Roman" w:hAnsi="Times New Roman" w:cs="Times New Roman"/>
          <w:sz w:val="20"/>
          <w:szCs w:val="20"/>
        </w:rPr>
        <w:t xml:space="preserve"> surgery.</w:t>
      </w:r>
    </w:p>
    <w:p w14:paraId="71660C4D"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Hazarika R et al. Thoracic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comparing low-dose isobaric and hyperbaric bupivacaine.</w:t>
      </w:r>
    </w:p>
    <w:p w14:paraId="72F2E041"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Yadav SS et al. Clinical efficacy and safety of hyperbaric ropivacaine vs. hyperbaric bupivacaine in lower limb surgeries.</w:t>
      </w:r>
    </w:p>
    <w:p w14:paraId="6A92083C"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Mandal PK et al. Clinical effects of intrathecal levobupivacaine vs. racemic bupivacaine in lower limb surgeries.</w:t>
      </w:r>
    </w:p>
    <w:p w14:paraId="7F52D1EA"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Hazarika R et al. Hyperbaric bupivacaine vs. hyperbaric levobupivacaine with buprenorphine in elective caesarean section.</w:t>
      </w:r>
    </w:p>
    <w:p w14:paraId="274C0255"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r w:rsidRPr="004811FE">
        <w:rPr>
          <w:rFonts w:ascii="Times New Roman" w:eastAsia="Times New Roman" w:hAnsi="Times New Roman" w:cs="Times New Roman"/>
          <w:sz w:val="20"/>
          <w:szCs w:val="20"/>
        </w:rPr>
        <w:t xml:space="preserve">Kour L et al. Levobupivacaine vs. bupivacaine in thoracic combined spinal epidural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for laparoscopic cholecystectomy.</w:t>
      </w:r>
    </w:p>
    <w:p w14:paraId="2A02482E" w14:textId="77777777" w:rsidR="008018BA" w:rsidRPr="004811FE" w:rsidRDefault="008018BA" w:rsidP="004811FE">
      <w:pPr>
        <w:numPr>
          <w:ilvl w:val="0"/>
          <w:numId w:val="5"/>
        </w:numPr>
        <w:spacing w:after="0" w:line="360" w:lineRule="auto"/>
        <w:jc w:val="both"/>
        <w:rPr>
          <w:rFonts w:ascii="Times New Roman" w:eastAsia="Times New Roman" w:hAnsi="Times New Roman" w:cs="Times New Roman"/>
          <w:sz w:val="20"/>
          <w:szCs w:val="20"/>
        </w:rPr>
      </w:pPr>
      <w:proofErr w:type="spellStart"/>
      <w:r w:rsidRPr="004811FE">
        <w:rPr>
          <w:rFonts w:ascii="Times New Roman" w:eastAsia="Times New Roman" w:hAnsi="Times New Roman" w:cs="Times New Roman"/>
          <w:sz w:val="20"/>
          <w:szCs w:val="20"/>
        </w:rPr>
        <w:t>Gawai</w:t>
      </w:r>
      <w:proofErr w:type="spellEnd"/>
      <w:r w:rsidRPr="004811FE">
        <w:rPr>
          <w:rFonts w:ascii="Times New Roman" w:eastAsia="Times New Roman" w:hAnsi="Times New Roman" w:cs="Times New Roman"/>
          <w:sz w:val="20"/>
          <w:szCs w:val="20"/>
        </w:rPr>
        <w:t xml:space="preserve"> SK et al. Spinal </w:t>
      </w:r>
      <w:proofErr w:type="spellStart"/>
      <w:r w:rsidRPr="004811FE">
        <w:rPr>
          <w:rFonts w:ascii="Times New Roman" w:eastAsia="Times New Roman" w:hAnsi="Times New Roman" w:cs="Times New Roman"/>
          <w:sz w:val="20"/>
          <w:szCs w:val="20"/>
        </w:rPr>
        <w:t>anesthesia</w:t>
      </w:r>
      <w:proofErr w:type="spellEnd"/>
      <w:r w:rsidRPr="004811FE">
        <w:rPr>
          <w:rFonts w:ascii="Times New Roman" w:eastAsia="Times New Roman" w:hAnsi="Times New Roman" w:cs="Times New Roman"/>
          <w:sz w:val="20"/>
          <w:szCs w:val="20"/>
        </w:rPr>
        <w:t xml:space="preserve"> using 0.5% hyperbaric levobupivacaine vs. 0.5% hyperbaric bupivacaine.</w:t>
      </w:r>
    </w:p>
    <w:p w14:paraId="3497C342" w14:textId="77777777" w:rsidR="008018BA" w:rsidRPr="004811FE" w:rsidRDefault="008018BA" w:rsidP="004811FE">
      <w:pPr>
        <w:spacing w:after="0" w:line="360" w:lineRule="auto"/>
        <w:jc w:val="both"/>
        <w:rPr>
          <w:rFonts w:ascii="Times New Roman" w:hAnsi="Times New Roman" w:cs="Times New Roman"/>
          <w:sz w:val="20"/>
          <w:szCs w:val="20"/>
        </w:rPr>
      </w:pPr>
    </w:p>
    <w:sectPr w:rsidR="008018BA" w:rsidRPr="004811FE" w:rsidSect="004811FE">
      <w:headerReference w:type="default" r:id="rId7"/>
      <w:footerReference w:type="default" r:id="rId8"/>
      <w:pgSz w:w="12240" w:h="15840"/>
      <w:pgMar w:top="1440" w:right="1440" w:bottom="1440" w:left="1440" w:header="708" w:footer="708"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B67B" w14:textId="77777777" w:rsidR="00355672" w:rsidRDefault="00355672" w:rsidP="00692AC8">
      <w:pPr>
        <w:spacing w:after="0" w:line="240" w:lineRule="auto"/>
      </w:pPr>
      <w:r>
        <w:separator/>
      </w:r>
    </w:p>
  </w:endnote>
  <w:endnote w:type="continuationSeparator" w:id="0">
    <w:p w14:paraId="246EE8F9" w14:textId="77777777" w:rsidR="00355672" w:rsidRDefault="00355672" w:rsidP="00692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522516"/>
      <w:docPartObj>
        <w:docPartGallery w:val="Page Numbers (Bottom of Page)"/>
        <w:docPartUnique/>
      </w:docPartObj>
    </w:sdtPr>
    <w:sdtEndPr>
      <w:rPr>
        <w:noProof/>
      </w:rPr>
    </w:sdtEndPr>
    <w:sdtContent>
      <w:p w14:paraId="6ADFB16B" w14:textId="0C0427EA" w:rsidR="004811FE" w:rsidRDefault="004811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AEE1F5" w14:textId="77777777" w:rsidR="004811FE" w:rsidRPr="004811FE" w:rsidRDefault="004811FE" w:rsidP="004811FE">
    <w:pPr>
      <w:pStyle w:val="Footer"/>
      <w:rPr>
        <w:lang w:val="en-US"/>
      </w:rPr>
    </w:pPr>
    <w:r w:rsidRPr="004811FE">
      <w:rPr>
        <w:i/>
        <w:lang w:val="en-US"/>
      </w:rPr>
      <w:t>www.ijbamr.com   P ISSN: 2250-284X, E ISSN: 2250-2858</w:t>
    </w:r>
  </w:p>
  <w:p w14:paraId="5ED7169F" w14:textId="77777777" w:rsidR="00692AC8" w:rsidRDefault="00692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3DC9D" w14:textId="77777777" w:rsidR="00355672" w:rsidRDefault="00355672" w:rsidP="00692AC8">
      <w:pPr>
        <w:spacing w:after="0" w:line="240" w:lineRule="auto"/>
      </w:pPr>
      <w:r>
        <w:separator/>
      </w:r>
    </w:p>
  </w:footnote>
  <w:footnote w:type="continuationSeparator" w:id="0">
    <w:p w14:paraId="521ED57E" w14:textId="77777777" w:rsidR="00355672" w:rsidRDefault="00355672" w:rsidP="00692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0250" w14:textId="5A381196" w:rsidR="004811FE" w:rsidRPr="004811FE" w:rsidRDefault="004811FE" w:rsidP="004811FE">
    <w:pPr>
      <w:pStyle w:val="Header"/>
      <w:jc w:val="center"/>
      <w:rPr>
        <w:rFonts w:ascii="Times New Roman" w:hAnsi="Times New Roman" w:cs="Times New Roman"/>
        <w:i/>
        <w:sz w:val="20"/>
        <w:szCs w:val="20"/>
      </w:rPr>
    </w:pPr>
    <w:r w:rsidRPr="004811FE">
      <w:rPr>
        <w:rFonts w:ascii="Times New Roman" w:hAnsi="Times New Roman" w:cs="Times New Roman"/>
        <w:i/>
        <w:sz w:val="20"/>
        <w:szCs w:val="20"/>
      </w:rPr>
      <w:t>Indian Journal of Basic and Applied Medical Research; September 2026: Vol.-15, Issue-3, P. 2</w:t>
    </w:r>
    <w:r>
      <w:rPr>
        <w:rFonts w:ascii="Times New Roman" w:hAnsi="Times New Roman" w:cs="Times New Roman"/>
        <w:i/>
        <w:sz w:val="20"/>
        <w:szCs w:val="20"/>
      </w:rPr>
      <w:t>6-33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C14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167E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A02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A540A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0F2E3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6160937">
    <w:abstractNumId w:val="4"/>
  </w:num>
  <w:num w:numId="2" w16cid:durableId="2128621216">
    <w:abstractNumId w:val="1"/>
  </w:num>
  <w:num w:numId="3" w16cid:durableId="1034618672">
    <w:abstractNumId w:val="2"/>
  </w:num>
  <w:num w:numId="4" w16cid:durableId="1759790177">
    <w:abstractNumId w:val="0"/>
  </w:num>
  <w:num w:numId="5" w16cid:durableId="20241629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8BA"/>
    <w:rsid w:val="0016353D"/>
    <w:rsid w:val="001E1941"/>
    <w:rsid w:val="00355672"/>
    <w:rsid w:val="00396219"/>
    <w:rsid w:val="0047039A"/>
    <w:rsid w:val="004811FE"/>
    <w:rsid w:val="00692AC8"/>
    <w:rsid w:val="008018BA"/>
    <w:rsid w:val="00936B81"/>
    <w:rsid w:val="009640BF"/>
    <w:rsid w:val="00BB2317"/>
    <w:rsid w:val="00F770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371C4"/>
  <w15:chartTrackingRefBased/>
  <w15:docId w15:val="{28BEB7DF-49D0-4A41-9D53-B3AA8EECB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18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018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8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8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8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8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8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8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8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8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8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8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8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8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8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8BA"/>
    <w:rPr>
      <w:rFonts w:eastAsiaTheme="majorEastAsia" w:cstheme="majorBidi"/>
      <w:color w:val="272727" w:themeColor="text1" w:themeTint="D8"/>
    </w:rPr>
  </w:style>
  <w:style w:type="paragraph" w:styleId="Title">
    <w:name w:val="Title"/>
    <w:basedOn w:val="Normal"/>
    <w:next w:val="Normal"/>
    <w:link w:val="TitleChar"/>
    <w:uiPriority w:val="10"/>
    <w:qFormat/>
    <w:rsid w:val="00801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8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8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8BA"/>
    <w:pPr>
      <w:spacing w:before="160"/>
      <w:jc w:val="center"/>
    </w:pPr>
    <w:rPr>
      <w:i/>
      <w:iCs/>
      <w:color w:val="404040" w:themeColor="text1" w:themeTint="BF"/>
    </w:rPr>
  </w:style>
  <w:style w:type="character" w:customStyle="1" w:styleId="QuoteChar">
    <w:name w:val="Quote Char"/>
    <w:basedOn w:val="DefaultParagraphFont"/>
    <w:link w:val="Quote"/>
    <w:uiPriority w:val="29"/>
    <w:rsid w:val="008018BA"/>
    <w:rPr>
      <w:i/>
      <w:iCs/>
      <w:color w:val="404040" w:themeColor="text1" w:themeTint="BF"/>
    </w:rPr>
  </w:style>
  <w:style w:type="paragraph" w:styleId="ListParagraph">
    <w:name w:val="List Paragraph"/>
    <w:basedOn w:val="Normal"/>
    <w:uiPriority w:val="34"/>
    <w:qFormat/>
    <w:rsid w:val="008018BA"/>
    <w:pPr>
      <w:ind w:left="720"/>
      <w:contextualSpacing/>
    </w:pPr>
  </w:style>
  <w:style w:type="character" w:styleId="IntenseEmphasis">
    <w:name w:val="Intense Emphasis"/>
    <w:basedOn w:val="DefaultParagraphFont"/>
    <w:uiPriority w:val="21"/>
    <w:qFormat/>
    <w:rsid w:val="008018BA"/>
    <w:rPr>
      <w:i/>
      <w:iCs/>
      <w:color w:val="0F4761" w:themeColor="accent1" w:themeShade="BF"/>
    </w:rPr>
  </w:style>
  <w:style w:type="paragraph" w:styleId="IntenseQuote">
    <w:name w:val="Intense Quote"/>
    <w:basedOn w:val="Normal"/>
    <w:next w:val="Normal"/>
    <w:link w:val="IntenseQuoteChar"/>
    <w:uiPriority w:val="30"/>
    <w:qFormat/>
    <w:rsid w:val="00801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8BA"/>
    <w:rPr>
      <w:i/>
      <w:iCs/>
      <w:color w:val="0F4761" w:themeColor="accent1" w:themeShade="BF"/>
    </w:rPr>
  </w:style>
  <w:style w:type="character" w:styleId="IntenseReference">
    <w:name w:val="Intense Reference"/>
    <w:basedOn w:val="DefaultParagraphFont"/>
    <w:uiPriority w:val="32"/>
    <w:qFormat/>
    <w:rsid w:val="008018BA"/>
    <w:rPr>
      <w:b/>
      <w:bCs/>
      <w:smallCaps/>
      <w:color w:val="0F4761" w:themeColor="accent1" w:themeShade="BF"/>
      <w:spacing w:val="5"/>
    </w:rPr>
  </w:style>
  <w:style w:type="paragraph" w:styleId="NormalWeb">
    <w:name w:val="Normal (Web)"/>
    <w:basedOn w:val="Normal"/>
    <w:uiPriority w:val="99"/>
    <w:semiHidden/>
    <w:unhideWhenUsed/>
    <w:rsid w:val="008018BA"/>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8018BA"/>
    <w:rPr>
      <w:b/>
      <w:bCs/>
    </w:rPr>
  </w:style>
  <w:style w:type="table" w:styleId="TableGrid">
    <w:name w:val="Table Grid"/>
    <w:basedOn w:val="TableNormal"/>
    <w:uiPriority w:val="39"/>
    <w:rsid w:val="00692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2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AC8"/>
  </w:style>
  <w:style w:type="paragraph" w:styleId="Footer">
    <w:name w:val="footer"/>
    <w:basedOn w:val="Normal"/>
    <w:link w:val="FooterChar"/>
    <w:uiPriority w:val="99"/>
    <w:unhideWhenUsed/>
    <w:rsid w:val="00692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3346</Words>
  <Characters>19073</Characters>
  <Application>Microsoft Office Word</Application>
  <DocSecurity>0</DocSecurity>
  <Lines>158</Lines>
  <Paragraphs>44</Paragraphs>
  <ScaleCrop>false</ScaleCrop>
  <Company/>
  <LinksUpToDate>false</LinksUpToDate>
  <CharactersWithSpaces>22375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hp</cp:lastModifiedBy>
  <cp:revision>6</cp:revision>
  <cp:lastPrinted>2026-09-24T06:51:00Z</cp:lastPrinted>
  <dcterms:created xsi:type="dcterms:W3CDTF">2026-09-21T09:56:00Z</dcterms:created>
  <dcterms:modified xsi:type="dcterms:W3CDTF">2026-09-24T06:52:00Z</dcterms:modified>
</cp:coreProperties>
</file>